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highlight w:val="none"/>
        </w:rPr>
      </w:pPr>
      <w:bookmarkStart w:id="9" w:name="_GoBack"/>
      <w:r>
        <w:rPr>
          <w:rFonts w:hint="eastAsia"/>
          <w:b/>
          <w:sz w:val="44"/>
          <w:szCs w:val="44"/>
          <w:highlight w:val="none"/>
        </w:rPr>
        <w:t>南京信息工程大学实验室智能感知平台建设项目</w:t>
      </w:r>
    </w:p>
    <w:p>
      <w:pPr>
        <w:jc w:val="center"/>
        <w:rPr>
          <w:b/>
          <w:sz w:val="44"/>
          <w:szCs w:val="44"/>
          <w:highlight w:val="none"/>
        </w:rPr>
      </w:pPr>
      <w:r>
        <w:rPr>
          <w:rFonts w:hint="eastAsia"/>
          <w:b/>
          <w:sz w:val="44"/>
          <w:szCs w:val="44"/>
          <w:highlight w:val="none"/>
        </w:rPr>
        <w:t>采购项目</w:t>
      </w:r>
      <w:r>
        <w:rPr>
          <w:b/>
          <w:sz w:val="44"/>
          <w:szCs w:val="44"/>
          <w:highlight w:val="none"/>
        </w:rPr>
        <w:t>招标文件</w:t>
      </w:r>
    </w:p>
    <w:p>
      <w:pPr>
        <w:pStyle w:val="9"/>
        <w:ind w:left="1470" w:right="1470"/>
        <w:rPr>
          <w:highlight w:val="none"/>
        </w:rPr>
      </w:pPr>
    </w:p>
    <w:p>
      <w:pPr>
        <w:adjustRightInd w:val="0"/>
        <w:snapToGrid w:val="0"/>
        <w:spacing w:line="360" w:lineRule="auto"/>
        <w:jc w:val="center"/>
        <w:rPr>
          <w:rFonts w:ascii="宋体" w:hAnsi="宋体" w:cs="仿宋"/>
          <w:sz w:val="28"/>
          <w:szCs w:val="28"/>
          <w:highlight w:val="none"/>
        </w:rPr>
      </w:pPr>
      <w:r>
        <w:rPr>
          <w:rFonts w:hint="eastAsia" w:ascii="宋体" w:hAnsi="宋体" w:cs="仿宋"/>
          <w:sz w:val="28"/>
          <w:szCs w:val="28"/>
          <w:highlight w:val="none"/>
        </w:rPr>
        <w:t>（招标编号：</w:t>
      </w:r>
      <w:r>
        <w:rPr>
          <w:rFonts w:hint="eastAsia" w:ascii="宋体" w:hAnsi="宋体" w:cs="仿宋"/>
          <w:sz w:val="28"/>
          <w:szCs w:val="28"/>
          <w:highlight w:val="none"/>
          <w:u w:val="single"/>
        </w:rPr>
        <w:t xml:space="preserve">JZCG-2022-00072 </w:t>
      </w:r>
      <w:r>
        <w:rPr>
          <w:rFonts w:hint="eastAsia" w:ascii="宋体" w:hAnsi="宋体" w:cs="仿宋"/>
          <w:sz w:val="28"/>
          <w:szCs w:val="28"/>
          <w:highlight w:val="none"/>
        </w:rPr>
        <w:t>）</w:t>
      </w:r>
    </w:p>
    <w:p>
      <w:pPr>
        <w:rPr>
          <w:b/>
          <w:sz w:val="28"/>
          <w:szCs w:val="28"/>
          <w:highlight w:val="none"/>
        </w:rPr>
      </w:pPr>
    </w:p>
    <w:p>
      <w:pPr>
        <w:spacing w:line="360" w:lineRule="auto"/>
        <w:ind w:firstLine="560" w:firstLineChars="200"/>
        <w:rPr>
          <w:rFonts w:ascii="宋体" w:hAnsi="宋体"/>
          <w:sz w:val="28"/>
          <w:szCs w:val="28"/>
          <w:highlight w:val="none"/>
        </w:rPr>
      </w:pPr>
      <w:r>
        <w:rPr>
          <w:rFonts w:ascii="宋体" w:hAnsi="宋体"/>
          <w:sz w:val="28"/>
          <w:szCs w:val="28"/>
          <w:highlight w:val="none"/>
        </w:rPr>
        <w:t>为满足学校相关</w:t>
      </w:r>
      <w:r>
        <w:rPr>
          <w:rFonts w:hint="eastAsia" w:ascii="宋体" w:hAnsi="宋体"/>
          <w:sz w:val="28"/>
          <w:szCs w:val="28"/>
          <w:highlight w:val="none"/>
        </w:rPr>
        <w:t>教学</w:t>
      </w:r>
      <w:r>
        <w:rPr>
          <w:rFonts w:ascii="宋体" w:hAnsi="宋体"/>
          <w:sz w:val="28"/>
          <w:szCs w:val="28"/>
          <w:highlight w:val="none"/>
        </w:rPr>
        <w:t>科研工作需要，受校实验室与设备管理处委托，就</w:t>
      </w:r>
      <w:r>
        <w:rPr>
          <w:rFonts w:hint="eastAsia" w:ascii="宋体" w:hAnsi="宋体"/>
          <w:sz w:val="28"/>
          <w:szCs w:val="28"/>
          <w:highlight w:val="none"/>
        </w:rPr>
        <w:t>实验室智能感知平台建设项目采购项目</w:t>
      </w:r>
      <w:r>
        <w:rPr>
          <w:rFonts w:ascii="宋体" w:hAnsi="宋体"/>
          <w:sz w:val="28"/>
          <w:szCs w:val="28"/>
          <w:highlight w:val="none"/>
        </w:rPr>
        <w:t>进行公开招标，欢迎符合条件的供应商报名投标，现将有关情况说明如下：</w:t>
      </w:r>
    </w:p>
    <w:p>
      <w:pPr>
        <w:spacing w:line="360" w:lineRule="auto"/>
        <w:ind w:firstLine="480" w:firstLineChars="200"/>
        <w:rPr>
          <w:sz w:val="24"/>
          <w:highlight w:val="none"/>
        </w:rPr>
      </w:pPr>
    </w:p>
    <w:p>
      <w:pPr>
        <w:pStyle w:val="41"/>
        <w:spacing w:line="360" w:lineRule="auto"/>
        <w:ind w:firstLine="0" w:firstLineChars="0"/>
        <w:jc w:val="center"/>
        <w:rPr>
          <w:rFonts w:ascii="宋体" w:hAnsi="宋体" w:cs="仿宋"/>
          <w:b/>
          <w:bCs/>
          <w:kern w:val="2"/>
          <w:sz w:val="28"/>
          <w:szCs w:val="28"/>
          <w:highlight w:val="none"/>
        </w:rPr>
      </w:pPr>
      <w:r>
        <w:rPr>
          <w:rFonts w:hint="eastAsia" w:ascii="宋体" w:hAnsi="宋体" w:cs="仿宋"/>
          <w:b/>
          <w:bCs/>
          <w:kern w:val="2"/>
          <w:sz w:val="28"/>
          <w:szCs w:val="28"/>
          <w:highlight w:val="none"/>
        </w:rPr>
        <w:t>一、招标项目名称及简要说明</w:t>
      </w:r>
    </w:p>
    <w:p>
      <w:pPr>
        <w:pStyle w:val="41"/>
        <w:spacing w:line="360" w:lineRule="auto"/>
        <w:ind w:firstLine="560"/>
        <w:rPr>
          <w:rFonts w:ascii="宋体" w:hAnsi="宋体"/>
          <w:kern w:val="2"/>
          <w:sz w:val="28"/>
          <w:szCs w:val="28"/>
          <w:highlight w:val="none"/>
        </w:rPr>
      </w:pPr>
      <w:r>
        <w:rPr>
          <w:rFonts w:ascii="宋体" w:hAnsi="宋体"/>
          <w:kern w:val="2"/>
          <w:sz w:val="28"/>
          <w:szCs w:val="28"/>
          <w:highlight w:val="none"/>
        </w:rPr>
        <w:t>1. 项目名称：</w:t>
      </w:r>
      <w:r>
        <w:rPr>
          <w:rFonts w:hint="eastAsia" w:ascii="宋体" w:hAnsi="宋体"/>
          <w:kern w:val="2"/>
          <w:sz w:val="28"/>
          <w:szCs w:val="28"/>
          <w:highlight w:val="none"/>
        </w:rPr>
        <w:t>南京信息工程大学实验室智能感知平台建设项目采购项目</w:t>
      </w:r>
      <w:r>
        <w:rPr>
          <w:rFonts w:ascii="宋体" w:hAnsi="宋体"/>
          <w:kern w:val="2"/>
          <w:sz w:val="28"/>
          <w:szCs w:val="28"/>
          <w:highlight w:val="none"/>
        </w:rPr>
        <w:t>。</w:t>
      </w:r>
    </w:p>
    <w:p>
      <w:pPr>
        <w:spacing w:line="300" w:lineRule="auto"/>
        <w:ind w:firstLine="560" w:firstLineChars="200"/>
        <w:rPr>
          <w:rFonts w:ascii="宋体" w:hAnsi="宋体"/>
          <w:sz w:val="28"/>
          <w:szCs w:val="28"/>
          <w:highlight w:val="none"/>
        </w:rPr>
      </w:pPr>
      <w:r>
        <w:rPr>
          <w:rFonts w:ascii="宋体" w:hAnsi="宋体"/>
          <w:sz w:val="28"/>
          <w:szCs w:val="28"/>
          <w:highlight w:val="none"/>
        </w:rPr>
        <w:t xml:space="preserve">2. </w:t>
      </w:r>
      <w:r>
        <w:rPr>
          <w:rFonts w:hint="eastAsia" w:ascii="宋体" w:hAnsi="宋体" w:cs="仿宋"/>
          <w:sz w:val="28"/>
          <w:szCs w:val="28"/>
          <w:highlight w:val="none"/>
        </w:rPr>
        <w:t>项目说明：</w:t>
      </w:r>
      <w:r>
        <w:rPr>
          <w:rFonts w:hint="eastAsia" w:ascii="宋体" w:hAnsi="宋体"/>
          <w:sz w:val="28"/>
          <w:szCs w:val="28"/>
          <w:highlight w:val="none"/>
        </w:rPr>
        <w:t>南京信息工程大学校内，本次招标</w:t>
      </w:r>
      <w:r>
        <w:rPr>
          <w:rFonts w:hint="eastAsia" w:ascii="宋体" w:hAnsi="宋体" w:cs="仿宋"/>
          <w:sz w:val="28"/>
          <w:szCs w:val="28"/>
          <w:highlight w:val="none"/>
        </w:rPr>
        <w:t>项目必须由中标单位自行完成，严禁转包和擅自分包。否则我校有权单方面终止本合同的执行，并且中标人支付按合同价款20%的违约金，由此所造成的一切后果和经济损失均由中标人自行负责和承担。</w:t>
      </w:r>
    </w:p>
    <w:p>
      <w:pPr>
        <w:spacing w:line="360" w:lineRule="auto"/>
        <w:ind w:firstLine="570"/>
        <w:jc w:val="left"/>
        <w:rPr>
          <w:rFonts w:ascii="宋体"/>
          <w:sz w:val="28"/>
          <w:szCs w:val="28"/>
          <w:highlight w:val="none"/>
        </w:rPr>
      </w:pPr>
      <w:r>
        <w:rPr>
          <w:rFonts w:ascii="宋体" w:hAnsi="宋体"/>
          <w:sz w:val="28"/>
          <w:szCs w:val="28"/>
          <w:highlight w:val="none"/>
        </w:rPr>
        <w:t>3</w:t>
      </w:r>
      <w:bookmarkStart w:id="0" w:name="_Hlk9865971"/>
      <w:r>
        <w:rPr>
          <w:rFonts w:hint="eastAsia" w:ascii="宋体" w:hAnsi="宋体"/>
          <w:sz w:val="28"/>
          <w:szCs w:val="28"/>
          <w:highlight w:val="none"/>
        </w:rPr>
        <w:t>.本次招标采取公开招标方式，不承诺最低价（最高价）中标。招标公告和中标公示信息均在</w:t>
      </w:r>
      <w:r>
        <w:rPr>
          <w:highlight w:val="none"/>
        </w:rPr>
        <w:fldChar w:fldCharType="begin"/>
      </w:r>
      <w:r>
        <w:rPr>
          <w:highlight w:val="none"/>
        </w:rPr>
        <w:instrText xml:space="preserve"> HYPERLINK "https://bulletin.nuist.edu.cn/779/list.htm" </w:instrText>
      </w:r>
      <w:r>
        <w:rPr>
          <w:highlight w:val="none"/>
        </w:rPr>
        <w:fldChar w:fldCharType="separate"/>
      </w:r>
      <w:r>
        <w:rPr>
          <w:rStyle w:val="26"/>
          <w:b/>
          <w:color w:val="auto"/>
          <w:sz w:val="24"/>
          <w:highlight w:val="none"/>
        </w:rPr>
        <w:t>https://bulletin.nuist.edu.cn/779/lis</w:t>
      </w:r>
      <w:r>
        <w:rPr>
          <w:rStyle w:val="26"/>
          <w:color w:val="auto"/>
          <w:sz w:val="24"/>
          <w:highlight w:val="none"/>
        </w:rPr>
        <w:t>t.htm</w:t>
      </w:r>
      <w:r>
        <w:rPr>
          <w:rStyle w:val="26"/>
          <w:color w:val="auto"/>
          <w:sz w:val="24"/>
          <w:highlight w:val="none"/>
        </w:rPr>
        <w:fldChar w:fldCharType="end"/>
      </w:r>
      <w:r>
        <w:rPr>
          <w:rFonts w:hint="eastAsia" w:ascii="宋体" w:hAnsi="宋体"/>
          <w:sz w:val="28"/>
          <w:szCs w:val="28"/>
          <w:highlight w:val="none"/>
        </w:rPr>
        <w:t>和</w:t>
      </w:r>
      <w:r>
        <w:rPr>
          <w:highlight w:val="none"/>
        </w:rPr>
        <w:fldChar w:fldCharType="begin"/>
      </w:r>
      <w:r>
        <w:rPr>
          <w:highlight w:val="none"/>
        </w:rPr>
        <w:instrText xml:space="preserve"> HYPERLINK "http://zbc.nuist.edu.cn" </w:instrText>
      </w:r>
      <w:r>
        <w:rPr>
          <w:highlight w:val="none"/>
        </w:rPr>
        <w:fldChar w:fldCharType="separate"/>
      </w:r>
      <w:r>
        <w:rPr>
          <w:rFonts w:ascii="宋体" w:hAnsi="宋体"/>
          <w:b/>
          <w:sz w:val="24"/>
          <w:szCs w:val="28"/>
          <w:highlight w:val="none"/>
          <w:u w:val="single"/>
        </w:rPr>
        <w:t>zbc.nuist.edu.cn</w:t>
      </w:r>
      <w:r>
        <w:rPr>
          <w:rFonts w:ascii="宋体" w:hAnsi="宋体"/>
          <w:b/>
          <w:sz w:val="24"/>
          <w:szCs w:val="28"/>
          <w:highlight w:val="none"/>
          <w:u w:val="single"/>
        </w:rPr>
        <w:fldChar w:fldCharType="end"/>
      </w:r>
      <w:r>
        <w:rPr>
          <w:rFonts w:hint="eastAsia" w:ascii="宋体" w:hAnsi="宋体"/>
          <w:sz w:val="28"/>
          <w:szCs w:val="28"/>
          <w:highlight w:val="none"/>
        </w:rPr>
        <w:t>网页上公开发布</w:t>
      </w:r>
      <w:r>
        <w:rPr>
          <w:rFonts w:ascii="宋体"/>
          <w:sz w:val="28"/>
          <w:szCs w:val="28"/>
          <w:highlight w:val="none"/>
        </w:rPr>
        <w:t>,</w:t>
      </w:r>
      <w:r>
        <w:rPr>
          <w:rFonts w:hint="eastAsia" w:ascii="宋体" w:hAnsi="宋体"/>
          <w:sz w:val="28"/>
          <w:szCs w:val="28"/>
          <w:highlight w:val="none"/>
        </w:rPr>
        <w:t>接受监督。欢迎社会招标机构和网站转载，转载信息与我校网站信息不一致时，以我校网站为准。</w:t>
      </w:r>
    </w:p>
    <w:bookmarkEnd w:id="0"/>
    <w:p>
      <w:pPr>
        <w:spacing w:line="360" w:lineRule="auto"/>
        <w:ind w:firstLine="570"/>
        <w:jc w:val="left"/>
        <w:rPr>
          <w:rFonts w:ascii="宋体" w:hAnsi="宋体" w:cs="宋体"/>
          <w:sz w:val="28"/>
          <w:szCs w:val="28"/>
          <w:highlight w:val="none"/>
        </w:rPr>
      </w:pPr>
      <w:r>
        <w:rPr>
          <w:rFonts w:ascii="宋体" w:hAnsi="宋体"/>
          <w:sz w:val="28"/>
          <w:szCs w:val="28"/>
          <w:highlight w:val="none"/>
        </w:rPr>
        <w:t>4</w:t>
      </w:r>
      <w:bookmarkStart w:id="1" w:name="_Hlk9866054"/>
      <w:r>
        <w:rPr>
          <w:rFonts w:hint="eastAsia" w:ascii="宋体" w:hAnsi="宋体"/>
          <w:sz w:val="28"/>
          <w:szCs w:val="28"/>
          <w:highlight w:val="none"/>
        </w:rPr>
        <w:t>.招标文件由我校采购人、项目归口管理部门和招标办联合起草；经学校相关职能部门会审通过形成正式招标文件。同时</w:t>
      </w:r>
      <w:r>
        <w:rPr>
          <w:rFonts w:hint="eastAsia" w:ascii="宋体" w:hAnsi="宋体" w:cs="宋体"/>
          <w:sz w:val="28"/>
          <w:szCs w:val="28"/>
          <w:highlight w:val="none"/>
        </w:rPr>
        <w:t>打印</w:t>
      </w:r>
      <w:r>
        <w:rPr>
          <w:rFonts w:ascii="宋体" w:hAnsi="宋体" w:cs="宋体"/>
          <w:sz w:val="28"/>
          <w:szCs w:val="28"/>
          <w:highlight w:val="none"/>
        </w:rPr>
        <w:t>3</w:t>
      </w:r>
      <w:r>
        <w:rPr>
          <w:rFonts w:hint="eastAsia" w:ascii="宋体" w:hAnsi="宋体" w:cs="宋体"/>
          <w:sz w:val="28"/>
          <w:szCs w:val="28"/>
          <w:highlight w:val="none"/>
        </w:rPr>
        <w:t>份纸质的正式招标文件，由招标办负责人和招标办工作人员同时签字并加盖财务处骑缝章后，分别交招标办、项目归口管理部门（或采购人）、审计处各</w:t>
      </w:r>
      <w:r>
        <w:rPr>
          <w:rFonts w:ascii="宋体" w:hAnsi="宋体" w:cs="宋体"/>
          <w:sz w:val="28"/>
          <w:szCs w:val="28"/>
          <w:highlight w:val="none"/>
        </w:rPr>
        <w:t>1</w:t>
      </w:r>
      <w:r>
        <w:rPr>
          <w:rFonts w:hint="eastAsia" w:ascii="宋体" w:hAnsi="宋体" w:cs="宋体"/>
          <w:sz w:val="28"/>
          <w:szCs w:val="28"/>
          <w:highlight w:val="none"/>
        </w:rPr>
        <w:t>份，作为相关部门存档、合同签订、项目竣工验收和决（结）算审计，以及处理纠纷等的依据。</w:t>
      </w:r>
    </w:p>
    <w:bookmarkEnd w:id="1"/>
    <w:p>
      <w:pPr>
        <w:spacing w:line="360" w:lineRule="auto"/>
        <w:ind w:firstLine="570"/>
        <w:jc w:val="left"/>
        <w:rPr>
          <w:rFonts w:ascii="宋体" w:hAnsi="宋体" w:cs="宋体"/>
          <w:sz w:val="28"/>
          <w:szCs w:val="28"/>
          <w:highlight w:val="none"/>
        </w:rPr>
      </w:pPr>
      <w:r>
        <w:rPr>
          <w:rFonts w:hint="eastAsia" w:ascii="宋体" w:hAnsi="宋体" w:cs="宋体"/>
          <w:sz w:val="28"/>
          <w:szCs w:val="28"/>
          <w:highlight w:val="none"/>
        </w:rPr>
        <w:t>5.正式的答疑回复文件也按上述方式处理留存。</w:t>
      </w:r>
    </w:p>
    <w:p>
      <w:pPr>
        <w:spacing w:line="360" w:lineRule="auto"/>
        <w:ind w:firstLine="570"/>
        <w:jc w:val="left"/>
        <w:rPr>
          <w:rFonts w:ascii="宋体" w:hAnsi="宋体" w:cs="宋体"/>
          <w:sz w:val="28"/>
          <w:szCs w:val="28"/>
          <w:highlight w:val="none"/>
        </w:rPr>
      </w:pPr>
      <w:r>
        <w:rPr>
          <w:rFonts w:hint="eastAsia" w:ascii="宋体" w:hAnsi="宋体" w:cs="宋体"/>
          <w:sz w:val="28"/>
          <w:szCs w:val="28"/>
          <w:highlight w:val="none"/>
        </w:rPr>
        <w:t>6.投标有效期：自开标之日起90天内投标有效。</w:t>
      </w:r>
    </w:p>
    <w:p>
      <w:pPr>
        <w:spacing w:line="360" w:lineRule="auto"/>
        <w:ind w:firstLine="570"/>
        <w:jc w:val="left"/>
        <w:rPr>
          <w:rFonts w:ascii="宋体" w:hAnsi="宋体" w:cs="宋体"/>
          <w:sz w:val="28"/>
          <w:szCs w:val="28"/>
          <w:highlight w:val="none"/>
        </w:rPr>
      </w:pPr>
      <w:r>
        <w:rPr>
          <w:rFonts w:hint="eastAsia" w:ascii="宋体" w:hAnsi="宋体" w:cs="宋体"/>
          <w:sz w:val="28"/>
          <w:szCs w:val="28"/>
          <w:highlight w:val="none"/>
        </w:rPr>
        <w:t>7.招标过程接受学校纪检监察部门监督检查。</w:t>
      </w:r>
    </w:p>
    <w:p>
      <w:pPr>
        <w:adjustRightInd w:val="0"/>
        <w:snapToGrid w:val="0"/>
        <w:spacing w:before="312" w:beforeLines="100" w:after="312" w:afterLines="100" w:line="360" w:lineRule="auto"/>
        <w:jc w:val="center"/>
        <w:rPr>
          <w:rFonts w:ascii="宋体" w:cs="仿宋"/>
          <w:b/>
          <w:bCs/>
          <w:sz w:val="28"/>
          <w:szCs w:val="28"/>
          <w:highlight w:val="none"/>
        </w:rPr>
      </w:pPr>
      <w:r>
        <w:rPr>
          <w:rFonts w:hint="eastAsia" w:ascii="宋体" w:hAnsi="宋体" w:cs="仿宋"/>
          <w:b/>
          <w:bCs/>
          <w:sz w:val="28"/>
          <w:szCs w:val="28"/>
          <w:highlight w:val="none"/>
        </w:rPr>
        <w:t>二、对投标人及投标报价的要求</w:t>
      </w:r>
    </w:p>
    <w:p>
      <w:pPr>
        <w:snapToGrid w:val="0"/>
        <w:spacing w:line="360" w:lineRule="auto"/>
        <w:ind w:firstLine="540" w:firstLineChars="192"/>
        <w:rPr>
          <w:rFonts w:ascii="宋体" w:hAnsi="宋体"/>
          <w:b/>
          <w:kern w:val="0"/>
          <w:sz w:val="28"/>
          <w:szCs w:val="28"/>
          <w:highlight w:val="none"/>
        </w:rPr>
      </w:pPr>
      <w:r>
        <w:rPr>
          <w:rFonts w:hint="eastAsia" w:ascii="宋体" w:hAnsi="宋体"/>
          <w:b/>
          <w:kern w:val="0"/>
          <w:sz w:val="28"/>
          <w:szCs w:val="28"/>
          <w:highlight w:val="none"/>
        </w:rPr>
        <w:t>一、投标人必须符合以下能力、信誉和资质要求：</w:t>
      </w:r>
    </w:p>
    <w:p>
      <w:pPr>
        <w:widowControl/>
        <w:snapToGrid w:val="0"/>
        <w:spacing w:line="360" w:lineRule="auto"/>
        <w:ind w:firstLine="560" w:firstLineChars="200"/>
        <w:jc w:val="left"/>
        <w:rPr>
          <w:rFonts w:ascii="宋体" w:hAnsi="宋体" w:cs="宋体"/>
          <w:b/>
          <w:bCs/>
          <w:i/>
          <w:iCs/>
          <w:kern w:val="0"/>
          <w:sz w:val="28"/>
          <w:szCs w:val="28"/>
          <w:highlight w:val="none"/>
          <w:u w:val="single"/>
        </w:rPr>
      </w:pPr>
      <w:r>
        <w:rPr>
          <w:rFonts w:hint="eastAsia" w:ascii="宋体" w:hAnsi="宋体" w:cs="Arial"/>
          <w:i/>
          <w:iCs/>
          <w:sz w:val="28"/>
          <w:szCs w:val="28"/>
          <w:highlight w:val="none"/>
          <w:u w:val="single"/>
        </w:rPr>
        <w:t>（一）参加政府采购的供应商应当具备政府采购法</w:t>
      </w:r>
      <w:r>
        <w:rPr>
          <w:rFonts w:ascii="宋体" w:hAnsi="宋体" w:cs="Arial"/>
          <w:i/>
          <w:iCs/>
          <w:sz w:val="28"/>
          <w:szCs w:val="28"/>
          <w:highlight w:val="none"/>
          <w:u w:val="single"/>
        </w:rPr>
        <w:t>第二十二条</w:t>
      </w:r>
      <w:r>
        <w:rPr>
          <w:rFonts w:hint="eastAsia" w:ascii="宋体" w:hAnsi="宋体" w:cs="Arial"/>
          <w:i/>
          <w:iCs/>
          <w:sz w:val="28"/>
          <w:szCs w:val="28"/>
          <w:highlight w:val="none"/>
          <w:u w:val="single"/>
        </w:rPr>
        <w:t>第一款</w:t>
      </w:r>
      <w:r>
        <w:rPr>
          <w:rFonts w:ascii="宋体" w:hAnsi="宋体" w:cs="Arial"/>
          <w:i/>
          <w:iCs/>
          <w:sz w:val="28"/>
          <w:szCs w:val="28"/>
          <w:highlight w:val="none"/>
          <w:u w:val="single"/>
        </w:rPr>
        <w:t>规定</w:t>
      </w:r>
      <w:r>
        <w:rPr>
          <w:rFonts w:hint="eastAsia" w:ascii="宋体" w:hAnsi="宋体" w:cs="Arial"/>
          <w:i/>
          <w:iCs/>
          <w:sz w:val="28"/>
          <w:szCs w:val="28"/>
          <w:highlight w:val="none"/>
          <w:u w:val="single"/>
        </w:rPr>
        <w:t>的条件，并依照政府采购法实施条例第十七条规定提供下列材料：</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1.具有独立承担民事责任的能力，提供法人或其他组织的营业执照等证明文件，复印件加盖公章；</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2.法人代表授权书（原件）及法定代表人、授权代表身份证复印件（如果是法定代表人直接参与投标的可以不提供授权书）；</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3.具有良好的商业信誉和健全的财务会计制度，提供距开标时间六个月内任意一月份的财务状况报告（至少包括资产负债表和利润表）（法人或者其他组织成立未满三个月的可以不提供），或其银行出具的资信证书（复印件）（开标前六个月内），或其上一年度经审计的财务报告复印件加盖公章；</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4.具有履行合同所必需的设备和专业技术能力（根据项目需求提供履行合同所必需的设备和专业技术能力的证明材料或相关加盖公章的承诺函，承诺函自行编写）；</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5.参加政府采购活动近三年内（成立时间不足三年的、自成立时间起），在经营活动中没有重大违法记录（提供承诺书，格式自拟，重大违法记录是指供应商因违法经营受到刑事处罚或责令停产停业、吊销许可证或者执照、较大数额等行政处罚）；</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6.有依法缴纳税收的良好记录，提供距开标时间六个月内任意一月份的纳税凭据复印件加盖公章（依法免税的应提供相应文件说明）；</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7.有依法缴纳社会保障资金的良好记录，提供距开标时间六个月内任意一月份的依法缴纳社会保障资金的凭据复印件加盖公章；</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8.本项目拒绝下述供应商参加本次采购活动的情形：</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（1）供应商单位负责人为同一人或者存在直接控股、管理关系的不同供应商，不得参加同一合同项下的政府采购活动。</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（2）凡为采购项目提供整体设计、规范编制或者项目管理、监理、检测等服务的供应商，不得再参加本项目的采购活动。</w:t>
      </w:r>
    </w:p>
    <w:p>
      <w:pPr>
        <w:spacing w:line="360" w:lineRule="auto"/>
        <w:ind w:firstLine="548" w:firstLineChars="196"/>
        <w:rPr>
          <w:rFonts w:ascii="宋体" w:hAnsi="宋体" w:cs="宋体"/>
          <w:sz w:val="28"/>
          <w:szCs w:val="28"/>
          <w:highlight w:val="none"/>
        </w:rPr>
      </w:pPr>
      <w:r>
        <w:rPr>
          <w:rFonts w:hint="eastAsia" w:ascii="宋体" w:hAnsi="宋体" w:cs="宋体"/>
          <w:bCs/>
          <w:sz w:val="28"/>
          <w:szCs w:val="28"/>
          <w:highlight w:val="none"/>
        </w:rPr>
        <w:t>（3）供应商被“信用中国”网站（www.creditchina.gov.cn）、“中国政府采</w:t>
      </w:r>
      <w:r>
        <w:rPr>
          <w:rFonts w:hint="eastAsia" w:ascii="宋体" w:hAnsi="宋体" w:cs="宋体"/>
          <w:sz w:val="28"/>
          <w:szCs w:val="28"/>
          <w:highlight w:val="none"/>
        </w:rPr>
        <w:t>购网”(www.ccgp.gov.cn)列入失信被执行人、重大税收违法案件当事人名单、政府采购严重违法失信行为记录名单。</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9.本项目不接受联合体投标。</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二、本项目采用资格后审法，唱标后，进行资格审定。</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三、投标人应按附件</w:t>
      </w:r>
      <w:r>
        <w:rPr>
          <w:rFonts w:ascii="宋体" w:hAnsi="宋体" w:cs="宋体"/>
          <w:sz w:val="28"/>
          <w:szCs w:val="28"/>
          <w:highlight w:val="none"/>
        </w:rPr>
        <w:t>2</w:t>
      </w:r>
      <w:r>
        <w:rPr>
          <w:rFonts w:hint="eastAsia" w:ascii="宋体" w:hAnsi="宋体" w:cs="宋体"/>
          <w:sz w:val="28"/>
          <w:szCs w:val="28"/>
          <w:highlight w:val="none"/>
        </w:rPr>
        <w:t>、附件</w:t>
      </w:r>
      <w:r>
        <w:rPr>
          <w:rFonts w:ascii="宋体" w:hAnsi="宋体" w:cs="宋体"/>
          <w:sz w:val="28"/>
          <w:szCs w:val="28"/>
          <w:highlight w:val="none"/>
        </w:rPr>
        <w:t>3</w:t>
      </w:r>
      <w:r>
        <w:rPr>
          <w:rFonts w:hint="eastAsia" w:ascii="宋体" w:hAnsi="宋体" w:cs="宋体"/>
          <w:sz w:val="28"/>
          <w:szCs w:val="28"/>
          <w:highlight w:val="none"/>
        </w:rPr>
        <w:t>的格式报价，每一项目只有一个报价，不应有任何选择性报价。报价中应明确所投产品（或服务）的名称、品牌和型号，每一项目的报价应附有该项目的技术性能、材质、主要附件的详细描述和材料分析表等。</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四、项目若有分包，投标人可对招标清单中的任一分包、几包或全部分包投标，但不可拆分单一分包内容。对所投标的各分包项目，分别报投标单价和总价。</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五、本项目为交钥匙工程，报价为货物（含服务）到招标文件指定的地点安装完毕并验收合格后的最终报价。投标人的报价应将设备费、服务费、代理费、运输费、上下力费、检测费、安装费、调试费、安装辅材、合理利润、国家相关税费（含关税）及其他所有费用包含在内，一旦确定中标，不得另行提出其他费用要求。</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 xml:space="preserve">六、本项目预算价为 </w:t>
      </w:r>
      <w:r>
        <w:rPr>
          <w:rFonts w:hint="eastAsia" w:ascii="宋体" w:hAnsi="宋体" w:cs="宋体"/>
          <w:sz w:val="28"/>
          <w:szCs w:val="28"/>
          <w:highlight w:val="none"/>
          <w:lang w:val="en-US" w:eastAsia="zh-CN"/>
        </w:rPr>
        <w:t>48</w:t>
      </w:r>
      <w:r>
        <w:rPr>
          <w:rFonts w:hint="eastAsia" w:ascii="宋体" w:hAnsi="宋体" w:cs="宋体"/>
          <w:sz w:val="28"/>
          <w:szCs w:val="28"/>
          <w:highlight w:val="none"/>
        </w:rPr>
        <w:t>万元</w:t>
      </w:r>
      <w:r>
        <w:rPr>
          <w:rFonts w:hint="eastAsia" w:ascii="宋体" w:hAnsi="宋体" w:cs="宋体"/>
          <w:sz w:val="28"/>
          <w:szCs w:val="28"/>
          <w:highlight w:val="none"/>
        </w:rPr>
        <w:t>，本项目只接受人民币报价。</w:t>
      </w:r>
    </w:p>
    <w:p>
      <w:pPr>
        <w:spacing w:before="312" w:beforeLines="100" w:after="312" w:afterLines="100" w:line="360" w:lineRule="auto"/>
        <w:ind w:firstLine="548" w:firstLineChars="196"/>
        <w:jc w:val="center"/>
        <w:rPr>
          <w:rFonts w:ascii="黑体" w:hAnsi="黑体" w:eastAsia="黑体" w:cs="宋体"/>
          <w:sz w:val="28"/>
          <w:szCs w:val="28"/>
          <w:highlight w:val="none"/>
        </w:rPr>
      </w:pPr>
      <w:bookmarkStart w:id="2" w:name="_Hlk9866140"/>
      <w:r>
        <w:rPr>
          <w:rFonts w:hint="eastAsia" w:ascii="黑体" w:hAnsi="黑体" w:eastAsia="黑体" w:cs="宋体"/>
          <w:sz w:val="28"/>
          <w:szCs w:val="28"/>
          <w:highlight w:val="none"/>
        </w:rPr>
        <w:t>三、对投标文件的要求</w:t>
      </w:r>
    </w:p>
    <w:p>
      <w:pPr>
        <w:snapToGrid w:val="0"/>
        <w:spacing w:line="538" w:lineRule="exact"/>
        <w:ind w:firstLine="560" w:firstLineChars="200"/>
        <w:rPr>
          <w:rFonts w:ascii="宋体" w:hAnsi="宋体" w:cs="宋体"/>
          <w:bCs/>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投标人根据招标公告向我校提出报名后，</w:t>
      </w:r>
      <w:r>
        <w:rPr>
          <w:rFonts w:hint="eastAsia" w:ascii="宋体" w:hAnsi="宋体" w:cs="宋体"/>
          <w:bCs/>
          <w:sz w:val="28"/>
          <w:szCs w:val="28"/>
          <w:highlight w:val="none"/>
        </w:rPr>
        <w:t>从公告中自行下载招标文件电子版，并按招标文件的要求认真编制投标文件。</w:t>
      </w:r>
    </w:p>
    <w:p>
      <w:pPr>
        <w:snapToGrid w:val="0"/>
        <w:spacing w:line="538" w:lineRule="exact"/>
        <w:ind w:firstLine="560" w:firstLineChars="200"/>
        <w:rPr>
          <w:rFonts w:ascii="宋体" w:hAnsi="宋体" w:cs="宋体"/>
          <w:sz w:val="28"/>
          <w:szCs w:val="28"/>
          <w:highlight w:val="none"/>
        </w:rPr>
      </w:pPr>
      <w:r>
        <w:rPr>
          <w:rFonts w:hint="eastAsia" w:ascii="宋体" w:hAnsi="宋体" w:cs="宋体"/>
          <w:sz w:val="28"/>
          <w:szCs w:val="28"/>
          <w:highlight w:val="none"/>
        </w:rPr>
        <w:t>2.投标文件一正四副，正、副本均须列出目录，内容不得有插行、涂抹、粘贴等，并打印装订成册。</w:t>
      </w:r>
    </w:p>
    <w:p>
      <w:pPr>
        <w:snapToGrid w:val="0"/>
        <w:spacing w:line="538" w:lineRule="exact"/>
        <w:ind w:firstLine="560" w:firstLineChars="200"/>
        <w:rPr>
          <w:rFonts w:ascii="宋体" w:cs="宋体"/>
          <w:sz w:val="28"/>
          <w:szCs w:val="28"/>
          <w:highlight w:val="none"/>
        </w:rPr>
      </w:pPr>
      <w:r>
        <w:rPr>
          <w:rFonts w:hint="eastAsia" w:ascii="宋体" w:hAnsi="宋体" w:cs="宋体"/>
          <w:sz w:val="28"/>
          <w:szCs w:val="28"/>
          <w:highlight w:val="none"/>
        </w:rPr>
        <w:t>3.投标文件用档案袋密封，档案袋封面标明“正本”或“副本”字样，并注明招标编号、投标项目名称、投标人名称及投标人代表姓名、手机号码（务必留手机号码，不得留座机号码，以便联系）。</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为便于唱标和减少浪费，请将</w:t>
      </w:r>
      <w:r>
        <w:rPr>
          <w:rFonts w:ascii="宋体" w:hAnsi="宋体" w:cs="宋体"/>
          <w:sz w:val="28"/>
          <w:szCs w:val="28"/>
          <w:highlight w:val="none"/>
        </w:rPr>
        <w:t>1</w:t>
      </w:r>
      <w:r>
        <w:rPr>
          <w:rFonts w:hint="eastAsia" w:ascii="宋体" w:hAnsi="宋体" w:cs="宋体"/>
          <w:sz w:val="28"/>
          <w:szCs w:val="28"/>
          <w:highlight w:val="none"/>
        </w:rPr>
        <w:t>份正本单独封装，另外</w:t>
      </w:r>
      <w:r>
        <w:rPr>
          <w:rFonts w:ascii="宋体" w:hAnsi="宋体" w:cs="宋体"/>
          <w:sz w:val="28"/>
          <w:szCs w:val="28"/>
          <w:highlight w:val="none"/>
        </w:rPr>
        <w:t>4</w:t>
      </w:r>
      <w:r>
        <w:rPr>
          <w:rFonts w:hint="eastAsia" w:ascii="宋体" w:hAnsi="宋体" w:cs="宋体"/>
          <w:sz w:val="28"/>
          <w:szCs w:val="28"/>
          <w:highlight w:val="none"/>
        </w:rPr>
        <w:t>份副本可叠加封装在一个大的档案袋中（</w:t>
      </w:r>
      <w:r>
        <w:rPr>
          <w:rFonts w:ascii="宋体" w:hAnsi="宋体" w:cs="宋体"/>
          <w:sz w:val="28"/>
          <w:szCs w:val="28"/>
          <w:highlight w:val="none"/>
        </w:rPr>
        <w:t>4</w:t>
      </w:r>
      <w:r>
        <w:rPr>
          <w:rFonts w:hint="eastAsia" w:ascii="宋体" w:hAnsi="宋体" w:cs="宋体"/>
          <w:sz w:val="28"/>
          <w:szCs w:val="28"/>
          <w:highlight w:val="none"/>
        </w:rPr>
        <w:t>份副本无需分别封装在</w:t>
      </w:r>
      <w:r>
        <w:rPr>
          <w:rFonts w:ascii="宋体" w:hAnsi="宋体" w:cs="宋体"/>
          <w:sz w:val="28"/>
          <w:szCs w:val="28"/>
          <w:highlight w:val="none"/>
        </w:rPr>
        <w:t>4</w:t>
      </w:r>
      <w:r>
        <w:rPr>
          <w:rFonts w:hint="eastAsia" w:ascii="宋体" w:hAnsi="宋体" w:cs="宋体"/>
          <w:sz w:val="28"/>
          <w:szCs w:val="28"/>
          <w:highlight w:val="none"/>
        </w:rPr>
        <w:t>个档案袋中，一个大档案袋封装不下的除外）。每家投标人在送交投标文件时，只需交</w:t>
      </w:r>
      <w:r>
        <w:rPr>
          <w:rFonts w:ascii="宋体" w:hAnsi="宋体" w:cs="宋体"/>
          <w:sz w:val="28"/>
          <w:szCs w:val="28"/>
          <w:highlight w:val="none"/>
        </w:rPr>
        <w:t>2</w:t>
      </w:r>
      <w:r>
        <w:rPr>
          <w:rFonts w:hint="eastAsia" w:ascii="宋体" w:hAnsi="宋体" w:cs="宋体"/>
          <w:sz w:val="28"/>
          <w:szCs w:val="28"/>
          <w:highlight w:val="none"/>
        </w:rPr>
        <w:t>个档案袋即可，即</w:t>
      </w:r>
      <w:r>
        <w:rPr>
          <w:rFonts w:ascii="宋体" w:hAnsi="宋体" w:cs="宋体"/>
          <w:sz w:val="28"/>
          <w:szCs w:val="28"/>
          <w:highlight w:val="none"/>
        </w:rPr>
        <w:t>1</w:t>
      </w:r>
      <w:r>
        <w:rPr>
          <w:rFonts w:hint="eastAsia" w:ascii="宋体" w:hAnsi="宋体" w:cs="宋体"/>
          <w:sz w:val="28"/>
          <w:szCs w:val="28"/>
          <w:highlight w:val="none"/>
        </w:rPr>
        <w:t>个正本档案袋，</w:t>
      </w:r>
      <w:r>
        <w:rPr>
          <w:rFonts w:ascii="宋体" w:hAnsi="宋体" w:cs="宋体"/>
          <w:sz w:val="28"/>
          <w:szCs w:val="28"/>
          <w:highlight w:val="none"/>
        </w:rPr>
        <w:t>1</w:t>
      </w:r>
      <w:r>
        <w:rPr>
          <w:rFonts w:hint="eastAsia" w:ascii="宋体" w:hAnsi="宋体" w:cs="宋体"/>
          <w:sz w:val="28"/>
          <w:szCs w:val="28"/>
          <w:highlight w:val="none"/>
        </w:rPr>
        <w:t>个大的副本档案袋。</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5.</w:t>
      </w:r>
      <w:r>
        <w:rPr>
          <w:rFonts w:hint="eastAsia" w:ascii="宋体" w:hAnsi="宋体" w:cs="宋体"/>
          <w:sz w:val="28"/>
          <w:szCs w:val="28"/>
          <w:highlight w:val="none"/>
        </w:rPr>
        <w:t>投标文件应包含以下内容（所有材料必须加盖投标单位公章）：</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）经投标单位法人或委托代理人代表签字并加盖单位公章的投标函（附件</w:t>
      </w:r>
      <w:r>
        <w:rPr>
          <w:rFonts w:ascii="宋体" w:hAnsi="宋体" w:cs="宋体"/>
          <w:sz w:val="28"/>
          <w:szCs w:val="28"/>
          <w:highlight w:val="none"/>
        </w:rPr>
        <w:t>2</w:t>
      </w:r>
      <w:r>
        <w:rPr>
          <w:rFonts w:hint="eastAsia" w:ascii="宋体" w:hAnsi="宋体" w:cs="宋体"/>
          <w:sz w:val="28"/>
          <w:szCs w:val="28"/>
          <w:highlight w:val="none"/>
        </w:rPr>
        <w:t>格式，为便于唱标，此函件请务必放置在投标文件内页的第一页）；</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）投标价格明细表（附件</w:t>
      </w:r>
      <w:r>
        <w:rPr>
          <w:rFonts w:ascii="宋体" w:hAnsi="宋体" w:cs="宋体"/>
          <w:sz w:val="28"/>
          <w:szCs w:val="28"/>
          <w:highlight w:val="none"/>
        </w:rPr>
        <w:t>3</w:t>
      </w:r>
      <w:r>
        <w:rPr>
          <w:rFonts w:hint="eastAsia" w:ascii="宋体" w:hAnsi="宋体" w:cs="宋体"/>
          <w:sz w:val="28"/>
          <w:szCs w:val="28"/>
          <w:highlight w:val="none"/>
        </w:rPr>
        <w:t>）；</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3</w:t>
      </w:r>
      <w:r>
        <w:rPr>
          <w:rFonts w:hint="eastAsia" w:ascii="宋体" w:hAnsi="宋体" w:cs="宋体"/>
          <w:sz w:val="28"/>
          <w:szCs w:val="28"/>
          <w:highlight w:val="none"/>
        </w:rPr>
        <w:t>）</w:t>
      </w:r>
      <w:r>
        <w:rPr>
          <w:rFonts w:ascii="宋体" w:hAnsi="宋体" w:cs="宋体"/>
          <w:sz w:val="28"/>
          <w:szCs w:val="28"/>
          <w:highlight w:val="none"/>
        </w:rPr>
        <w:t>300</w:t>
      </w:r>
      <w:r>
        <w:rPr>
          <w:rFonts w:hint="eastAsia" w:ascii="宋体" w:hAnsi="宋体" w:cs="宋体"/>
          <w:sz w:val="28"/>
          <w:szCs w:val="28"/>
          <w:highlight w:val="none"/>
        </w:rPr>
        <w:t>元报名资料费银行转账回单（复印件）；</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4</w:t>
      </w:r>
      <w:r>
        <w:rPr>
          <w:rFonts w:hint="eastAsia" w:ascii="宋体" w:hAnsi="宋体" w:cs="宋体"/>
          <w:sz w:val="28"/>
          <w:szCs w:val="28"/>
          <w:highlight w:val="none"/>
        </w:rPr>
        <w:t>）投标人相关资质证明文件复印件（如：营业执照、组织机构代码证、银行基本户开户证、生产许可证、资质证书等）；</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5</w:t>
      </w:r>
      <w:r>
        <w:rPr>
          <w:rFonts w:hint="eastAsia" w:ascii="宋体" w:hAnsi="宋体" w:cs="宋体"/>
          <w:sz w:val="28"/>
          <w:szCs w:val="28"/>
          <w:highlight w:val="none"/>
        </w:rPr>
        <w:t>）授权委托书、被委托人身份证复印件；</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6</w:t>
      </w:r>
      <w:r>
        <w:rPr>
          <w:rFonts w:hint="eastAsia" w:ascii="宋体" w:hAnsi="宋体" w:cs="宋体"/>
          <w:sz w:val="28"/>
          <w:szCs w:val="28"/>
          <w:highlight w:val="none"/>
        </w:rPr>
        <w:t>）产品（或服务，下同）技术性能参数的详细描述一览表（投标文件在对投标标的物进行技术和商务描述时，必须完全按照招标文件附件</w:t>
      </w:r>
      <w:r>
        <w:rPr>
          <w:rFonts w:ascii="宋体" w:hAnsi="宋体" w:cs="宋体"/>
          <w:sz w:val="28"/>
          <w:szCs w:val="28"/>
          <w:highlight w:val="none"/>
        </w:rPr>
        <w:t>1</w:t>
      </w:r>
      <w:r>
        <w:rPr>
          <w:rFonts w:hint="eastAsia" w:ascii="宋体" w:hAnsi="宋体" w:cs="宋体"/>
          <w:sz w:val="28"/>
          <w:szCs w:val="28"/>
          <w:highlight w:val="none"/>
        </w:rPr>
        <w:t>中的章节顺序依次逐条响应，不得颠倒顺序，不得有漏项，不得原封不动地引用招标文件附件</w:t>
      </w:r>
      <w:r>
        <w:rPr>
          <w:rFonts w:ascii="宋体" w:hAnsi="宋体" w:cs="宋体"/>
          <w:sz w:val="28"/>
          <w:szCs w:val="28"/>
          <w:highlight w:val="none"/>
        </w:rPr>
        <w:t>1</w:t>
      </w:r>
      <w:r>
        <w:rPr>
          <w:rFonts w:hint="eastAsia" w:ascii="宋体" w:hAnsi="宋体" w:cs="宋体"/>
          <w:sz w:val="28"/>
          <w:szCs w:val="28"/>
          <w:highlight w:val="none"/>
        </w:rPr>
        <w:t>中的章节、句段；投标文件应采用文字加图片或图形描述的方式对标的物进行必要的、详尽的说明；</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7</w:t>
      </w:r>
      <w:r>
        <w:rPr>
          <w:rFonts w:hint="eastAsia" w:ascii="宋体" w:hAnsi="宋体" w:cs="宋体"/>
          <w:sz w:val="28"/>
          <w:szCs w:val="28"/>
          <w:highlight w:val="none"/>
        </w:rPr>
        <w:t>）产品技术和商务指标偏差表；</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8</w:t>
      </w:r>
      <w:r>
        <w:rPr>
          <w:rFonts w:hint="eastAsia" w:ascii="宋体" w:hAnsi="宋体" w:cs="宋体"/>
          <w:sz w:val="28"/>
          <w:szCs w:val="28"/>
          <w:highlight w:val="none"/>
        </w:rPr>
        <w:t>）产品服务方案；</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（9</w:t>
      </w:r>
      <w:r>
        <w:rPr>
          <w:rFonts w:ascii="宋体" w:hAnsi="宋体" w:cs="宋体"/>
          <w:sz w:val="28"/>
          <w:szCs w:val="28"/>
          <w:highlight w:val="none"/>
        </w:rPr>
        <w:t>)</w:t>
      </w:r>
      <w:r>
        <w:rPr>
          <w:rFonts w:hint="eastAsia" w:ascii="宋体" w:hAnsi="宋体" w:cs="宋体"/>
          <w:sz w:val="28"/>
          <w:szCs w:val="28"/>
          <w:highlight w:val="none"/>
        </w:rPr>
        <w:t xml:space="preserve"> 产品质量、工期、安全、管理及售后服务承诺书；</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（10）产品质量检测报告、质保、认证等证书；</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（11）对所提供投标资料真实性的声明，如有失信，自愿接受我校的相关处罚（法人代表或授权委托人签名并加盖单位公章的原件）；</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（12）招标文件规定或投标人对照评标办法的得分因素以及附件</w:t>
      </w:r>
      <w:r>
        <w:rPr>
          <w:rFonts w:ascii="宋体" w:hAnsi="宋体" w:cs="宋体"/>
          <w:sz w:val="28"/>
          <w:szCs w:val="28"/>
          <w:highlight w:val="none"/>
        </w:rPr>
        <w:t>1</w:t>
      </w:r>
      <w:r>
        <w:rPr>
          <w:rFonts w:hint="eastAsia" w:ascii="宋体" w:hAnsi="宋体" w:cs="宋体"/>
          <w:sz w:val="28"/>
          <w:szCs w:val="28"/>
          <w:highlight w:val="none"/>
        </w:rPr>
        <w:t>相关要求认为应提交的其他资料和文件。</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（13）</w:t>
      </w:r>
      <w:r>
        <w:rPr>
          <w:rFonts w:hint="eastAsia"/>
          <w:sz w:val="28"/>
          <w:szCs w:val="28"/>
          <w:highlight w:val="none"/>
        </w:rPr>
        <w:t>投标人必须投本标书所有标段的设备，不允许分标段投标；标书中</w:t>
      </w:r>
      <w:r>
        <w:rPr>
          <w:rFonts w:hint="eastAsia" w:ascii="宋体" w:hAnsi="宋体" w:cs="Arial"/>
          <w:kern w:val="0"/>
          <w:sz w:val="18"/>
          <w:szCs w:val="18"/>
          <w:highlight w:val="none"/>
        </w:rPr>
        <w:t>★</w:t>
      </w:r>
      <w:r>
        <w:rPr>
          <w:rFonts w:hint="eastAsia"/>
          <w:sz w:val="28"/>
          <w:szCs w:val="28"/>
          <w:highlight w:val="none"/>
        </w:rPr>
        <w:t>的参数必须满足，否则视为无效标书；所有设备质保年限必需满足标书附件1中其他说明要求，中标后在签订合同前必须提供原厂服务承诺书及授权函，否则视为无效标书。</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6.</w:t>
      </w:r>
      <w:r>
        <w:rPr>
          <w:rFonts w:hint="eastAsia" w:ascii="宋体" w:hAnsi="宋体" w:cs="宋体"/>
          <w:sz w:val="28"/>
          <w:szCs w:val="28"/>
          <w:highlight w:val="none"/>
        </w:rPr>
        <w:t>投标人在投标文件中应承诺对如下内容已完全理解，如不承诺，视为认可：</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）在参与我校相关项目的招投标活动中，遵纪守法，诚信经营，公平竞争；</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）不向项目主管单位、招标主管单位、采购人、评标专家等相关人员行贿或提供好处等；不与招标采购项目的主管单位、招标管理部门、采购人、评审专家或其他投标人串通，干扰学校招标采购市场秩序；</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3</w:t>
      </w:r>
      <w:r>
        <w:rPr>
          <w:rFonts w:hint="eastAsia" w:ascii="宋体" w:hAnsi="宋体" w:cs="宋体"/>
          <w:sz w:val="28"/>
          <w:szCs w:val="28"/>
          <w:highlight w:val="none"/>
        </w:rPr>
        <w:t>）不向学校提供虚假资质文件或采用各种虚假应标方式进行投标竞争；不采取“围标、陪标”等商业欺诈手段参与投标；不发生其他有悖于招标采购“公开、公平、公正和诚信”原则的行为；</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4</w:t>
      </w:r>
      <w:r>
        <w:rPr>
          <w:rFonts w:hint="eastAsia" w:ascii="宋体" w:hAnsi="宋体" w:cs="宋体"/>
          <w:sz w:val="28"/>
          <w:szCs w:val="28"/>
          <w:highlight w:val="none"/>
        </w:rPr>
        <w:t>）不采取不正当手段诋毁、排挤其他投标人；</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5</w:t>
      </w:r>
      <w:r>
        <w:rPr>
          <w:rFonts w:hint="eastAsia" w:ascii="宋体" w:hAnsi="宋体" w:cs="宋体"/>
          <w:sz w:val="28"/>
          <w:szCs w:val="28"/>
          <w:highlight w:val="none"/>
        </w:rPr>
        <w:t>）不在提供商品和服务时以次充好，损害学校的利益；本项目所明确指定的物品名称、规格、品牌（产地）、性能，或明确提出其他各项要求的，投标单位保证中标后按要求执行；特殊情况下，做任何更改必须经我校书面认可，否则本校有权酌减直至拒付货款；</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6</w:t>
      </w:r>
      <w:r>
        <w:rPr>
          <w:rFonts w:hint="eastAsia" w:ascii="宋体" w:hAnsi="宋体" w:cs="宋体"/>
          <w:sz w:val="28"/>
          <w:szCs w:val="28"/>
          <w:highlight w:val="none"/>
        </w:rPr>
        <w:t>）本项目的中标单位由本校评标专家组按规定程序确定（采用“评定分离”制的项目除外）；</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7</w:t>
      </w:r>
      <w:r>
        <w:rPr>
          <w:rFonts w:hint="eastAsia" w:ascii="宋体" w:hAnsi="宋体" w:cs="宋体"/>
          <w:sz w:val="28"/>
          <w:szCs w:val="28"/>
          <w:highlight w:val="none"/>
        </w:rPr>
        <w:t>）未能中标单位，本校对其原因不作解释；</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8</w:t>
      </w:r>
      <w:r>
        <w:rPr>
          <w:rFonts w:hint="eastAsia" w:ascii="宋体" w:hAnsi="宋体" w:cs="宋体"/>
          <w:sz w:val="28"/>
          <w:szCs w:val="28"/>
          <w:highlight w:val="none"/>
        </w:rPr>
        <w:t>）投标单位对本文件其他内容已充分理解，并承诺一经中标即严格按合同执行，合同附件与合同有同等法律效力。</w:t>
      </w:r>
    </w:p>
    <w:bookmarkEnd w:id="2"/>
    <w:p>
      <w:pPr>
        <w:spacing w:before="312" w:beforeLines="100" w:after="312" w:afterLines="100" w:line="360" w:lineRule="auto"/>
        <w:ind w:firstLine="548" w:firstLineChars="196"/>
        <w:jc w:val="center"/>
        <w:rPr>
          <w:rFonts w:ascii="黑体" w:hAnsi="黑体" w:eastAsia="黑体" w:cs="宋体"/>
          <w:sz w:val="28"/>
          <w:szCs w:val="28"/>
          <w:highlight w:val="none"/>
        </w:rPr>
      </w:pPr>
      <w:bookmarkStart w:id="3" w:name="_Hlk9866206"/>
      <w:r>
        <w:rPr>
          <w:rFonts w:hint="eastAsia" w:ascii="黑体" w:hAnsi="黑体" w:eastAsia="黑体" w:cs="宋体"/>
          <w:sz w:val="28"/>
          <w:szCs w:val="28"/>
          <w:highlight w:val="none"/>
        </w:rPr>
        <w:t>四、开标程序</w:t>
      </w:r>
    </w:p>
    <w:bookmarkEnd w:id="3"/>
    <w:p>
      <w:pP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招标文件给出评标办法（见附件</w:t>
      </w:r>
      <w:r>
        <w:rPr>
          <w:rFonts w:ascii="宋体" w:hAnsi="宋体" w:cs="宋体"/>
          <w:sz w:val="28"/>
          <w:szCs w:val="28"/>
          <w:highlight w:val="none"/>
        </w:rPr>
        <w:t>5</w:t>
      </w:r>
      <w:r>
        <w:rPr>
          <w:rFonts w:hint="eastAsia" w:ascii="宋体" w:hAnsi="宋体" w:cs="宋体"/>
          <w:sz w:val="28"/>
          <w:szCs w:val="28"/>
          <w:highlight w:val="none"/>
        </w:rPr>
        <w:t>）</w:t>
      </w:r>
      <w:r>
        <w:rPr>
          <w:rFonts w:ascii="宋体" w:cs="宋体"/>
          <w:sz w:val="28"/>
          <w:szCs w:val="28"/>
          <w:highlight w:val="none"/>
        </w:rPr>
        <w:t>,</w:t>
      </w:r>
      <w:r>
        <w:rPr>
          <w:rFonts w:hint="eastAsia" w:ascii="宋体" w:hAnsi="宋体" w:cs="宋体"/>
          <w:sz w:val="28"/>
          <w:szCs w:val="28"/>
          <w:highlight w:val="none"/>
        </w:rPr>
        <w:t>供投标人和评标专家组参考。</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在开标前工作日的半天，由校相关部门按照评委产生办法，从校招标和验收专家库中随机抽取评委，组成评标专家组。涉及学校发展等重大项目，经一定程序批准后，可临时组成综合评标专家组。对专业技术特别的项目，经一定程序批准后，从省市招标专家库中聘请一定数量的校外评审专家。</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由招标办根据政府和行业相关规定，以及招标工作经验，在起草招标文件时提出建议评标办法。招标文件传阅过程中，相关部门可对建议评标办法提出修改意见。投标人也可以在答疑过程中对评标办法提出修改建议。经过上述程序确定招标文件和评标办法。</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招标办工作人员在投标人的见证下唱标。投标人或投标人代表在唱标结果上签名确认。如投标人均未参加唱标，则由招标办工作人员和评标专家组组长、采购人代表共同签名确认。重要项目另请纪检监察部门代表签字。</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5.</w:t>
      </w:r>
      <w:r>
        <w:rPr>
          <w:rFonts w:hint="eastAsia" w:ascii="宋体" w:hAnsi="宋体" w:cs="宋体"/>
          <w:sz w:val="28"/>
          <w:szCs w:val="28"/>
          <w:highlight w:val="none"/>
        </w:rPr>
        <w:t>评标专家组按照确定的评标办法，根据投标人核心指标和非核心指标满足情况、报价、样品（有的项目有样品）、工作方案设计、产品或服务质量以及满足招标文件要求的程度、业绩、服务承诺等因素公正、独立综合打分和综合排序，确定拟中标单位。</w:t>
      </w:r>
    </w:p>
    <w:p>
      <w:pPr>
        <w:spacing w:line="360" w:lineRule="auto"/>
        <w:ind w:firstLine="560" w:firstLineChars="200"/>
        <w:rPr>
          <w:rFonts w:ascii="宋体" w:cs="宋体"/>
          <w:sz w:val="28"/>
          <w:szCs w:val="28"/>
          <w:highlight w:val="none"/>
        </w:rPr>
      </w:pPr>
      <w:r>
        <w:rPr>
          <w:rFonts w:hint="eastAsia" w:ascii="宋体" w:hAnsi="宋体" w:cs="宋体"/>
          <w:sz w:val="28"/>
          <w:szCs w:val="28"/>
          <w:highlight w:val="none"/>
        </w:rPr>
        <w:t>备注：评标统计规则：各评委先对各家单位综合得分情况进行排序，再将各评委排序累加，数字最小者为第一名，余类推，如有并列，再计算总分加以区别。</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6.</w:t>
      </w:r>
      <w:r>
        <w:rPr>
          <w:rFonts w:hint="eastAsia" w:ascii="宋体" w:hAnsi="宋体" w:cs="宋体"/>
          <w:sz w:val="28"/>
          <w:szCs w:val="28"/>
          <w:highlight w:val="none"/>
        </w:rPr>
        <w:t>投标报价有算术错误的，评标专家组按以下原则对投标报价进行修正，修正的价格经投标人书面确认后具有约束力。投标人不接受修正价格的，其投标作无效标处理。</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）投标文件中的大写金额与小写金额不一致的，以大写金额为准；正本和副本不一致的，以正本为准。</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）总价金额与依据单价计算出的结果不一致的，以单价金额为准修正总价，但单价金额小数点有明显错误的除外。</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7.</w:t>
      </w:r>
      <w:r>
        <w:rPr>
          <w:rFonts w:hint="eastAsia" w:ascii="宋体" w:hAnsi="宋体" w:cs="宋体"/>
          <w:sz w:val="28"/>
          <w:szCs w:val="28"/>
          <w:highlight w:val="none"/>
        </w:rPr>
        <w:t>招标办根据评标专家组综合排序，在学校网站和招标办网站对拟中标单位进行公示。公示结束，无异议，确定中标单位。</w:t>
      </w:r>
    </w:p>
    <w:p>
      <w:pPr>
        <w:spacing w:before="312" w:beforeLines="100" w:after="312" w:afterLines="100" w:line="360" w:lineRule="auto"/>
        <w:ind w:firstLine="548" w:firstLineChars="196"/>
        <w:jc w:val="center"/>
        <w:rPr>
          <w:rFonts w:ascii="黑体" w:hAnsi="黑体" w:eastAsia="黑体" w:cs="宋体"/>
          <w:sz w:val="28"/>
          <w:szCs w:val="28"/>
          <w:highlight w:val="none"/>
        </w:rPr>
      </w:pPr>
      <w:r>
        <w:rPr>
          <w:rFonts w:hint="eastAsia" w:ascii="黑体" w:hAnsi="黑体" w:eastAsia="黑体" w:cs="宋体"/>
          <w:sz w:val="28"/>
          <w:szCs w:val="28"/>
          <w:highlight w:val="none"/>
        </w:rPr>
        <w:t>五、无效投标</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投标文件出现下列情形的，将作为无效投标文件，不得进入评标：</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投标文件未按照招标文件的要求予以密封的；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投标文件中应盖投标单位公章未盖章的（含投标函、承诺函），或投标文件中投标单位法定代表人（或委托代理人）应盖章签字未盖章签字的，或投标文件正（副）本整本均未见法定代表人或委托代理人签字的；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投标文件少项漏项，或关键内容字迹模糊、无法辨认的；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有</w:t>
      </w:r>
      <w:r>
        <w:rPr>
          <w:rFonts w:ascii="宋体" w:hAnsi="宋体" w:cs="宋体"/>
          <w:sz w:val="28"/>
          <w:szCs w:val="28"/>
          <w:highlight w:val="none"/>
        </w:rPr>
        <w:t>1</w:t>
      </w:r>
      <w:r>
        <w:rPr>
          <w:rFonts w:hint="eastAsia" w:ascii="宋体" w:hAnsi="宋体" w:cs="宋体"/>
          <w:sz w:val="28"/>
          <w:szCs w:val="28"/>
          <w:highlight w:val="none"/>
        </w:rPr>
        <w:t>个核心指标或有</w:t>
      </w:r>
      <w:r>
        <w:rPr>
          <w:rFonts w:ascii="宋体" w:hAnsi="宋体" w:cs="宋体"/>
          <w:sz w:val="28"/>
          <w:szCs w:val="28"/>
          <w:highlight w:val="none"/>
        </w:rPr>
        <w:t>5</w:t>
      </w:r>
      <w:r>
        <w:rPr>
          <w:rFonts w:hint="eastAsia" w:ascii="宋体" w:hAnsi="宋体" w:cs="宋体"/>
          <w:sz w:val="28"/>
          <w:szCs w:val="28"/>
          <w:highlight w:val="none"/>
        </w:rPr>
        <w:t>个及以上非核心指标未能满足的；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5.</w:t>
      </w:r>
      <w:r>
        <w:rPr>
          <w:rFonts w:hint="eastAsia" w:ascii="宋体" w:hAnsi="宋体" w:cs="宋体"/>
          <w:sz w:val="28"/>
          <w:szCs w:val="28"/>
          <w:highlight w:val="none"/>
        </w:rPr>
        <w:t>投标单位提供的服务未能响应招标文件要求的，或服务不能满足招标要求的，或不符合招标文件规定的其他实质性要求的，或投标文件附有招标人不能接受的条件的；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6.</w:t>
      </w:r>
      <w:r>
        <w:rPr>
          <w:rFonts w:hint="eastAsia" w:ascii="宋体" w:hAnsi="宋体" w:cs="宋体"/>
          <w:sz w:val="28"/>
          <w:szCs w:val="28"/>
          <w:highlight w:val="none"/>
        </w:rPr>
        <w:t>技术指标响应内容未按照招标文件附件</w:t>
      </w:r>
      <w:r>
        <w:rPr>
          <w:rFonts w:ascii="宋体" w:hAnsi="宋体" w:cs="宋体"/>
          <w:sz w:val="28"/>
          <w:szCs w:val="28"/>
          <w:highlight w:val="none"/>
        </w:rPr>
        <w:t>1</w:t>
      </w:r>
      <w:r>
        <w:rPr>
          <w:rFonts w:hint="eastAsia" w:ascii="宋体" w:hAnsi="宋体" w:cs="宋体"/>
          <w:sz w:val="28"/>
          <w:szCs w:val="28"/>
          <w:highlight w:val="none"/>
        </w:rPr>
        <w:t>中的章节顺序依次逐条响应；投标文件未采用文字加图片或图形描述的方式对货物进行必要的、详尽的说明，原封不动地引用招标文件附件</w:t>
      </w:r>
      <w:r>
        <w:rPr>
          <w:rFonts w:ascii="宋体" w:hAnsi="宋体" w:cs="宋体"/>
          <w:sz w:val="28"/>
          <w:szCs w:val="28"/>
          <w:highlight w:val="none"/>
        </w:rPr>
        <w:t>1</w:t>
      </w:r>
      <w:r>
        <w:rPr>
          <w:rFonts w:hint="eastAsia" w:ascii="宋体" w:hAnsi="宋体" w:cs="宋体"/>
          <w:sz w:val="28"/>
          <w:szCs w:val="28"/>
          <w:highlight w:val="none"/>
        </w:rPr>
        <w:t>中的章节、句段的；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7.</w:t>
      </w:r>
      <w:r>
        <w:rPr>
          <w:rFonts w:hint="eastAsia" w:ascii="宋体" w:hAnsi="宋体" w:cs="宋体"/>
          <w:sz w:val="28"/>
          <w:szCs w:val="28"/>
          <w:highlight w:val="none"/>
        </w:rPr>
        <w:t>报价明显低于其他通过符合性审查投标人的报价，有可能影响产品质量或不能诚信履约的，评标专家组要求其在评标现场合理的时间内提供书面说明，必要时提交有关证明材料。投标人不能证明其报价合理性的，评标专家组将其作为无效投标处理；</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8.</w:t>
      </w:r>
      <w:r>
        <w:rPr>
          <w:rFonts w:hint="eastAsia" w:ascii="宋体" w:hAnsi="宋体" w:cs="宋体"/>
          <w:sz w:val="28"/>
          <w:szCs w:val="28"/>
          <w:highlight w:val="none"/>
        </w:rPr>
        <w:t>报价超过预算金额，或以人民币之外的币种报价的；</w:t>
      </w:r>
    </w:p>
    <w:p>
      <w:pPr>
        <w:spacing w:line="360" w:lineRule="auto"/>
        <w:ind w:firstLine="548" w:firstLineChars="196"/>
        <w:rPr>
          <w:rFonts w:ascii="宋体" w:hAnsi="宋体" w:cs="宋体"/>
          <w:b/>
          <w:sz w:val="28"/>
          <w:szCs w:val="28"/>
          <w:highlight w:val="none"/>
        </w:rPr>
      </w:pPr>
      <w:r>
        <w:rPr>
          <w:rFonts w:ascii="宋体" w:hAnsi="宋体" w:cs="宋体"/>
          <w:sz w:val="28"/>
          <w:szCs w:val="28"/>
          <w:highlight w:val="none"/>
        </w:rPr>
        <w:t>9.</w:t>
      </w:r>
      <w:r>
        <w:rPr>
          <w:rFonts w:hint="eastAsia" w:ascii="宋体" w:hAnsi="宋体" w:cs="宋体"/>
          <w:sz w:val="28"/>
          <w:szCs w:val="28"/>
          <w:highlight w:val="none"/>
        </w:rPr>
        <w:t>无</w:t>
      </w:r>
      <w:r>
        <w:rPr>
          <w:rFonts w:ascii="宋体" w:hAnsi="宋体" w:cs="宋体"/>
          <w:sz w:val="28"/>
          <w:szCs w:val="28"/>
          <w:highlight w:val="none"/>
        </w:rPr>
        <w:t>300</w:t>
      </w:r>
      <w:r>
        <w:rPr>
          <w:rFonts w:hint="eastAsia" w:ascii="宋体" w:hAnsi="宋体" w:cs="宋体"/>
          <w:sz w:val="28"/>
          <w:szCs w:val="28"/>
          <w:highlight w:val="none"/>
        </w:rPr>
        <w:t>元报名资料费银行转账回单复印件的，或报名资料费银行转账回单中无</w:t>
      </w:r>
      <w:r>
        <w:rPr>
          <w:rFonts w:hint="eastAsia" w:ascii="宋体" w:hAnsi="宋体" w:cs="宋体"/>
          <w:b/>
          <w:sz w:val="28"/>
          <w:szCs w:val="28"/>
          <w:highlight w:val="none"/>
        </w:rPr>
        <w:t>“</w:t>
      </w:r>
      <w:r>
        <w:rPr>
          <w:rFonts w:hint="eastAsia" w:ascii="仿宋" w:hAnsi="仿宋" w:eastAsia="仿宋" w:cs="仿宋"/>
          <w:b/>
          <w:bCs/>
          <w:i w:val="0"/>
          <w:iCs w:val="0"/>
          <w:caps w:val="0"/>
          <w:color w:val="000000"/>
          <w:spacing w:val="0"/>
          <w:kern w:val="0"/>
          <w:sz w:val="28"/>
          <w:szCs w:val="28"/>
          <w:highlight w:val="none"/>
          <w:lang w:val="en-US" w:eastAsia="zh-CN" w:bidi="ar"/>
        </w:rPr>
        <w:t>JZCG-2022-00072</w:t>
      </w:r>
      <w:r>
        <w:rPr>
          <w:rFonts w:hint="eastAsia" w:ascii="宋体" w:hAnsi="宋体" w:cs="宋体"/>
          <w:b/>
          <w:sz w:val="28"/>
          <w:szCs w:val="28"/>
          <w:highlight w:val="none"/>
        </w:rPr>
        <w:t>资料费</w:t>
      </w:r>
      <w:r>
        <w:rPr>
          <w:rFonts w:hint="eastAsia" w:ascii="宋体" w:hAnsi="宋体" w:cs="宋体"/>
          <w:b/>
          <w:sz w:val="28"/>
          <w:szCs w:val="28"/>
          <w:highlight w:val="none"/>
        </w:rPr>
        <w:t>”</w:t>
      </w:r>
      <w:r>
        <w:rPr>
          <w:rFonts w:hint="eastAsia" w:ascii="宋体" w:hAnsi="宋体" w:cs="宋体"/>
          <w:sz w:val="28"/>
          <w:szCs w:val="28"/>
          <w:highlight w:val="none"/>
        </w:rPr>
        <w:t>字样的；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10.</w:t>
      </w:r>
      <w:r>
        <w:rPr>
          <w:rFonts w:hint="eastAsia" w:ascii="宋体" w:hAnsi="宋体" w:cs="宋体"/>
          <w:sz w:val="28"/>
          <w:szCs w:val="28"/>
          <w:highlight w:val="none"/>
        </w:rPr>
        <w:t>招标文件中虽没明确，但经评标专家组讨论通过的符合无效投标情形的其他条件。</w:t>
      </w:r>
    </w:p>
    <w:p>
      <w:pPr>
        <w:spacing w:before="312" w:beforeLines="100" w:after="312" w:afterLines="100" w:line="360" w:lineRule="auto"/>
        <w:ind w:firstLine="548" w:firstLineChars="196"/>
        <w:jc w:val="center"/>
        <w:rPr>
          <w:rFonts w:ascii="黑体" w:hAnsi="黑体" w:eastAsia="黑体" w:cs="宋体"/>
          <w:sz w:val="28"/>
          <w:szCs w:val="28"/>
          <w:highlight w:val="none"/>
        </w:rPr>
      </w:pPr>
      <w:r>
        <w:rPr>
          <w:rFonts w:hint="eastAsia" w:ascii="黑体" w:hAnsi="黑体" w:eastAsia="黑体" w:cs="宋体"/>
          <w:sz w:val="28"/>
          <w:szCs w:val="28"/>
          <w:highlight w:val="none"/>
        </w:rPr>
        <w:t>六、评标办法</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本着“质量第一、价格合理、服务优异、保障有力”的原则，由采购人、项目归口管理部门和招标办从报价得分、技术得分、服务、业绩、信誉得分五个方面提出评标办法（见附件</w:t>
      </w:r>
      <w:r>
        <w:rPr>
          <w:rFonts w:ascii="宋体" w:hAnsi="宋体" w:cs="宋体"/>
          <w:sz w:val="28"/>
          <w:szCs w:val="28"/>
          <w:highlight w:val="none"/>
        </w:rPr>
        <w:t>5</w:t>
      </w:r>
      <w:r>
        <w:rPr>
          <w:rFonts w:hint="eastAsia" w:ascii="宋体" w:hAnsi="宋体" w:cs="宋体"/>
          <w:sz w:val="28"/>
          <w:szCs w:val="28"/>
          <w:highlight w:val="none"/>
        </w:rPr>
        <w:t>）。</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为保证招标质量，在评标办法中设核心指标。每个分包的核心指标不超过</w:t>
      </w:r>
      <w:r>
        <w:rPr>
          <w:rFonts w:ascii="宋体" w:hAnsi="宋体" w:cs="宋体"/>
          <w:sz w:val="28"/>
          <w:szCs w:val="28"/>
          <w:highlight w:val="none"/>
        </w:rPr>
        <w:t>5</w:t>
      </w:r>
      <w:r>
        <w:rPr>
          <w:rFonts w:hint="eastAsia" w:ascii="宋体" w:hAnsi="宋体" w:cs="宋体"/>
          <w:sz w:val="28"/>
          <w:szCs w:val="28"/>
          <w:highlight w:val="none"/>
        </w:rPr>
        <w:t>个。</w:t>
      </w:r>
    </w:p>
    <w:p>
      <w:pPr>
        <w:spacing w:before="312" w:beforeLines="100" w:after="312" w:afterLines="100" w:line="360" w:lineRule="auto"/>
        <w:ind w:firstLine="548" w:firstLineChars="196"/>
        <w:jc w:val="center"/>
        <w:rPr>
          <w:rFonts w:ascii="黑体" w:hAnsi="黑体" w:eastAsia="黑体" w:cs="宋体"/>
          <w:sz w:val="28"/>
          <w:szCs w:val="28"/>
          <w:highlight w:val="none"/>
        </w:rPr>
      </w:pPr>
      <w:r>
        <w:rPr>
          <w:rFonts w:hint="eastAsia" w:ascii="黑体" w:hAnsi="黑体" w:eastAsia="黑体" w:cs="宋体"/>
          <w:sz w:val="28"/>
          <w:szCs w:val="28"/>
          <w:highlight w:val="none"/>
        </w:rPr>
        <w:t>七、合同、履约、验收及结算等事项</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合同：</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）中标公示结束无异议后</w:t>
      </w:r>
      <w:r>
        <w:rPr>
          <w:rFonts w:ascii="宋体" w:hAnsi="宋体" w:cs="宋体"/>
          <w:sz w:val="28"/>
          <w:szCs w:val="28"/>
          <w:highlight w:val="none"/>
        </w:rPr>
        <w:t>5</w:t>
      </w:r>
      <w:r>
        <w:rPr>
          <w:rFonts w:hint="eastAsia" w:ascii="宋体" w:hAnsi="宋体" w:cs="宋体"/>
          <w:sz w:val="28"/>
          <w:szCs w:val="28"/>
          <w:highlight w:val="none"/>
        </w:rPr>
        <w:t>个工作日内，中标单位须及时缴纳中标价的10%作为履约保证金并前来我校领取《中标通知书》（一式二份）。验收合格</w:t>
      </w:r>
      <w:r>
        <w:rPr>
          <w:rFonts w:hint="eastAsia" w:ascii="宋体" w:hAnsi="宋体" w:cs="宋体"/>
          <w:sz w:val="28"/>
          <w:szCs w:val="28"/>
          <w:highlight w:val="none"/>
          <w:lang w:val="en-US" w:eastAsia="zh-CN"/>
        </w:rPr>
        <w:t>后，</w:t>
      </w:r>
      <w:r>
        <w:rPr>
          <w:rFonts w:hint="eastAsia" w:ascii="宋体" w:hAnsi="宋体" w:cs="宋体"/>
          <w:sz w:val="28"/>
          <w:szCs w:val="28"/>
          <w:highlight w:val="none"/>
        </w:rPr>
        <w:t>一次性无息退还履约保证金。</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）中标单位须在接《中标通知书》起</w:t>
      </w:r>
      <w:r>
        <w:rPr>
          <w:rFonts w:ascii="宋体" w:hAnsi="宋体" w:cs="宋体"/>
          <w:sz w:val="28"/>
          <w:szCs w:val="28"/>
          <w:highlight w:val="none"/>
        </w:rPr>
        <w:t>7</w:t>
      </w:r>
      <w:r>
        <w:rPr>
          <w:rFonts w:hint="eastAsia" w:ascii="宋体" w:hAnsi="宋体" w:cs="宋体"/>
          <w:sz w:val="28"/>
          <w:szCs w:val="28"/>
          <w:highlight w:val="none"/>
        </w:rPr>
        <w:t>个工作日内，凭《中标通知书》原件与项目归口管理部门或采购人签订供货和服务合同。中标人不得以任何理由拖延、拒签合同；中标单位拒不签订合同的，我校将其列入黑名单，三年内不得到我校从事任何招投标活动。</w:t>
      </w:r>
    </w:p>
    <w:p>
      <w:pPr>
        <w:pStyle w:val="5"/>
        <w:rPr>
          <w:highlight w:val="none"/>
        </w:rPr>
      </w:pPr>
      <w:r>
        <w:rPr>
          <w:rFonts w:hint="eastAsia" w:ascii="宋体" w:hAnsi="宋体" w:cs="宋体"/>
          <w:sz w:val="28"/>
          <w:szCs w:val="28"/>
          <w:highlight w:val="none"/>
        </w:rPr>
        <w:t>（3）附件6合同仅为参考样本，最终以通过我校审核后签署的合同为准。</w:t>
      </w:r>
    </w:p>
    <w:p>
      <w:pPr>
        <w:spacing w:line="360" w:lineRule="auto"/>
        <w:ind w:firstLine="548" w:firstLineChars="196"/>
        <w:rPr>
          <w:rFonts w:ascii="宋体" w:hAns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服务地点：南京信息工程大学校内。</w:t>
      </w:r>
    </w:p>
    <w:p>
      <w:pPr>
        <w:spacing w:line="360" w:lineRule="auto"/>
        <w:ind w:firstLine="548" w:firstLineChars="196"/>
        <w:rPr>
          <w:rFonts w:ascii="宋体" w:hAnsi="宋体" w:cs="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付款方式：</w:t>
      </w:r>
    </w:p>
    <w:p>
      <w:pPr>
        <w:spacing w:line="360" w:lineRule="auto"/>
        <w:ind w:firstLine="548" w:firstLineChars="196"/>
        <w:rPr>
          <w:rFonts w:ascii="宋体" w:hAnsi="宋体" w:cs="宋体"/>
          <w:sz w:val="28"/>
          <w:szCs w:val="28"/>
          <w:highlight w:val="none"/>
        </w:rPr>
      </w:pPr>
      <w:r>
        <w:rPr>
          <w:rFonts w:hint="eastAsia" w:ascii="宋体" w:hAnsi="宋体" w:cs="宋体"/>
          <w:color w:val="auto"/>
          <w:sz w:val="28"/>
          <w:szCs w:val="28"/>
          <w:highlight w:val="none"/>
          <w:lang w:val="en-US" w:eastAsia="zh-CN"/>
        </w:rPr>
        <w:t>针对国内供应货物，签订合同后，20日内预付合同金额的30%，全部货物交货并最终验收合格后，凭验收凭证和货物验收合格等文件20日内支付至合同金额的95%，剩余5%转换为质量保证金，在质保期满后，经有关单位确认无质量问题后，一次性无息付清。</w:t>
      </w:r>
      <w:r>
        <w:rPr>
          <w:rFonts w:hint="eastAsia" w:ascii="宋体" w:hAnsi="宋体" w:cs="宋体"/>
          <w:sz w:val="28"/>
          <w:szCs w:val="28"/>
          <w:highlight w:val="none"/>
        </w:rPr>
        <w:t>具体内容以最终签署的合同约定为准。</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针对国外供应货物（进口货物），由外贸公司开具全额发票，外贸合同中采用100%信用证，90%见单即付，10%凭最终用户方签字和盖章的验收报告支付。</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资料费：</w:t>
      </w:r>
      <w:r>
        <w:rPr>
          <w:rFonts w:ascii="宋体" w:hAnsi="宋体" w:cs="宋体"/>
          <w:sz w:val="28"/>
          <w:szCs w:val="28"/>
          <w:highlight w:val="none"/>
        </w:rPr>
        <w:t>300</w:t>
      </w:r>
      <w:r>
        <w:rPr>
          <w:rFonts w:hint="eastAsia" w:ascii="宋体" w:hAnsi="宋体" w:cs="宋体"/>
          <w:sz w:val="28"/>
          <w:szCs w:val="28"/>
          <w:highlight w:val="none"/>
        </w:rPr>
        <w:t>元</w:t>
      </w:r>
      <w:r>
        <w:rPr>
          <w:rFonts w:ascii="宋体" w:hAnsi="宋体" w:cs="宋体"/>
          <w:sz w:val="28"/>
          <w:szCs w:val="28"/>
          <w:highlight w:val="none"/>
        </w:rPr>
        <w:t>/</w:t>
      </w:r>
      <w:r>
        <w:rPr>
          <w:rFonts w:hint="eastAsia" w:ascii="宋体" w:hAnsi="宋体" w:cs="宋体"/>
          <w:sz w:val="28"/>
          <w:szCs w:val="28"/>
          <w:highlight w:val="none"/>
        </w:rPr>
        <w:t>家。</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）我校不接收现金或支付宝等方式交费。各投标人务必通过单位银行基本账户提前将资料费汇至我校以下账号：</w:t>
      </w:r>
      <w:r>
        <w:rPr>
          <w:rFonts w:hint="eastAsia" w:ascii="宋体" w:hAnsi="宋体" w:cs="宋体"/>
          <w:b/>
          <w:bCs/>
          <w:sz w:val="28"/>
          <w:szCs w:val="28"/>
          <w:highlight w:val="none"/>
        </w:rPr>
        <w:t>户名：南京信息工程大学；账号：</w:t>
      </w:r>
      <w:r>
        <w:rPr>
          <w:rFonts w:ascii="宋体" w:hAnsi="宋体" w:cs="宋体"/>
          <w:b/>
          <w:bCs/>
          <w:sz w:val="28"/>
          <w:szCs w:val="28"/>
          <w:highlight w:val="none"/>
        </w:rPr>
        <w:t>10115401040000228</w:t>
      </w:r>
      <w:r>
        <w:rPr>
          <w:rFonts w:hint="eastAsia" w:ascii="宋体" w:hAnsi="宋体" w:cs="宋体"/>
          <w:b/>
          <w:bCs/>
          <w:sz w:val="28"/>
          <w:szCs w:val="28"/>
          <w:highlight w:val="none"/>
        </w:rPr>
        <w:t>；开户银行：中国农业银行南京盘城支行</w:t>
      </w:r>
      <w:r>
        <w:rPr>
          <w:rFonts w:hint="eastAsia" w:ascii="宋体" w:hAnsi="宋体" w:cs="宋体"/>
          <w:sz w:val="28"/>
          <w:szCs w:val="28"/>
          <w:highlight w:val="none"/>
        </w:rPr>
        <w:t>。请各投标人务必在转账留言栏备注填写</w:t>
      </w:r>
      <w:r>
        <w:rPr>
          <w:rFonts w:hint="eastAsia" w:ascii="宋体" w:hAnsi="宋体" w:cs="宋体"/>
          <w:b/>
          <w:sz w:val="28"/>
          <w:szCs w:val="28"/>
          <w:highlight w:val="none"/>
        </w:rPr>
        <w:t>“</w:t>
      </w:r>
      <w:r>
        <w:rPr>
          <w:rFonts w:hint="eastAsia" w:ascii="仿宋" w:hAnsi="仿宋" w:eastAsia="仿宋" w:cs="仿宋"/>
          <w:b/>
          <w:bCs/>
          <w:i w:val="0"/>
          <w:iCs w:val="0"/>
          <w:caps w:val="0"/>
          <w:color w:val="000000"/>
          <w:spacing w:val="0"/>
          <w:kern w:val="0"/>
          <w:sz w:val="28"/>
          <w:szCs w:val="28"/>
          <w:highlight w:val="none"/>
          <w:lang w:val="en-US" w:eastAsia="zh-CN" w:bidi="ar"/>
        </w:rPr>
        <w:t>JZCG-2022-00072</w:t>
      </w:r>
      <w:r>
        <w:rPr>
          <w:rFonts w:hint="eastAsia" w:ascii="宋体" w:hAnsi="宋体" w:cs="宋体"/>
          <w:b/>
          <w:sz w:val="28"/>
          <w:szCs w:val="28"/>
          <w:highlight w:val="none"/>
        </w:rPr>
        <w:t>资料费</w:t>
      </w:r>
      <w:r>
        <w:rPr>
          <w:rFonts w:hint="eastAsia" w:ascii="宋体" w:hAnsi="宋体" w:cs="宋体"/>
          <w:b/>
          <w:sz w:val="28"/>
          <w:szCs w:val="28"/>
          <w:highlight w:val="none"/>
        </w:rPr>
        <w:t>”</w:t>
      </w:r>
      <w:r>
        <w:rPr>
          <w:rFonts w:hint="eastAsia" w:ascii="宋体" w:hAnsi="宋体" w:cs="宋体"/>
          <w:sz w:val="28"/>
          <w:szCs w:val="28"/>
          <w:highlight w:val="none"/>
        </w:rPr>
        <w:t>字样，并尽量将投标单位的纳税识别号一并备注在转账留言栏中，以便开票和对账。请各单位在报名时将转账回单复印件务必放入《投标文件》中（无此证明，一律作为无效标处理）。</w:t>
      </w:r>
    </w:p>
    <w:p>
      <w:pPr>
        <w:spacing w:line="360" w:lineRule="auto"/>
        <w:ind w:firstLine="548" w:firstLineChars="196"/>
        <w:rPr>
          <w:rFonts w:ascii="宋体" w:hAnsi="宋体" w:cs="宋体"/>
          <w:b/>
          <w:bCs/>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w:t>
      </w:r>
      <w:r>
        <w:rPr>
          <w:rFonts w:hint="eastAsia" w:ascii="宋体" w:hAnsi="宋体" w:cs="宋体"/>
          <w:b/>
          <w:bCs/>
          <w:sz w:val="28"/>
          <w:szCs w:val="28"/>
          <w:highlight w:val="none"/>
        </w:rPr>
        <w:t>我校提供电子普通发票，招标办定期到财务结算中心对账（时间约半个月）。请投标单位在邮件报名时提供单位纳税人识别号，并确保联系人手机号及邮箱状态正常，以便接收电子发票信息。</w:t>
      </w:r>
    </w:p>
    <w:p>
      <w:pPr>
        <w:spacing w:line="360" w:lineRule="auto"/>
        <w:ind w:firstLine="548" w:firstLineChars="196"/>
        <w:rPr>
          <w:rFonts w:ascii="宋体" w:hAnsi="宋体" w:cs="宋体"/>
          <w:b/>
          <w:bCs/>
          <w:sz w:val="28"/>
          <w:szCs w:val="28"/>
          <w:highlight w:val="none"/>
        </w:rPr>
      </w:pPr>
      <w:r>
        <w:rPr>
          <w:rFonts w:hint="eastAsia" w:ascii="宋体" w:hAnsi="宋体" w:cs="宋体"/>
          <w:sz w:val="28"/>
          <w:szCs w:val="28"/>
          <w:highlight w:val="none"/>
        </w:rPr>
        <w:t>5</w:t>
      </w:r>
      <w:r>
        <w:rPr>
          <w:rFonts w:ascii="宋体" w:hAnsi="宋体" w:cs="宋体"/>
          <w:sz w:val="28"/>
          <w:szCs w:val="28"/>
          <w:highlight w:val="none"/>
        </w:rPr>
        <w:t>.</w:t>
      </w:r>
      <w:r>
        <w:rPr>
          <w:rFonts w:hint="eastAsia" w:ascii="宋体" w:hAnsi="宋体" w:cs="宋体"/>
          <w:sz w:val="28"/>
          <w:szCs w:val="28"/>
          <w:highlight w:val="none"/>
        </w:rPr>
        <w:t>投标保证金：无</w:t>
      </w:r>
    </w:p>
    <w:p>
      <w:pPr>
        <w:spacing w:line="360" w:lineRule="auto"/>
        <w:ind w:firstLine="548" w:firstLineChars="196"/>
        <w:rPr>
          <w:rFonts w:ascii="宋体" w:hAnsi="宋体" w:cs="宋体"/>
          <w:sz w:val="28"/>
          <w:szCs w:val="28"/>
          <w:highlight w:val="none"/>
        </w:rPr>
      </w:pPr>
      <w:r>
        <w:rPr>
          <w:rFonts w:ascii="宋体" w:hAnsi="宋体" w:cs="宋体"/>
          <w:sz w:val="28"/>
          <w:szCs w:val="28"/>
          <w:highlight w:val="none"/>
        </w:rPr>
        <w:t>6.</w:t>
      </w:r>
      <w:r>
        <w:rPr>
          <w:rFonts w:hint="eastAsia" w:ascii="宋体" w:hAnsi="宋体" w:cs="宋体"/>
          <w:sz w:val="28"/>
          <w:szCs w:val="28"/>
          <w:highlight w:val="none"/>
        </w:rPr>
        <w:t>履约保证金：</w:t>
      </w:r>
      <w:r>
        <w:rPr>
          <w:rFonts w:hint="eastAsia" w:ascii="宋体" w:hAnsi="宋体" w:cs="宋体"/>
          <w:sz w:val="28"/>
          <w:szCs w:val="28"/>
          <w:highlight w:val="none"/>
        </w:rPr>
        <w:t>中标价10%。</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）中标公示后，仅中标单位需缴纳履约保证金（未中标单位无需缴纳任何保证金）。中标单位自行将履约保证金汇至学校财务账户（</w:t>
      </w:r>
      <w:r>
        <w:rPr>
          <w:rFonts w:hint="eastAsia" w:ascii="宋体" w:hAnsi="宋体" w:cs="宋体"/>
          <w:b/>
          <w:bCs/>
          <w:sz w:val="28"/>
          <w:szCs w:val="28"/>
          <w:highlight w:val="none"/>
        </w:rPr>
        <w:t>户名：南京信息工程大学；账号：</w:t>
      </w:r>
      <w:r>
        <w:rPr>
          <w:rFonts w:ascii="宋体" w:hAnsi="宋体" w:cs="宋体"/>
          <w:b/>
          <w:bCs/>
          <w:sz w:val="28"/>
          <w:szCs w:val="28"/>
          <w:highlight w:val="none"/>
        </w:rPr>
        <w:t>10115401040000228</w:t>
      </w:r>
      <w:r>
        <w:rPr>
          <w:rFonts w:hint="eastAsia" w:ascii="宋体" w:hAnsi="宋体" w:cs="宋体"/>
          <w:b/>
          <w:bCs/>
          <w:sz w:val="28"/>
          <w:szCs w:val="28"/>
          <w:highlight w:val="none"/>
        </w:rPr>
        <w:t>；开户银行：中国农业银行南京盘城支行</w:t>
      </w:r>
      <w:r>
        <w:rPr>
          <w:rFonts w:hint="eastAsia" w:ascii="宋体" w:hAnsi="宋体" w:cs="宋体"/>
          <w:sz w:val="28"/>
          <w:szCs w:val="28"/>
          <w:highlight w:val="none"/>
        </w:rPr>
        <w:t>）。而后到财务结算中心（财务处二楼201室）开具缴款收据，凭缴款收据到招标办领取中标通知书，凭中标通知书与采购单位签订供货或服务合同。</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）履约保证金的退还方式：项目</w:t>
      </w:r>
      <w:r>
        <w:rPr>
          <w:rFonts w:hint="eastAsia" w:ascii="宋体" w:hAnsi="宋体" w:cs="宋体"/>
          <w:sz w:val="28"/>
          <w:szCs w:val="28"/>
          <w:highlight w:val="none"/>
          <w:lang w:val="en-US" w:eastAsia="zh-CN"/>
        </w:rPr>
        <w:t>验收</w:t>
      </w:r>
      <w:r>
        <w:rPr>
          <w:rFonts w:hint="eastAsia" w:ascii="宋体" w:hAnsi="宋体" w:cs="宋体"/>
          <w:sz w:val="28"/>
          <w:szCs w:val="28"/>
          <w:highlight w:val="none"/>
        </w:rPr>
        <w:t>完成</w:t>
      </w:r>
      <w:r>
        <w:rPr>
          <w:rFonts w:hint="eastAsia" w:ascii="宋体" w:hAnsi="宋体" w:cs="宋体"/>
          <w:sz w:val="28"/>
          <w:szCs w:val="28"/>
          <w:highlight w:val="none"/>
          <w:lang w:val="en-US" w:eastAsia="zh-CN"/>
        </w:rPr>
        <w:t>并无质量问题</w:t>
      </w:r>
      <w:r>
        <w:rPr>
          <w:rFonts w:hint="eastAsia" w:ascii="宋体" w:hAnsi="宋体" w:cs="宋体"/>
          <w:sz w:val="28"/>
          <w:szCs w:val="28"/>
          <w:highlight w:val="none"/>
        </w:rPr>
        <w:t>后，由中标单位向项目归口管理部门或采购人提交退还履约保证金的申请报告，由项目归口管理部门（或使用部门）负责人签字确定同意退还后，再到财务处财务结算中心（财务处二楼201室）办理退还手续。</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3</w:t>
      </w:r>
      <w:r>
        <w:rPr>
          <w:rFonts w:hint="eastAsia" w:ascii="宋体" w:hAnsi="宋体" w:cs="宋体"/>
          <w:sz w:val="28"/>
          <w:szCs w:val="28"/>
          <w:highlight w:val="none"/>
        </w:rPr>
        <w:t>）履约保证金交退咨询：财务处结算中心（体育馆北面，南气宾馆东侧的大学生创业中心</w:t>
      </w:r>
      <w:r>
        <w:rPr>
          <w:rFonts w:ascii="宋体" w:hAnsi="宋体" w:cs="宋体"/>
          <w:sz w:val="28"/>
          <w:szCs w:val="28"/>
          <w:highlight w:val="none"/>
        </w:rPr>
        <w:t>3</w:t>
      </w:r>
      <w:r>
        <w:rPr>
          <w:rFonts w:hint="eastAsia" w:ascii="宋体" w:hAnsi="宋体" w:cs="宋体"/>
          <w:sz w:val="28"/>
          <w:szCs w:val="28"/>
          <w:highlight w:val="none"/>
        </w:rPr>
        <w:t>号楼二楼201）。</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4</w:t>
      </w:r>
      <w:r>
        <w:rPr>
          <w:rFonts w:hint="eastAsia" w:ascii="宋体" w:hAnsi="宋体" w:cs="宋体"/>
          <w:sz w:val="28"/>
          <w:szCs w:val="28"/>
          <w:highlight w:val="none"/>
        </w:rPr>
        <w:t>）如中标单位有下列情况之一，不予退还履约保证金，我校将其列入招投标诚信“黑名单”，</w:t>
      </w:r>
      <w:r>
        <w:rPr>
          <w:rFonts w:ascii="宋体" w:hAnsi="宋体" w:cs="宋体"/>
          <w:sz w:val="28"/>
          <w:szCs w:val="28"/>
          <w:highlight w:val="none"/>
        </w:rPr>
        <w:t>3</w:t>
      </w:r>
      <w:r>
        <w:rPr>
          <w:rFonts w:hint="eastAsia" w:ascii="宋体" w:hAnsi="宋体" w:cs="宋体"/>
          <w:sz w:val="28"/>
          <w:szCs w:val="28"/>
          <w:highlight w:val="none"/>
        </w:rPr>
        <w:t>年内不得到我校从事任何投标活动。</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a.</w:t>
      </w:r>
      <w:r>
        <w:rPr>
          <w:rFonts w:hint="eastAsia" w:ascii="宋体" w:hAnsi="宋体" w:cs="宋体"/>
          <w:sz w:val="28"/>
          <w:szCs w:val="28"/>
          <w:highlight w:val="none"/>
        </w:rPr>
        <w:t>中标单位未能按学校通知，在规定时间内签署合同；或签署合同后未能履约、单方撕毁合同等；</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b.</w:t>
      </w:r>
      <w:r>
        <w:rPr>
          <w:rFonts w:hint="eastAsia" w:ascii="宋体" w:hAnsi="宋体" w:cs="宋体"/>
          <w:sz w:val="28"/>
          <w:szCs w:val="28"/>
          <w:highlight w:val="none"/>
        </w:rPr>
        <w:t>中标单位在投标过程中存在串通投标等违规或舞弊行为；或中标单位借用其他公司相关资质的；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c.</w:t>
      </w:r>
      <w:r>
        <w:rPr>
          <w:rFonts w:hint="eastAsia" w:ascii="宋体" w:hAnsi="宋体" w:cs="宋体"/>
          <w:sz w:val="28"/>
          <w:szCs w:val="28"/>
          <w:highlight w:val="none"/>
        </w:rPr>
        <w:t>出现其他不予退还履约保证金情形的。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7.</w:t>
      </w:r>
      <w:r>
        <w:rPr>
          <w:rFonts w:hint="eastAsia" w:ascii="宋体" w:hAnsi="宋体" w:cs="宋体"/>
          <w:sz w:val="28"/>
          <w:szCs w:val="28"/>
          <w:highlight w:val="none"/>
        </w:rPr>
        <w:t>验收：按学校验收规定执行，项目合同是验收的主要依据。</w:t>
      </w:r>
    </w:p>
    <w:p>
      <w:pPr>
        <w:widowControl/>
        <w:spacing w:line="360" w:lineRule="auto"/>
        <w:ind w:firstLine="560" w:firstLineChars="200"/>
        <w:textAlignment w:val="center"/>
        <w:rPr>
          <w:rFonts w:ascii="宋体" w:hAnsi="宋体" w:cs="宋体"/>
          <w:sz w:val="28"/>
          <w:szCs w:val="28"/>
          <w:highlight w:val="none"/>
        </w:rPr>
      </w:pPr>
      <w:r>
        <w:rPr>
          <w:rFonts w:ascii="宋体" w:hAnsi="宋体" w:cs="宋体"/>
          <w:sz w:val="28"/>
          <w:szCs w:val="28"/>
          <w:highlight w:val="none"/>
        </w:rPr>
        <w:t>8.</w:t>
      </w:r>
      <w:r>
        <w:rPr>
          <w:rFonts w:hint="eastAsia" w:ascii="宋体" w:hAnsi="宋体" w:cs="宋体"/>
          <w:sz w:val="28"/>
          <w:szCs w:val="28"/>
          <w:highlight w:val="none"/>
        </w:rPr>
        <w:t>质保：参照附件1及附件4</w:t>
      </w:r>
    </w:p>
    <w:p>
      <w:pPr>
        <w:spacing w:before="312" w:beforeLines="100" w:after="312" w:afterLines="100" w:line="360" w:lineRule="auto"/>
        <w:jc w:val="center"/>
        <w:rPr>
          <w:rFonts w:ascii="黑体" w:hAnsi="黑体" w:eastAsia="黑体"/>
          <w:sz w:val="28"/>
          <w:szCs w:val="28"/>
          <w:highlight w:val="none"/>
        </w:rPr>
      </w:pPr>
      <w:bookmarkStart w:id="4" w:name="_Hlk9866833"/>
      <w:r>
        <w:rPr>
          <w:rFonts w:hint="eastAsia" w:ascii="黑体" w:hAnsi="黑体" w:eastAsia="黑体"/>
          <w:sz w:val="28"/>
          <w:szCs w:val="28"/>
          <w:highlight w:val="none"/>
        </w:rPr>
        <w:t>八、日程安排和联系方式</w:t>
      </w:r>
    </w:p>
    <w:p>
      <w:pPr>
        <w:spacing w:line="360" w:lineRule="auto"/>
        <w:ind w:firstLine="560" w:firstLineChars="200"/>
        <w:rPr>
          <w:rFonts w:ascii="宋体"/>
          <w:sz w:val="28"/>
          <w:szCs w:val="28"/>
          <w:highlight w:val="none"/>
        </w:rPr>
      </w:pPr>
      <w:r>
        <w:rPr>
          <w:rFonts w:ascii="宋体" w:hAnsi="宋体"/>
          <w:sz w:val="28"/>
          <w:szCs w:val="28"/>
          <w:highlight w:val="none"/>
        </w:rPr>
        <w:t>1.</w:t>
      </w:r>
      <w:r>
        <w:rPr>
          <w:rFonts w:hint="eastAsia" w:ascii="宋体" w:hAnsi="宋体"/>
          <w:sz w:val="28"/>
          <w:szCs w:val="28"/>
          <w:highlight w:val="none"/>
        </w:rPr>
        <w:t>报名时间：招标信息发布后。</w:t>
      </w:r>
    </w:p>
    <w:p>
      <w:pPr>
        <w:spacing w:line="360" w:lineRule="auto"/>
        <w:ind w:firstLine="560" w:firstLineChars="200"/>
        <w:rPr>
          <w:rFonts w:ascii="宋体" w:hAnsi="宋体" w:cs="宋体"/>
          <w:kern w:val="0"/>
          <w:sz w:val="28"/>
          <w:szCs w:val="28"/>
          <w:highlight w:val="none"/>
        </w:rPr>
      </w:pPr>
      <w:r>
        <w:rPr>
          <w:rFonts w:ascii="宋体" w:hAnsi="宋体"/>
          <w:sz w:val="28"/>
          <w:szCs w:val="28"/>
          <w:highlight w:val="none"/>
        </w:rPr>
        <w:t>2.</w:t>
      </w:r>
      <w:r>
        <w:rPr>
          <w:rFonts w:hint="eastAsia" w:ascii="宋体" w:hAnsi="宋体"/>
          <w:sz w:val="28"/>
          <w:szCs w:val="28"/>
          <w:highlight w:val="none"/>
        </w:rPr>
        <w:t>领取招标文件：</w:t>
      </w:r>
      <w:r>
        <w:rPr>
          <w:rFonts w:hint="eastAsia" w:ascii="宋体" w:hAnsi="宋体"/>
          <w:sz w:val="28"/>
          <w:szCs w:val="28"/>
          <w:highlight w:val="none"/>
          <w:u w:val="single"/>
        </w:rPr>
        <w:t>自行下载</w:t>
      </w:r>
      <w:r>
        <w:rPr>
          <w:rFonts w:hint="eastAsia" w:ascii="宋体" w:hAnsi="宋体" w:cs="宋体"/>
          <w:kern w:val="0"/>
          <w:sz w:val="28"/>
          <w:szCs w:val="28"/>
          <w:highlight w:val="none"/>
        </w:rPr>
        <w:t>。</w:t>
      </w:r>
    </w:p>
    <w:p>
      <w:pPr>
        <w:pStyle w:val="18"/>
        <w:ind w:firstLine="440"/>
        <w:rPr>
          <w:rFonts w:ascii="宋体" w:hAnsi="宋体" w:eastAsia="宋体"/>
          <w:sz w:val="28"/>
          <w:szCs w:val="28"/>
          <w:highlight w:val="none"/>
        </w:rPr>
      </w:pPr>
      <w:r>
        <w:rPr>
          <w:rFonts w:hint="eastAsia"/>
          <w:highlight w:val="none"/>
        </w:rPr>
        <w:t xml:space="preserve"> </w:t>
      </w:r>
      <w:r>
        <w:rPr>
          <w:rFonts w:ascii="宋体" w:hAnsi="宋体" w:eastAsia="宋体"/>
          <w:sz w:val="28"/>
          <w:szCs w:val="28"/>
          <w:highlight w:val="none"/>
        </w:rPr>
        <w:t>3.</w:t>
      </w:r>
      <w:r>
        <w:rPr>
          <w:rFonts w:hint="eastAsia" w:ascii="宋体" w:hAnsi="宋体" w:eastAsia="宋体"/>
          <w:sz w:val="28"/>
          <w:szCs w:val="28"/>
          <w:highlight w:val="none"/>
        </w:rPr>
        <w:t>现场勘查：无。</w:t>
      </w:r>
    </w:p>
    <w:p>
      <w:pPr>
        <w:spacing w:line="360" w:lineRule="auto"/>
        <w:ind w:firstLine="560" w:firstLineChars="200"/>
        <w:rPr>
          <w:rFonts w:ascii="宋体"/>
          <w:sz w:val="28"/>
          <w:szCs w:val="28"/>
          <w:highlight w:val="none"/>
        </w:rPr>
      </w:pPr>
      <w:r>
        <w:rPr>
          <w:rFonts w:ascii="宋体" w:hAnsi="宋体"/>
          <w:sz w:val="28"/>
          <w:szCs w:val="28"/>
          <w:highlight w:val="none"/>
        </w:rPr>
        <w:t>4.</w:t>
      </w:r>
      <w:r>
        <w:rPr>
          <w:rFonts w:hint="eastAsia" w:ascii="宋体" w:hAnsi="宋体"/>
          <w:sz w:val="28"/>
          <w:szCs w:val="28"/>
          <w:highlight w:val="none"/>
        </w:rPr>
        <w:t xml:space="preserve">答疑时间：          </w:t>
      </w:r>
    </w:p>
    <w:p>
      <w:pPr>
        <w:spacing w:line="360" w:lineRule="auto"/>
        <w:rPr>
          <w:rFonts w:ascii="宋体"/>
          <w:sz w:val="28"/>
          <w:szCs w:val="28"/>
          <w:highlight w:val="none"/>
        </w:rPr>
      </w:pPr>
      <w:r>
        <w:rPr>
          <w:rFonts w:hint="eastAsia" w:ascii="宋体" w:hAnsi="宋体"/>
          <w:sz w:val="28"/>
          <w:szCs w:val="28"/>
          <w:highlight w:val="none"/>
        </w:rPr>
        <w:t>（</w:t>
      </w:r>
      <w:r>
        <w:rPr>
          <w:rFonts w:ascii="宋体" w:hAnsi="宋体"/>
          <w:sz w:val="28"/>
          <w:szCs w:val="28"/>
          <w:highlight w:val="none"/>
        </w:rPr>
        <w:t>1</w:t>
      </w:r>
      <w:r>
        <w:rPr>
          <w:rFonts w:hint="eastAsia" w:ascii="宋体" w:hAnsi="宋体"/>
          <w:sz w:val="28"/>
          <w:szCs w:val="28"/>
          <w:highlight w:val="none"/>
        </w:rPr>
        <w:t>）投标人如有疑问</w:t>
      </w:r>
      <w:r>
        <w:rPr>
          <w:rFonts w:hint="eastAsia" w:ascii="宋体" w:hAnsi="宋体"/>
          <w:sz w:val="28"/>
          <w:szCs w:val="28"/>
          <w:highlight w:val="none"/>
        </w:rPr>
        <w:t>，请在</w:t>
      </w:r>
      <w:r>
        <w:rPr>
          <w:rFonts w:ascii="宋体" w:hAnsi="宋体"/>
          <w:b/>
          <w:sz w:val="28"/>
          <w:szCs w:val="28"/>
          <w:highlight w:val="none"/>
          <w:u w:val="single"/>
        </w:rPr>
        <w:t>202</w:t>
      </w:r>
      <w:r>
        <w:rPr>
          <w:rFonts w:hint="eastAsia" w:ascii="宋体" w:hAnsi="宋体"/>
          <w:b/>
          <w:sz w:val="28"/>
          <w:szCs w:val="28"/>
          <w:highlight w:val="none"/>
          <w:u w:val="single"/>
          <w:lang w:val="en-US" w:eastAsia="zh-CN"/>
        </w:rPr>
        <w:t>2</w:t>
      </w:r>
      <w:r>
        <w:rPr>
          <w:rFonts w:hint="eastAsia" w:ascii="宋体" w:hAnsi="宋体"/>
          <w:b/>
          <w:sz w:val="28"/>
          <w:szCs w:val="28"/>
          <w:highlight w:val="none"/>
          <w:u w:val="single"/>
        </w:rPr>
        <w:t>年08月</w:t>
      </w:r>
      <w:r>
        <w:rPr>
          <w:rFonts w:hint="eastAsia" w:ascii="宋体" w:hAnsi="宋体"/>
          <w:b/>
          <w:sz w:val="28"/>
          <w:szCs w:val="28"/>
          <w:highlight w:val="none"/>
          <w:u w:val="single"/>
          <w:lang w:val="en-US" w:eastAsia="zh-CN"/>
        </w:rPr>
        <w:t>01</w:t>
      </w:r>
      <w:r>
        <w:rPr>
          <w:rFonts w:hint="eastAsia" w:ascii="宋体" w:hAnsi="宋体"/>
          <w:b/>
          <w:sz w:val="28"/>
          <w:szCs w:val="28"/>
          <w:highlight w:val="none"/>
          <w:u w:val="single"/>
        </w:rPr>
        <w:t>日</w:t>
      </w:r>
      <w:r>
        <w:rPr>
          <w:rFonts w:ascii="宋体" w:hAnsi="宋体"/>
          <w:b/>
          <w:sz w:val="28"/>
          <w:szCs w:val="28"/>
          <w:highlight w:val="none"/>
          <w:u w:val="single"/>
        </w:rPr>
        <w:t>11</w:t>
      </w:r>
      <w:r>
        <w:rPr>
          <w:rFonts w:hint="eastAsia" w:ascii="宋体" w:hAnsi="宋体"/>
          <w:b/>
          <w:sz w:val="28"/>
          <w:szCs w:val="28"/>
          <w:highlight w:val="none"/>
          <w:u w:val="single"/>
        </w:rPr>
        <w:t>：</w:t>
      </w:r>
      <w:r>
        <w:rPr>
          <w:rFonts w:ascii="宋体" w:hAnsi="宋体"/>
          <w:b/>
          <w:sz w:val="28"/>
          <w:szCs w:val="28"/>
          <w:highlight w:val="none"/>
          <w:u w:val="single"/>
        </w:rPr>
        <w:t>3</w:t>
      </w:r>
      <w:r>
        <w:rPr>
          <w:highlight w:val="none"/>
        </w:rPr>
        <w:fldChar w:fldCharType="begin"/>
      </w:r>
      <w:r>
        <w:rPr>
          <w:highlight w:val="none"/>
        </w:rPr>
        <w:instrText xml:space="preserve"> HYPERLINK "mailto:30前将问题一律以word格式或txt格式发至89523765@qq.com" </w:instrText>
      </w:r>
      <w:r>
        <w:rPr>
          <w:highlight w:val="none"/>
        </w:rPr>
        <w:fldChar w:fldCharType="separate"/>
      </w:r>
      <w:r>
        <w:rPr>
          <w:rFonts w:ascii="宋体"/>
          <w:b/>
          <w:sz w:val="28"/>
          <w:szCs w:val="28"/>
          <w:highlight w:val="none"/>
          <w:u w:val="single"/>
        </w:rPr>
        <w:t>0</w:t>
      </w:r>
      <w:r>
        <w:rPr>
          <w:rFonts w:hint="eastAsia" w:ascii="宋体"/>
          <w:b/>
          <w:sz w:val="28"/>
          <w:szCs w:val="28"/>
          <w:highlight w:val="none"/>
          <w:u w:val="single"/>
        </w:rPr>
        <w:t xml:space="preserve"> </w:t>
      </w:r>
      <w:r>
        <w:rPr>
          <w:rFonts w:hint="eastAsia" w:ascii="宋体" w:hAnsi="宋体"/>
          <w:sz w:val="28"/>
          <w:szCs w:val="28"/>
          <w:highlight w:val="none"/>
        </w:rPr>
        <w:t>前将问题以</w:t>
      </w:r>
      <w:r>
        <w:rPr>
          <w:rFonts w:ascii="宋体" w:hAnsi="宋体"/>
          <w:sz w:val="28"/>
          <w:szCs w:val="28"/>
          <w:highlight w:val="none"/>
        </w:rPr>
        <w:t>word</w:t>
      </w:r>
      <w:r>
        <w:rPr>
          <w:rFonts w:hint="eastAsia" w:ascii="宋体" w:hAnsi="宋体"/>
          <w:sz w:val="28"/>
          <w:szCs w:val="28"/>
          <w:highlight w:val="none"/>
        </w:rPr>
        <w:t>格式或</w:t>
      </w:r>
      <w:r>
        <w:rPr>
          <w:rFonts w:ascii="宋体" w:hAnsi="宋体"/>
          <w:sz w:val="28"/>
          <w:szCs w:val="28"/>
          <w:highlight w:val="none"/>
        </w:rPr>
        <w:t>txt</w:t>
      </w:r>
      <w:r>
        <w:rPr>
          <w:rFonts w:hint="eastAsia" w:ascii="宋体" w:hAnsi="宋体"/>
          <w:sz w:val="28"/>
          <w:szCs w:val="28"/>
          <w:highlight w:val="none"/>
        </w:rPr>
        <w:t>格式发至</w:t>
      </w:r>
      <w:r>
        <w:rPr>
          <w:rFonts w:ascii="宋体" w:hAnsi="宋体"/>
          <w:sz w:val="28"/>
          <w:szCs w:val="28"/>
          <w:highlight w:val="none"/>
        </w:rPr>
        <w:t>2483567991@qq.com</w:t>
      </w:r>
      <w:r>
        <w:rPr>
          <w:rFonts w:ascii="宋体" w:hAnsi="宋体"/>
          <w:sz w:val="28"/>
          <w:szCs w:val="28"/>
          <w:highlight w:val="none"/>
        </w:rPr>
        <w:fldChar w:fldCharType="end"/>
      </w:r>
      <w:r>
        <w:rPr>
          <w:rFonts w:hint="eastAsia" w:ascii="宋体" w:hAnsi="宋体"/>
          <w:sz w:val="28"/>
          <w:szCs w:val="28"/>
          <w:highlight w:val="none"/>
        </w:rPr>
        <w:t>（质疑函请勿以</w:t>
      </w:r>
      <w:r>
        <w:rPr>
          <w:rFonts w:ascii="宋体" w:hAnsi="宋体"/>
          <w:sz w:val="28"/>
          <w:szCs w:val="28"/>
          <w:highlight w:val="none"/>
        </w:rPr>
        <w:t>JPG</w:t>
      </w:r>
      <w:r>
        <w:rPr>
          <w:rFonts w:hint="eastAsia" w:ascii="宋体" w:hAnsi="宋体"/>
          <w:sz w:val="28"/>
          <w:szCs w:val="28"/>
          <w:highlight w:val="none"/>
        </w:rPr>
        <w:t>或</w:t>
      </w:r>
      <w:r>
        <w:rPr>
          <w:rFonts w:ascii="宋体" w:hAnsi="宋体"/>
          <w:sz w:val="28"/>
          <w:szCs w:val="28"/>
          <w:highlight w:val="none"/>
        </w:rPr>
        <w:t>PDF</w:t>
      </w:r>
      <w:r>
        <w:rPr>
          <w:rFonts w:hint="eastAsia" w:ascii="宋体" w:hAnsi="宋体"/>
          <w:sz w:val="28"/>
          <w:szCs w:val="28"/>
          <w:highlight w:val="none"/>
        </w:rPr>
        <w:t>格式，对</w:t>
      </w:r>
      <w:r>
        <w:rPr>
          <w:rFonts w:ascii="宋体" w:hAnsi="宋体"/>
          <w:sz w:val="28"/>
          <w:szCs w:val="28"/>
          <w:highlight w:val="none"/>
        </w:rPr>
        <w:t>JPG</w:t>
      </w:r>
      <w:r>
        <w:rPr>
          <w:rFonts w:hint="eastAsia" w:ascii="宋体" w:hAnsi="宋体"/>
          <w:sz w:val="28"/>
          <w:szCs w:val="28"/>
          <w:highlight w:val="none"/>
        </w:rPr>
        <w:t>和</w:t>
      </w:r>
      <w:r>
        <w:rPr>
          <w:rFonts w:ascii="宋体" w:hAnsi="宋体"/>
          <w:sz w:val="28"/>
          <w:szCs w:val="28"/>
          <w:highlight w:val="none"/>
        </w:rPr>
        <w:t>PDF</w:t>
      </w:r>
      <w:r>
        <w:rPr>
          <w:rFonts w:hint="eastAsia" w:ascii="宋体" w:hAnsi="宋体"/>
          <w:sz w:val="28"/>
          <w:szCs w:val="28"/>
          <w:highlight w:val="none"/>
        </w:rPr>
        <w:t>格式的附件一律删除，不予采纳，敬请谅解）。</w:t>
      </w:r>
    </w:p>
    <w:p>
      <w:pPr>
        <w:spacing w:line="360" w:lineRule="auto"/>
        <w:rPr>
          <w:rFonts w:ascii="宋体"/>
          <w:sz w:val="28"/>
          <w:szCs w:val="28"/>
          <w:highlight w:val="none"/>
        </w:rPr>
      </w:pPr>
      <w:r>
        <w:rPr>
          <w:rFonts w:hint="eastAsia" w:ascii="宋体" w:hAnsi="宋体"/>
          <w:sz w:val="28"/>
          <w:szCs w:val="28"/>
          <w:highlight w:val="none"/>
        </w:rPr>
        <w:t>（</w:t>
      </w:r>
      <w:r>
        <w:rPr>
          <w:rFonts w:ascii="宋体" w:hAnsi="宋体"/>
          <w:sz w:val="28"/>
          <w:szCs w:val="28"/>
          <w:highlight w:val="none"/>
        </w:rPr>
        <w:t>2</w:t>
      </w:r>
      <w:r>
        <w:rPr>
          <w:rFonts w:hint="eastAsia" w:ascii="宋体" w:hAnsi="宋体"/>
          <w:sz w:val="28"/>
          <w:szCs w:val="28"/>
          <w:highlight w:val="none"/>
        </w:rPr>
        <w:t>）我校项目归口管理部门将通过招标办向各投标人统一进行书面（或电子版）答疑回复。</w:t>
      </w:r>
    </w:p>
    <w:p>
      <w:pPr>
        <w:widowControl/>
        <w:snapToGrid w:val="0"/>
        <w:spacing w:line="360" w:lineRule="auto"/>
        <w:ind w:firstLine="548" w:firstLineChars="196"/>
        <w:rPr>
          <w:rFonts w:ascii="黑体" w:hAnsi="黑体" w:eastAsia="黑体"/>
          <w:i/>
          <w:sz w:val="28"/>
          <w:szCs w:val="28"/>
          <w:highlight w:val="none"/>
        </w:rPr>
      </w:pPr>
      <w:r>
        <w:rPr>
          <w:rFonts w:ascii="宋体" w:hAnsi="宋体"/>
          <w:sz w:val="28"/>
          <w:szCs w:val="28"/>
          <w:highlight w:val="none"/>
        </w:rPr>
        <w:t>5</w:t>
      </w:r>
      <w:r>
        <w:rPr>
          <w:rFonts w:hint="eastAsia" w:ascii="宋体" w:hAnsi="宋体"/>
          <w:sz w:val="28"/>
          <w:szCs w:val="28"/>
          <w:highlight w:val="none"/>
        </w:rPr>
        <w:t>.投标文件</w:t>
      </w:r>
    </w:p>
    <w:p>
      <w:pPr>
        <w:widowControl/>
        <w:spacing w:line="520" w:lineRule="exact"/>
        <w:ind w:firstLine="560" w:firstLineChars="200"/>
        <w:rPr>
          <w:rFonts w:ascii="宋体" w:hAnsi="宋体"/>
          <w:bCs/>
          <w:sz w:val="28"/>
          <w:szCs w:val="28"/>
          <w:highlight w:val="none"/>
        </w:rPr>
      </w:pPr>
      <w:r>
        <w:rPr>
          <w:rFonts w:hint="eastAsia" w:ascii="宋体" w:hAnsi="宋体"/>
          <w:sz w:val="28"/>
          <w:szCs w:val="28"/>
          <w:highlight w:val="none"/>
        </w:rPr>
        <w:t>（1）投标文件送达方式：</w:t>
      </w:r>
      <w:r>
        <w:rPr>
          <w:rFonts w:hint="eastAsia" w:ascii="宋体" w:hAnsi="宋体"/>
          <w:bCs/>
          <w:sz w:val="28"/>
          <w:szCs w:val="28"/>
          <w:highlight w:val="none"/>
        </w:rPr>
        <w:t>只接受以邮寄方式送达，</w:t>
      </w:r>
      <w:r>
        <w:rPr>
          <w:rFonts w:hint="eastAsia" w:ascii="宋体" w:hAnsi="宋体"/>
          <w:b/>
          <w:sz w:val="28"/>
          <w:szCs w:val="28"/>
          <w:highlight w:val="none"/>
        </w:rPr>
        <w:t>并请务必用顺丰快递</w:t>
      </w:r>
      <w:r>
        <w:rPr>
          <w:rFonts w:hint="eastAsia" w:ascii="宋体" w:hAnsi="宋体"/>
          <w:bCs/>
          <w:sz w:val="28"/>
          <w:szCs w:val="28"/>
          <w:highlight w:val="none"/>
        </w:rPr>
        <w:t>，邮寄材料务必于投标截止时间前送达我校，请各投标人自行安排邮寄时间，投标截止时间后，招标人不受理任何投标文件。（注：</w:t>
      </w:r>
      <w:r>
        <w:rPr>
          <w:rFonts w:hint="eastAsia" w:ascii="宋体" w:hAnsi="宋体"/>
          <w:b/>
          <w:bCs/>
          <w:sz w:val="28"/>
          <w:szCs w:val="28"/>
          <w:highlight w:val="none"/>
        </w:rPr>
        <w:t>由于疫情管理，我单位不接收顺丰同城急送，请各投标人合理安排时间并自行负责</w:t>
      </w:r>
      <w:r>
        <w:rPr>
          <w:rFonts w:hint="eastAsia" w:ascii="宋体" w:hAnsi="宋体"/>
          <w:bCs/>
          <w:sz w:val="28"/>
          <w:szCs w:val="28"/>
          <w:highlight w:val="none"/>
        </w:rPr>
        <w:t>）。（若后期有调整，会将调整信息发送到各单位报名邮箱，请各单位在投标截止前密切关注报名邮箱）</w:t>
      </w:r>
    </w:p>
    <w:p>
      <w:pPr>
        <w:widowControl/>
        <w:spacing w:line="360" w:lineRule="auto"/>
        <w:ind w:firstLine="560" w:firstLineChars="200"/>
        <w:rPr>
          <w:rFonts w:hint="eastAsia" w:ascii="宋体" w:hAnsi="宋体"/>
          <w:sz w:val="28"/>
          <w:szCs w:val="28"/>
          <w:highlight w:val="none"/>
        </w:rPr>
      </w:pPr>
      <w:r>
        <w:rPr>
          <w:rFonts w:hint="eastAsia" w:ascii="宋体" w:hAnsi="宋体"/>
          <w:sz w:val="28"/>
          <w:szCs w:val="28"/>
          <w:highlight w:val="none"/>
        </w:rPr>
        <w:t>（2）投标截止时间：2022年</w:t>
      </w:r>
      <w:r>
        <w:rPr>
          <w:rFonts w:hint="eastAsia" w:ascii="宋体" w:hAnsi="宋体"/>
          <w:sz w:val="28"/>
          <w:szCs w:val="28"/>
          <w:highlight w:val="none"/>
          <w:lang w:val="en-US" w:eastAsia="zh-CN"/>
        </w:rPr>
        <w:t>08</w:t>
      </w:r>
      <w:r>
        <w:rPr>
          <w:rFonts w:hint="eastAsia" w:ascii="宋体" w:hAnsi="宋体"/>
          <w:sz w:val="28"/>
          <w:szCs w:val="28"/>
          <w:highlight w:val="none"/>
        </w:rPr>
        <w:t>月</w:t>
      </w:r>
      <w:r>
        <w:rPr>
          <w:rFonts w:hint="eastAsia" w:ascii="宋体" w:hAnsi="宋体"/>
          <w:sz w:val="28"/>
          <w:szCs w:val="28"/>
          <w:highlight w:val="none"/>
          <w:lang w:val="en-US" w:eastAsia="zh-CN"/>
        </w:rPr>
        <w:t>19</w:t>
      </w:r>
      <w:r>
        <w:rPr>
          <w:rFonts w:hint="eastAsia" w:ascii="宋体" w:hAnsi="宋体"/>
          <w:sz w:val="28"/>
          <w:szCs w:val="28"/>
          <w:highlight w:val="none"/>
        </w:rPr>
        <w:t>日09：00</w:t>
      </w:r>
      <w:r>
        <w:rPr>
          <w:rFonts w:hint="eastAsia" w:ascii="宋体" w:hAnsi="宋体"/>
          <w:sz w:val="28"/>
          <w:szCs w:val="28"/>
          <w:highlight w:val="none"/>
          <w:lang w:val="en-US" w:eastAsia="zh-CN"/>
        </w:rPr>
        <w:t>（北京时间）</w:t>
      </w:r>
      <w:r>
        <w:rPr>
          <w:rFonts w:hint="eastAsia" w:ascii="宋体" w:hAnsi="宋体"/>
          <w:sz w:val="28"/>
          <w:szCs w:val="28"/>
          <w:highlight w:val="none"/>
        </w:rPr>
        <w:t>。</w:t>
      </w:r>
      <w:bookmarkStart w:id="5" w:name="_Hlk32349437"/>
    </w:p>
    <w:bookmarkEnd w:id="5"/>
    <w:p>
      <w:pPr>
        <w:widowControl/>
        <w:adjustRightInd w:val="0"/>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rPr>
        <w:t>（3）邮寄送达地点：</w:t>
      </w:r>
      <w:r>
        <w:rPr>
          <w:rFonts w:hint="eastAsia" w:ascii="宋体" w:hAnsi="宋体" w:cs="宋体"/>
          <w:kern w:val="0"/>
          <w:sz w:val="28"/>
          <w:szCs w:val="28"/>
          <w:highlight w:val="none"/>
        </w:rPr>
        <w:t>南京市浦口区宁六路219号</w:t>
      </w:r>
      <w:r>
        <w:rPr>
          <w:rFonts w:ascii="宋体" w:hAnsi="宋体" w:cs="宋体"/>
          <w:kern w:val="0"/>
          <w:sz w:val="28"/>
          <w:szCs w:val="28"/>
          <w:highlight w:val="none"/>
        </w:rPr>
        <w:t>南京信息工程大学</w:t>
      </w:r>
      <w:r>
        <w:rPr>
          <w:rFonts w:hint="eastAsia" w:ascii="宋体" w:hAnsi="宋体"/>
          <w:sz w:val="28"/>
          <w:szCs w:val="28"/>
          <w:highlight w:val="none"/>
        </w:rPr>
        <w:t>东苑大学生创业中心3号楼（体育馆北面三层小楼）210室</w:t>
      </w:r>
      <w:r>
        <w:rPr>
          <w:rFonts w:hint="eastAsia" w:ascii="宋体" w:hAnsi="宋体" w:cs="宋体"/>
          <w:kern w:val="0"/>
          <w:sz w:val="28"/>
          <w:szCs w:val="28"/>
          <w:highlight w:val="none"/>
        </w:rPr>
        <w:t>招标办。联系人：马老师、罗老师、刘老师；联系电话：025-58731441。</w:t>
      </w:r>
    </w:p>
    <w:p>
      <w:pPr>
        <w:snapToGrid w:val="0"/>
        <w:spacing w:line="360" w:lineRule="auto"/>
        <w:ind w:firstLine="560" w:firstLineChars="200"/>
        <w:rPr>
          <w:rFonts w:ascii="宋体" w:hAnsi="宋体"/>
          <w:sz w:val="28"/>
          <w:szCs w:val="28"/>
          <w:highlight w:val="none"/>
        </w:rPr>
      </w:pPr>
      <w:r>
        <w:rPr>
          <w:rFonts w:ascii="宋体" w:hAnsi="宋体"/>
          <w:sz w:val="28"/>
          <w:szCs w:val="28"/>
          <w:highlight w:val="none"/>
        </w:rPr>
        <w:t>6</w:t>
      </w:r>
      <w:r>
        <w:rPr>
          <w:rFonts w:hint="eastAsia" w:ascii="宋体" w:hAnsi="宋体"/>
          <w:sz w:val="28"/>
          <w:szCs w:val="28"/>
          <w:highlight w:val="none"/>
        </w:rPr>
        <w:t>.开标、唱标和评标</w:t>
      </w:r>
    </w:p>
    <w:p>
      <w:pPr>
        <w:widowControl/>
        <w:spacing w:line="360" w:lineRule="auto"/>
        <w:ind w:firstLine="560" w:firstLineChars="200"/>
        <w:rPr>
          <w:rFonts w:ascii="宋体" w:hAnsi="宋体"/>
          <w:sz w:val="28"/>
          <w:szCs w:val="28"/>
          <w:highlight w:val="none"/>
        </w:rPr>
      </w:pPr>
      <w:r>
        <w:rPr>
          <w:rFonts w:hint="eastAsia" w:ascii="宋体" w:hAnsi="宋体"/>
          <w:sz w:val="28"/>
          <w:szCs w:val="28"/>
          <w:highlight w:val="none"/>
        </w:rPr>
        <w:t>（1）开标、唱标：2022年</w:t>
      </w:r>
      <w:r>
        <w:rPr>
          <w:rFonts w:hint="eastAsia" w:ascii="宋体" w:hAnsi="宋体"/>
          <w:sz w:val="28"/>
          <w:szCs w:val="28"/>
          <w:highlight w:val="none"/>
          <w:lang w:val="en-US" w:eastAsia="zh-CN"/>
        </w:rPr>
        <w:t>08</w:t>
      </w:r>
      <w:r>
        <w:rPr>
          <w:rFonts w:hint="eastAsia" w:ascii="宋体" w:hAnsi="宋体"/>
          <w:sz w:val="28"/>
          <w:szCs w:val="28"/>
          <w:highlight w:val="none"/>
        </w:rPr>
        <w:t>月</w:t>
      </w:r>
      <w:r>
        <w:rPr>
          <w:rFonts w:hint="eastAsia" w:ascii="宋体" w:hAnsi="宋体"/>
          <w:sz w:val="28"/>
          <w:szCs w:val="28"/>
          <w:highlight w:val="none"/>
          <w:lang w:val="en-US" w:eastAsia="zh-CN"/>
        </w:rPr>
        <w:t>19</w:t>
      </w:r>
      <w:r>
        <w:rPr>
          <w:rFonts w:hint="eastAsia" w:ascii="宋体" w:hAnsi="宋体"/>
          <w:sz w:val="28"/>
          <w:szCs w:val="28"/>
          <w:highlight w:val="none"/>
        </w:rPr>
        <w:t>日09：00</w:t>
      </w:r>
      <w:r>
        <w:rPr>
          <w:rFonts w:hint="eastAsia" w:ascii="宋体" w:hAnsi="宋体"/>
          <w:sz w:val="28"/>
          <w:szCs w:val="28"/>
          <w:highlight w:val="none"/>
          <w:lang w:val="en-US" w:eastAsia="zh-CN"/>
        </w:rPr>
        <w:t>（北京时间）</w:t>
      </w:r>
      <w:r>
        <w:rPr>
          <w:rFonts w:hint="eastAsia" w:ascii="宋体" w:hAnsi="宋体"/>
          <w:sz w:val="28"/>
          <w:szCs w:val="28"/>
          <w:highlight w:val="none"/>
        </w:rPr>
        <w:t>；(不安排公开开标、唱标，由招标办工作人员在我校纪检监察部门监督见证下进行，开标、唱标工作全程视频监控并录像)。</w:t>
      </w:r>
    </w:p>
    <w:p>
      <w:pPr>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rPr>
        <w:t>（2）唱标和开标地点：南京信息工程大学东苑大学生创业中心</w:t>
      </w:r>
      <w:r>
        <w:rPr>
          <w:rFonts w:ascii="宋体" w:hAnsi="宋体"/>
          <w:sz w:val="28"/>
          <w:szCs w:val="28"/>
          <w:highlight w:val="none"/>
        </w:rPr>
        <w:t>3</w:t>
      </w:r>
      <w:r>
        <w:rPr>
          <w:rFonts w:hint="eastAsia" w:ascii="宋体" w:hAnsi="宋体"/>
          <w:sz w:val="28"/>
          <w:szCs w:val="28"/>
          <w:highlight w:val="none"/>
        </w:rPr>
        <w:t>号楼（体育馆北面三层小楼）</w:t>
      </w:r>
      <w:r>
        <w:rPr>
          <w:rFonts w:ascii="宋体" w:hAnsi="宋体"/>
          <w:sz w:val="28"/>
          <w:szCs w:val="28"/>
          <w:highlight w:val="none"/>
        </w:rPr>
        <w:t>210</w:t>
      </w:r>
      <w:r>
        <w:rPr>
          <w:rFonts w:hint="eastAsia" w:ascii="宋体" w:hAnsi="宋体"/>
          <w:sz w:val="28"/>
          <w:szCs w:val="28"/>
          <w:highlight w:val="none"/>
        </w:rPr>
        <w:t>室。</w:t>
      </w:r>
    </w:p>
    <w:p>
      <w:pPr>
        <w:snapToGrid w:val="0"/>
        <w:spacing w:line="360" w:lineRule="auto"/>
        <w:ind w:firstLine="560" w:firstLineChars="200"/>
        <w:rPr>
          <w:rFonts w:ascii="宋体" w:hAnsi="宋体" w:cs="宋体"/>
          <w:sz w:val="28"/>
          <w:szCs w:val="28"/>
          <w:highlight w:val="none"/>
        </w:rPr>
      </w:pPr>
      <w:r>
        <w:rPr>
          <w:rFonts w:ascii="宋体" w:hAnsi="宋体" w:cs="宋体"/>
          <w:sz w:val="28"/>
          <w:szCs w:val="28"/>
          <w:highlight w:val="none"/>
        </w:rPr>
        <w:t>7</w:t>
      </w:r>
      <w:r>
        <w:rPr>
          <w:rFonts w:hint="eastAsia" w:ascii="宋体" w:hAnsi="宋体" w:cs="宋体"/>
          <w:sz w:val="28"/>
          <w:szCs w:val="28"/>
          <w:highlight w:val="none"/>
        </w:rPr>
        <w:t>.相关单位联系人及电话</w:t>
      </w:r>
    </w:p>
    <w:p>
      <w:pPr>
        <w:snapToGrid w:val="0"/>
        <w:spacing w:line="360" w:lineRule="auto"/>
        <w:ind w:firstLine="425" w:firstLineChars="152"/>
        <w:rPr>
          <w:rFonts w:ascii="宋体"/>
          <w:sz w:val="28"/>
          <w:szCs w:val="28"/>
          <w:highlight w:val="none"/>
        </w:rPr>
      </w:pPr>
      <w:r>
        <w:rPr>
          <w:rFonts w:hint="eastAsia" w:ascii="宋体" w:hAnsi="宋体"/>
          <w:sz w:val="28"/>
          <w:szCs w:val="28"/>
          <w:highlight w:val="none"/>
        </w:rPr>
        <w:t>（</w:t>
      </w:r>
      <w:r>
        <w:rPr>
          <w:rFonts w:ascii="宋体" w:hAnsi="宋体"/>
          <w:sz w:val="28"/>
          <w:szCs w:val="28"/>
          <w:highlight w:val="none"/>
        </w:rPr>
        <w:t>1</w:t>
      </w:r>
      <w:r>
        <w:rPr>
          <w:rFonts w:hint="eastAsia" w:ascii="宋体" w:hAnsi="宋体"/>
          <w:sz w:val="28"/>
          <w:szCs w:val="28"/>
          <w:highlight w:val="none"/>
        </w:rPr>
        <w:t>）招标办：联系电话：</w:t>
      </w:r>
      <w:r>
        <w:rPr>
          <w:rFonts w:ascii="宋体" w:hAnsi="宋体"/>
          <w:sz w:val="28"/>
          <w:szCs w:val="28"/>
          <w:highlight w:val="none"/>
        </w:rPr>
        <w:t>025-58731441</w:t>
      </w:r>
      <w:r>
        <w:rPr>
          <w:rFonts w:hint="eastAsia" w:ascii="宋体" w:hAnsi="宋体"/>
          <w:sz w:val="28"/>
          <w:szCs w:val="28"/>
          <w:highlight w:val="none"/>
        </w:rPr>
        <w:t>，联系人：马老师、罗老师、刘老师；</w:t>
      </w:r>
    </w:p>
    <w:p>
      <w:pPr>
        <w:snapToGrid w:val="0"/>
        <w:spacing w:line="360" w:lineRule="auto"/>
        <w:ind w:firstLine="425" w:firstLineChars="152"/>
        <w:rPr>
          <w:rFonts w:ascii="宋体" w:hAnsi="宋体"/>
          <w:sz w:val="28"/>
          <w:szCs w:val="28"/>
          <w:highlight w:val="none"/>
        </w:rPr>
      </w:pPr>
      <w:r>
        <w:rPr>
          <w:rFonts w:hint="eastAsia" w:ascii="宋体" w:hAnsi="宋体"/>
          <w:sz w:val="28"/>
          <w:szCs w:val="28"/>
          <w:highlight w:val="none"/>
        </w:rPr>
        <w:t>（2）</w:t>
      </w:r>
      <w:bookmarkEnd w:id="4"/>
      <w:r>
        <w:rPr>
          <w:rFonts w:hint="eastAsia" w:ascii="宋体" w:hAnsi="宋体"/>
          <w:sz w:val="28"/>
          <w:szCs w:val="28"/>
          <w:highlight w:val="none"/>
        </w:rPr>
        <w:t>用户单位联系电话</w:t>
      </w:r>
      <w:r>
        <w:rPr>
          <w:rFonts w:hint="eastAsia" w:ascii="宋体" w:hAnsi="宋体"/>
          <w:sz w:val="28"/>
          <w:szCs w:val="28"/>
          <w:highlight w:val="none"/>
        </w:rPr>
        <w:t>：</w:t>
      </w:r>
      <w:r>
        <w:rPr>
          <w:rFonts w:hint="eastAsia" w:ascii="宋体" w:hAnsi="宋体"/>
          <w:sz w:val="28"/>
          <w:szCs w:val="28"/>
          <w:highlight w:val="none"/>
          <w:lang w:val="en-US" w:eastAsia="zh-CN"/>
        </w:rPr>
        <w:t>025-58731517</w:t>
      </w:r>
      <w:r>
        <w:rPr>
          <w:rFonts w:hint="eastAsia" w:ascii="宋体" w:hAnsi="宋体"/>
          <w:sz w:val="28"/>
          <w:szCs w:val="28"/>
          <w:highlight w:val="none"/>
        </w:rPr>
        <w:t xml:space="preserve"> ，联系人：</w:t>
      </w:r>
      <w:r>
        <w:rPr>
          <w:rFonts w:hint="eastAsia" w:ascii="宋体" w:hAnsi="宋体"/>
          <w:sz w:val="28"/>
          <w:szCs w:val="28"/>
          <w:highlight w:val="none"/>
          <w:lang w:val="en-US" w:eastAsia="zh-CN"/>
        </w:rPr>
        <w:t>陈</w:t>
      </w:r>
      <w:r>
        <w:rPr>
          <w:rFonts w:hint="eastAsia" w:ascii="宋体" w:hAnsi="宋体"/>
          <w:sz w:val="28"/>
          <w:szCs w:val="28"/>
          <w:highlight w:val="none"/>
        </w:rPr>
        <w:t>老师。</w:t>
      </w:r>
    </w:p>
    <w:p>
      <w:pPr>
        <w:pStyle w:val="9"/>
        <w:ind w:left="0" w:leftChars="0" w:right="0" w:rightChars="0"/>
        <w:rPr>
          <w:rFonts w:ascii="宋体" w:hAnsi="宋体"/>
          <w:sz w:val="28"/>
          <w:szCs w:val="28"/>
          <w:highlight w:val="none"/>
        </w:rPr>
      </w:pPr>
    </w:p>
    <w:p>
      <w:pPr>
        <w:tabs>
          <w:tab w:val="left" w:pos="1260"/>
        </w:tabs>
        <w:spacing w:line="360" w:lineRule="auto"/>
        <w:ind w:left="1959" w:leftChars="933" w:firstLine="2530" w:firstLineChars="900"/>
        <w:rPr>
          <w:rFonts w:ascii="宋体"/>
          <w:b/>
          <w:sz w:val="28"/>
          <w:szCs w:val="28"/>
          <w:highlight w:val="none"/>
        </w:rPr>
      </w:pPr>
      <w:bookmarkStart w:id="6" w:name="_Hlk9866962"/>
      <w:r>
        <w:rPr>
          <w:rFonts w:hint="eastAsia" w:ascii="宋体" w:hAnsi="宋体"/>
          <w:b/>
          <w:sz w:val="28"/>
          <w:szCs w:val="28"/>
          <w:highlight w:val="none"/>
        </w:rPr>
        <w:t>南京信息工程大学招标办</w:t>
      </w:r>
    </w:p>
    <w:p>
      <w:pPr>
        <w:pStyle w:val="12"/>
        <w:spacing w:line="360" w:lineRule="auto"/>
        <w:ind w:left="99" w:leftChars="47" w:firstLine="4919" w:firstLineChars="1750"/>
        <w:rPr>
          <w:rStyle w:val="48"/>
          <w:rFonts w:ascii="宋体" w:hAnsi="Times New Roman" w:eastAsia="宋体"/>
          <w:sz w:val="28"/>
          <w:szCs w:val="28"/>
          <w:highlight w:val="none"/>
        </w:rPr>
      </w:pPr>
      <w:r>
        <w:rPr>
          <w:rStyle w:val="48"/>
          <w:rFonts w:ascii="宋体" w:hAnsi="宋体" w:eastAsia="宋体"/>
          <w:sz w:val="28"/>
          <w:szCs w:val="28"/>
          <w:highlight w:val="none"/>
        </w:rPr>
        <w:t>20</w:t>
      </w:r>
      <w:r>
        <w:rPr>
          <w:rStyle w:val="48"/>
          <w:rFonts w:hint="eastAsia" w:ascii="宋体" w:hAnsi="宋体" w:eastAsia="宋体"/>
          <w:sz w:val="28"/>
          <w:szCs w:val="28"/>
          <w:highlight w:val="none"/>
        </w:rPr>
        <w:t>2</w:t>
      </w:r>
      <w:r>
        <w:rPr>
          <w:rStyle w:val="48"/>
          <w:rFonts w:hint="eastAsia" w:ascii="宋体" w:hAnsi="宋体"/>
          <w:sz w:val="28"/>
          <w:szCs w:val="28"/>
          <w:highlight w:val="none"/>
          <w:lang w:val="en-US"/>
        </w:rPr>
        <w:t>2</w:t>
      </w:r>
      <w:r>
        <w:rPr>
          <w:rStyle w:val="48"/>
          <w:rFonts w:hint="eastAsia" w:ascii="宋体" w:hAnsi="宋体" w:eastAsia="宋体"/>
          <w:sz w:val="28"/>
          <w:szCs w:val="28"/>
          <w:highlight w:val="none"/>
        </w:rPr>
        <w:t>年</w:t>
      </w:r>
      <w:r>
        <w:rPr>
          <w:rStyle w:val="48"/>
          <w:rFonts w:hint="eastAsia" w:ascii="宋体" w:hAnsi="宋体"/>
          <w:sz w:val="28"/>
          <w:szCs w:val="28"/>
          <w:highlight w:val="none"/>
        </w:rPr>
        <w:t>0</w:t>
      </w:r>
      <w:r>
        <w:rPr>
          <w:rStyle w:val="48"/>
          <w:rFonts w:hint="eastAsia" w:ascii="宋体" w:hAnsi="宋体"/>
          <w:sz w:val="28"/>
          <w:szCs w:val="28"/>
          <w:highlight w:val="none"/>
          <w:lang w:val="en-US"/>
        </w:rPr>
        <w:t>7</w:t>
      </w:r>
      <w:r>
        <w:rPr>
          <w:rStyle w:val="48"/>
          <w:rFonts w:hint="eastAsia" w:ascii="宋体" w:hAnsi="宋体" w:eastAsia="宋体"/>
          <w:sz w:val="28"/>
          <w:szCs w:val="28"/>
          <w:highlight w:val="none"/>
        </w:rPr>
        <w:t>月</w:t>
      </w:r>
      <w:r>
        <w:rPr>
          <w:rStyle w:val="48"/>
          <w:rFonts w:hint="eastAsia" w:ascii="宋体" w:hAnsi="宋体"/>
          <w:sz w:val="28"/>
          <w:szCs w:val="28"/>
          <w:highlight w:val="none"/>
          <w:lang w:val="en-US"/>
        </w:rPr>
        <w:t>25</w:t>
      </w:r>
      <w:r>
        <w:rPr>
          <w:rStyle w:val="48"/>
          <w:rFonts w:hint="eastAsia" w:ascii="宋体" w:hAnsi="宋体" w:eastAsia="宋体"/>
          <w:sz w:val="28"/>
          <w:szCs w:val="28"/>
          <w:highlight w:val="none"/>
        </w:rPr>
        <w:t>日</w:t>
      </w:r>
    </w:p>
    <w:bookmarkEnd w:id="6"/>
    <w:p>
      <w:pPr>
        <w:pStyle w:val="11"/>
        <w:adjustRightInd w:val="0"/>
        <w:snapToGrid w:val="0"/>
        <w:spacing w:before="120" w:after="120" w:line="360" w:lineRule="auto"/>
        <w:rPr>
          <w:rStyle w:val="48"/>
          <w:rFonts w:ascii="宋体" w:hAnsi="宋体" w:eastAsia="宋体"/>
          <w:b w:val="0"/>
          <w:sz w:val="28"/>
          <w:szCs w:val="28"/>
          <w:highlight w:val="none"/>
        </w:rPr>
      </w:pPr>
      <w:r>
        <w:rPr>
          <w:rStyle w:val="48"/>
          <w:rFonts w:ascii="宋体" w:hAnsi="Times New Roman" w:eastAsia="宋体"/>
          <w:b w:val="0"/>
          <w:sz w:val="28"/>
          <w:szCs w:val="28"/>
          <w:highlight w:val="none"/>
        </w:rPr>
        <w:br w:type="page"/>
      </w:r>
      <w:bookmarkStart w:id="7" w:name="_Toc462564147"/>
      <w:r>
        <w:rPr>
          <w:rFonts w:ascii="Times New Roman" w:hAnsi="Times New Roman"/>
          <w:b/>
          <w:bCs/>
          <w:sz w:val="24"/>
          <w:szCs w:val="24"/>
          <w:highlight w:val="none"/>
        </w:rPr>
        <w:t>附件1：</w:t>
      </w:r>
    </w:p>
    <w:p>
      <w:pPr>
        <w:spacing w:line="360" w:lineRule="auto"/>
        <w:ind w:left="180"/>
        <w:jc w:val="center"/>
        <w:rPr>
          <w:rFonts w:hAnsi="宋体"/>
          <w:b/>
          <w:sz w:val="28"/>
          <w:szCs w:val="28"/>
          <w:highlight w:val="none"/>
        </w:rPr>
      </w:pPr>
      <w:r>
        <w:rPr>
          <w:rFonts w:hint="eastAsia" w:hAnsi="宋体"/>
          <w:b/>
          <w:sz w:val="28"/>
          <w:szCs w:val="28"/>
          <w:highlight w:val="none"/>
        </w:rPr>
        <w:t>招标项目名称、数量、主要技术要求及其他要求</w:t>
      </w:r>
    </w:p>
    <w:p>
      <w:pPr>
        <w:rPr>
          <w:b/>
          <w:bCs/>
          <w:sz w:val="28"/>
          <w:szCs w:val="36"/>
          <w:highlight w:val="none"/>
        </w:rPr>
      </w:pPr>
      <w:r>
        <w:rPr>
          <w:rFonts w:hint="eastAsia"/>
          <w:b/>
          <w:bCs/>
          <w:sz w:val="28"/>
          <w:szCs w:val="36"/>
          <w:highlight w:val="none"/>
        </w:rPr>
        <w:t>一、项目概况及现状</w:t>
      </w:r>
    </w:p>
    <w:p>
      <w:pPr>
        <w:ind w:firstLine="420"/>
        <w:rPr>
          <w:sz w:val="28"/>
          <w:szCs w:val="36"/>
          <w:highlight w:val="none"/>
        </w:rPr>
      </w:pPr>
      <w:r>
        <w:rPr>
          <w:rFonts w:hint="eastAsia"/>
          <w:sz w:val="28"/>
          <w:szCs w:val="36"/>
          <w:highlight w:val="none"/>
        </w:rPr>
        <w:t>1、项目背景</w:t>
      </w:r>
    </w:p>
    <w:p>
      <w:pPr>
        <w:ind w:firstLine="420"/>
        <w:rPr>
          <w:sz w:val="28"/>
          <w:szCs w:val="36"/>
          <w:highlight w:val="none"/>
        </w:rPr>
      </w:pPr>
      <w:r>
        <w:rPr>
          <w:rFonts w:hint="eastAsia"/>
          <w:sz w:val="28"/>
          <w:szCs w:val="36"/>
          <w:highlight w:val="none"/>
        </w:rPr>
        <w:t>2021年12月，教育部办公厅发布的《关于开展加强高校实验室安全专项行动的通知》提出总体要求：强化安全风险防控和隐患排查治理，全面落实责任体系建设，坚决防范遏制安全事故发生。近年来，高校的实验室安全事故频发，实验室安全管理重要性日益凸显，事故频发暴露出实验室安全管理仍存在薄弱环节，如何加强实验室安全管理，预防事故发生是亟需思考与解决的问题。本项目通过人工智能、大数据等技术，探索实践符合实验室管理需求的信息化解决方案，提升实验室安全管理能力。</w:t>
      </w:r>
    </w:p>
    <w:p>
      <w:pPr>
        <w:ind w:firstLine="420"/>
        <w:rPr>
          <w:sz w:val="28"/>
          <w:szCs w:val="36"/>
          <w:highlight w:val="none"/>
        </w:rPr>
      </w:pPr>
      <w:r>
        <w:rPr>
          <w:rFonts w:hint="eastAsia"/>
          <w:sz w:val="28"/>
          <w:szCs w:val="36"/>
          <w:highlight w:val="none"/>
        </w:rPr>
        <w:t>2、项目现状</w:t>
      </w:r>
    </w:p>
    <w:p>
      <w:pPr>
        <w:ind w:firstLine="420"/>
        <w:rPr>
          <w:sz w:val="28"/>
          <w:szCs w:val="36"/>
          <w:highlight w:val="none"/>
        </w:rPr>
      </w:pPr>
      <w:r>
        <w:rPr>
          <w:rFonts w:hint="eastAsia"/>
          <w:sz w:val="28"/>
          <w:szCs w:val="36"/>
          <w:highlight w:val="none"/>
        </w:rPr>
        <w:t>南京信息工程大学实验室涉及多个学院，实验室内涉及不同的研究小组，实验室内人员混杂，管理存在一定混乱，实验室人员安全防范制度不够完善，跨部门管理的协作能力不足。</w:t>
      </w:r>
    </w:p>
    <w:p>
      <w:pPr>
        <w:rPr>
          <w:b/>
          <w:bCs/>
          <w:sz w:val="28"/>
          <w:szCs w:val="36"/>
          <w:highlight w:val="none"/>
        </w:rPr>
      </w:pPr>
      <w:r>
        <w:rPr>
          <w:rFonts w:hint="eastAsia"/>
          <w:b/>
          <w:bCs/>
          <w:sz w:val="28"/>
          <w:szCs w:val="36"/>
          <w:highlight w:val="none"/>
        </w:rPr>
        <w:t>二、项目需求</w:t>
      </w:r>
    </w:p>
    <w:p>
      <w:pPr>
        <w:ind w:firstLine="420"/>
        <w:rPr>
          <w:sz w:val="28"/>
          <w:szCs w:val="36"/>
          <w:highlight w:val="none"/>
        </w:rPr>
      </w:pPr>
      <w:r>
        <w:rPr>
          <w:rFonts w:hint="eastAsia"/>
          <w:sz w:val="28"/>
          <w:szCs w:val="36"/>
          <w:highlight w:val="none"/>
        </w:rPr>
        <w:t>本次项目建设一套符合实验室管理需求的智能感知平台，包含30间实验室。具体需求如下。</w:t>
      </w:r>
    </w:p>
    <w:p>
      <w:pPr>
        <w:ind w:firstLine="420"/>
        <w:rPr>
          <w:sz w:val="28"/>
          <w:szCs w:val="36"/>
          <w:highlight w:val="none"/>
        </w:rPr>
      </w:pPr>
      <w:r>
        <w:rPr>
          <w:rFonts w:hint="eastAsia"/>
          <w:sz w:val="28"/>
          <w:szCs w:val="36"/>
          <w:highlight w:val="none"/>
        </w:rPr>
        <w:t>1、提升学生管控能力。针对实验室之间存在互串的现象，通过本次项目建设，加强学生管控，避免造成因学生对实验室不熟悉，互串造成的损失。</w:t>
      </w:r>
    </w:p>
    <w:p>
      <w:pPr>
        <w:ind w:firstLine="420"/>
        <w:rPr>
          <w:sz w:val="28"/>
          <w:szCs w:val="36"/>
          <w:highlight w:val="none"/>
        </w:rPr>
      </w:pPr>
      <w:r>
        <w:rPr>
          <w:rFonts w:hint="eastAsia"/>
          <w:sz w:val="28"/>
          <w:szCs w:val="36"/>
          <w:highlight w:val="none"/>
        </w:rPr>
        <w:t>2、提高管理人员专业能力。以往管理人员的信息化管理手段较少，利用本次建设的软件平台，加强管理能力，提升管理效率。</w:t>
      </w:r>
    </w:p>
    <w:p>
      <w:pPr>
        <w:ind w:firstLine="420"/>
        <w:rPr>
          <w:sz w:val="28"/>
          <w:szCs w:val="36"/>
          <w:highlight w:val="none"/>
        </w:rPr>
      </w:pPr>
      <w:r>
        <w:rPr>
          <w:rFonts w:hint="eastAsia"/>
          <w:sz w:val="28"/>
          <w:szCs w:val="36"/>
          <w:highlight w:val="none"/>
        </w:rPr>
        <w:t>3、增强跨部门协作能力。部门之间的管理无法连通，通过本次项目建设，加强部门协作，在发生事故时及时通知到各部门。</w:t>
      </w:r>
    </w:p>
    <w:p>
      <w:pPr>
        <w:ind w:firstLine="420"/>
        <w:rPr>
          <w:sz w:val="28"/>
          <w:szCs w:val="36"/>
          <w:highlight w:val="none"/>
        </w:rPr>
      </w:pPr>
      <w:r>
        <w:rPr>
          <w:rFonts w:hint="eastAsia"/>
          <w:sz w:val="28"/>
          <w:szCs w:val="36"/>
          <w:highlight w:val="none"/>
        </w:rPr>
        <w:t>4、增加管理决策依据。对于实验室的互串现象，以往的管理决策依据不足，利用本次建设的数据相关内容，提升实验室管理水平的数据支撑，加强实验室的针对性管理。</w:t>
      </w:r>
    </w:p>
    <w:p>
      <w:pPr>
        <w:rPr>
          <w:b/>
          <w:bCs/>
          <w:sz w:val="28"/>
          <w:szCs w:val="36"/>
          <w:highlight w:val="none"/>
        </w:rPr>
      </w:pPr>
      <w:r>
        <w:rPr>
          <w:rFonts w:hint="eastAsia"/>
          <w:b/>
          <w:bCs/>
          <w:sz w:val="28"/>
          <w:szCs w:val="36"/>
          <w:highlight w:val="none"/>
        </w:rPr>
        <w:t>三、建设目标</w:t>
      </w:r>
    </w:p>
    <w:p>
      <w:pPr>
        <w:ind w:firstLine="420"/>
        <w:rPr>
          <w:sz w:val="28"/>
          <w:szCs w:val="36"/>
          <w:highlight w:val="none"/>
        </w:rPr>
      </w:pPr>
      <w:r>
        <w:rPr>
          <w:rFonts w:hint="eastAsia"/>
          <w:sz w:val="28"/>
          <w:szCs w:val="36"/>
          <w:highlight w:val="none"/>
        </w:rPr>
        <w:t>本次项目采用信息化系统进行监管，推进校园实验室人员管理即时化、精准化、智能化和数字化。实现对实验室进入人员的身份识别，完成实验室人员管控。为实验室管理人员提供有效的相关监控数据和管理手段，宏观地掌握整个实验室人员相关状况，为学校管理部门制定决策提供数据支撑和科学依据。</w:t>
      </w:r>
    </w:p>
    <w:p>
      <w:pPr>
        <w:rPr>
          <w:b/>
          <w:bCs/>
          <w:sz w:val="28"/>
          <w:szCs w:val="36"/>
          <w:highlight w:val="none"/>
        </w:rPr>
      </w:pPr>
      <w:r>
        <w:rPr>
          <w:rFonts w:hint="eastAsia"/>
          <w:b/>
          <w:bCs/>
          <w:sz w:val="28"/>
          <w:szCs w:val="36"/>
          <w:highlight w:val="none"/>
        </w:rPr>
        <w:t>四、建设内容</w:t>
      </w:r>
    </w:p>
    <w:p>
      <w:pPr>
        <w:ind w:firstLine="420"/>
        <w:rPr>
          <w:sz w:val="28"/>
          <w:szCs w:val="36"/>
          <w:highlight w:val="none"/>
        </w:rPr>
      </w:pPr>
      <w:r>
        <w:rPr>
          <w:rFonts w:hint="eastAsia"/>
          <w:sz w:val="28"/>
          <w:szCs w:val="36"/>
          <w:highlight w:val="none"/>
        </w:rPr>
        <w:t>本项目拟定建设内容包括前端AI筒型智能抓拍摄像机，后端人脸识别结构化服务器及软件，实验室人员准入智能防控软件等。具体功能需求如下：</w:t>
      </w:r>
    </w:p>
    <w:p>
      <w:pPr>
        <w:ind w:firstLine="420"/>
        <w:rPr>
          <w:sz w:val="28"/>
          <w:szCs w:val="36"/>
          <w:highlight w:val="none"/>
        </w:rPr>
      </w:pPr>
      <w:r>
        <w:rPr>
          <w:rFonts w:hint="eastAsia"/>
          <w:sz w:val="28"/>
          <w:szCs w:val="36"/>
          <w:highlight w:val="none"/>
        </w:rPr>
        <w:t>1、人员权限分配</w:t>
      </w:r>
    </w:p>
    <w:p>
      <w:pPr>
        <w:ind w:firstLine="420"/>
        <w:rPr>
          <w:sz w:val="28"/>
          <w:szCs w:val="36"/>
          <w:highlight w:val="none"/>
        </w:rPr>
      </w:pPr>
      <w:r>
        <w:rPr>
          <w:rFonts w:hint="eastAsia"/>
          <w:sz w:val="28"/>
          <w:szCs w:val="36"/>
          <w:highlight w:val="none"/>
        </w:rPr>
        <w:t>当分配人员进驻某实验室后，代表该人员拥有进入权限，之后向系统发出人脸权限下发请求，将人脸照片下发人脸识别结构化平台中对应的实验室人脸库中，人员进入实验室不报警。</w:t>
      </w:r>
    </w:p>
    <w:p>
      <w:pPr>
        <w:ind w:firstLine="420"/>
        <w:rPr>
          <w:sz w:val="28"/>
          <w:szCs w:val="36"/>
          <w:highlight w:val="none"/>
        </w:rPr>
      </w:pPr>
      <w:r>
        <w:rPr>
          <w:rFonts w:hint="eastAsia"/>
          <w:sz w:val="28"/>
          <w:szCs w:val="36"/>
          <w:highlight w:val="none"/>
        </w:rPr>
        <w:t>2、人员调配/退</w:t>
      </w:r>
    </w:p>
    <w:p>
      <w:pPr>
        <w:ind w:firstLine="420"/>
        <w:rPr>
          <w:sz w:val="28"/>
          <w:szCs w:val="36"/>
          <w:highlight w:val="none"/>
        </w:rPr>
      </w:pPr>
      <w:r>
        <w:rPr>
          <w:rFonts w:hint="eastAsia"/>
          <w:sz w:val="28"/>
          <w:szCs w:val="36"/>
          <w:highlight w:val="none"/>
        </w:rPr>
        <w:t>退/调实验室取消实验室人员的人脸权限下发，在用户进行人员退/调实验室操作时，首先判断用户是否有该实验室的进入权限，之后向数据库查询实验室关联人脸库信息，校验设备是否在线，之后向系统发出人脸权限删除请求，待返回删除结果后返回给平台。</w:t>
      </w:r>
    </w:p>
    <w:p>
      <w:pPr>
        <w:ind w:firstLine="420"/>
        <w:rPr>
          <w:sz w:val="28"/>
          <w:szCs w:val="36"/>
          <w:highlight w:val="none"/>
        </w:rPr>
      </w:pPr>
      <w:r>
        <w:rPr>
          <w:rFonts w:hint="eastAsia"/>
          <w:sz w:val="28"/>
          <w:szCs w:val="36"/>
          <w:highlight w:val="none"/>
        </w:rPr>
        <w:t>3、报警推送</w:t>
      </w:r>
    </w:p>
    <w:p>
      <w:pPr>
        <w:ind w:firstLine="420"/>
        <w:rPr>
          <w:sz w:val="28"/>
          <w:szCs w:val="36"/>
          <w:highlight w:val="none"/>
        </w:rPr>
      </w:pPr>
      <w:r>
        <w:rPr>
          <w:rFonts w:hint="eastAsia"/>
          <w:sz w:val="28"/>
          <w:szCs w:val="36"/>
          <w:highlight w:val="none"/>
        </w:rPr>
        <w:t>当非授权人员进入实验室后，平台会产生报警信息，优先推送给实验室对应负责人，在规定时间内未进行报警解除操作，报警信息推送至院系领导、相关保卫人员、设备管理处人员。</w:t>
      </w:r>
    </w:p>
    <w:p>
      <w:pPr>
        <w:ind w:firstLine="420"/>
        <w:rPr>
          <w:sz w:val="28"/>
          <w:szCs w:val="36"/>
          <w:highlight w:val="none"/>
        </w:rPr>
      </w:pPr>
      <w:r>
        <w:rPr>
          <w:rFonts w:hint="eastAsia"/>
          <w:sz w:val="28"/>
          <w:szCs w:val="36"/>
          <w:highlight w:val="none"/>
        </w:rPr>
        <w:t>4、记录查询</w:t>
      </w:r>
    </w:p>
    <w:p>
      <w:pPr>
        <w:ind w:firstLine="420"/>
        <w:rPr>
          <w:sz w:val="28"/>
          <w:szCs w:val="36"/>
          <w:highlight w:val="none"/>
        </w:rPr>
      </w:pPr>
      <w:r>
        <w:rPr>
          <w:sz w:val="28"/>
          <w:szCs w:val="36"/>
          <w:highlight w:val="none"/>
        </w:rPr>
        <w:t>可查询进驻、调/退实验室、抓拍记录、告警处理等记录</w:t>
      </w:r>
    </w:p>
    <w:p>
      <w:pPr>
        <w:ind w:firstLine="420"/>
        <w:rPr>
          <w:sz w:val="28"/>
          <w:szCs w:val="36"/>
          <w:highlight w:val="none"/>
        </w:rPr>
      </w:pPr>
      <w:r>
        <w:rPr>
          <w:rFonts w:hint="eastAsia"/>
          <w:sz w:val="28"/>
          <w:szCs w:val="36"/>
          <w:highlight w:val="none"/>
        </w:rPr>
        <w:t>5、以脸搜脸</w:t>
      </w:r>
    </w:p>
    <w:p>
      <w:pPr>
        <w:ind w:firstLine="420"/>
        <w:rPr>
          <w:sz w:val="28"/>
          <w:szCs w:val="36"/>
          <w:highlight w:val="none"/>
        </w:rPr>
      </w:pPr>
      <w:r>
        <w:rPr>
          <w:sz w:val="28"/>
          <w:szCs w:val="36"/>
          <w:highlight w:val="none"/>
        </w:rPr>
        <w:t>可从报警记录跳转至校园人脸特征库中的以脸搜脸，支持将发生报警时抓拍的画面进行二次搜索，查询对应人员基础信息</w:t>
      </w:r>
      <w:r>
        <w:rPr>
          <w:rFonts w:hint="eastAsia"/>
          <w:sz w:val="28"/>
          <w:szCs w:val="36"/>
          <w:highlight w:val="none"/>
        </w:rPr>
        <w:t>。</w:t>
      </w:r>
    </w:p>
    <w:p>
      <w:pPr>
        <w:ind w:firstLine="420"/>
        <w:rPr>
          <w:sz w:val="28"/>
          <w:szCs w:val="36"/>
          <w:highlight w:val="none"/>
        </w:rPr>
      </w:pPr>
      <w:r>
        <w:rPr>
          <w:rFonts w:hint="eastAsia"/>
          <w:sz w:val="28"/>
          <w:szCs w:val="36"/>
          <w:highlight w:val="none"/>
        </w:rPr>
        <w:t>6、企业微信对接</w:t>
      </w:r>
    </w:p>
    <w:p>
      <w:pPr>
        <w:ind w:firstLine="420"/>
        <w:rPr>
          <w:sz w:val="28"/>
          <w:szCs w:val="36"/>
          <w:highlight w:val="none"/>
        </w:rPr>
      </w:pPr>
      <w:r>
        <w:rPr>
          <w:rFonts w:hint="eastAsia"/>
          <w:sz w:val="28"/>
          <w:szCs w:val="36"/>
          <w:highlight w:val="none"/>
        </w:rPr>
        <w:t>报警推送信息应与校园企业微信打通，推送信息应包含时间、地点、抓拍图片、责任人姓名与电话以及查看实时视频的跳转链接（用于唤醒APP），优先推送给实验室对应的责任人，责任人可在H5界面进行报警除操作，需填写解除报警理由：已驱逐、前端误报、误闯入等（可配置理由）。在规定时间内未进行报警解除操作，该报警信息推送至院系领导、相关保卫人员、设备管理处人员。当日12点，院系负责人、保卫、设备处将收到所属院系的报警汇总信息（报警次数、未解除报警事件、事件处理结果占比）。</w:t>
      </w:r>
    </w:p>
    <w:p>
      <w:pPr>
        <w:ind w:firstLine="420"/>
        <w:rPr>
          <w:sz w:val="28"/>
          <w:szCs w:val="36"/>
          <w:highlight w:val="none"/>
        </w:rPr>
      </w:pPr>
      <w:r>
        <w:rPr>
          <w:rFonts w:hint="eastAsia"/>
          <w:sz w:val="28"/>
          <w:szCs w:val="36"/>
          <w:highlight w:val="none"/>
        </w:rPr>
        <w:t>7、APP对接</w:t>
      </w:r>
    </w:p>
    <w:p>
      <w:pPr>
        <w:ind w:firstLine="420"/>
        <w:rPr>
          <w:sz w:val="28"/>
          <w:szCs w:val="36"/>
          <w:highlight w:val="none"/>
        </w:rPr>
      </w:pPr>
      <w:r>
        <w:rPr>
          <w:sz w:val="28"/>
          <w:szCs w:val="36"/>
          <w:highlight w:val="none"/>
        </w:rPr>
        <w:t>实验室对应负责人、院系领导、相关保卫人员、设备管理处人员等相关人员可根据自身权限分配，进入app查看权限下的实验室实时视频，同时可联动对讲功能对实验室人员进行喊话</w:t>
      </w:r>
      <w:r>
        <w:rPr>
          <w:rFonts w:hint="eastAsia"/>
          <w:sz w:val="28"/>
          <w:szCs w:val="36"/>
          <w:highlight w:val="none"/>
        </w:rPr>
        <w:t>。</w:t>
      </w:r>
    </w:p>
    <w:p>
      <w:pPr>
        <w:ind w:firstLine="420"/>
        <w:rPr>
          <w:sz w:val="28"/>
          <w:szCs w:val="36"/>
          <w:highlight w:val="none"/>
        </w:rPr>
      </w:pPr>
      <w:r>
        <w:rPr>
          <w:rFonts w:hint="eastAsia"/>
          <w:sz w:val="28"/>
          <w:szCs w:val="36"/>
          <w:highlight w:val="none"/>
        </w:rPr>
        <w:t>8、数据看板</w:t>
      </w:r>
    </w:p>
    <w:p>
      <w:pPr>
        <w:ind w:firstLine="420"/>
        <w:rPr>
          <w:sz w:val="28"/>
          <w:szCs w:val="36"/>
          <w:highlight w:val="none"/>
        </w:rPr>
      </w:pPr>
      <w:r>
        <w:rPr>
          <w:sz w:val="28"/>
          <w:szCs w:val="36"/>
          <w:highlight w:val="none"/>
        </w:rPr>
        <w:t>校领导、保卫人员、设备管理处人员可在平台查看实验室管理数据看板，看板内容包括：当日、近7日、近1个月内的，管辖范围内的报警次数、实验室报警排名、未接触报警次数、入驻实验室人员数量</w:t>
      </w:r>
      <w:r>
        <w:rPr>
          <w:rFonts w:hint="eastAsia"/>
          <w:sz w:val="28"/>
          <w:szCs w:val="36"/>
          <w:highlight w:val="none"/>
        </w:rPr>
        <w:t>。</w:t>
      </w:r>
    </w:p>
    <w:p>
      <w:pPr>
        <w:rPr>
          <w:b/>
          <w:bCs/>
          <w:sz w:val="28"/>
          <w:szCs w:val="36"/>
          <w:highlight w:val="none"/>
        </w:rPr>
      </w:pPr>
      <w:r>
        <w:rPr>
          <w:rFonts w:hint="eastAsia"/>
          <w:b/>
          <w:bCs/>
          <w:sz w:val="28"/>
          <w:szCs w:val="36"/>
          <w:highlight w:val="none"/>
        </w:rPr>
        <w:t>五、清单及参数</w:t>
      </w:r>
    </w:p>
    <w:tbl>
      <w:tblPr>
        <w:tblStyle w:val="19"/>
        <w:tblW w:w="5177" w:type="pct"/>
        <w:tblInd w:w="-374" w:type="dxa"/>
        <w:tblLayout w:type="fixed"/>
        <w:tblCellMar>
          <w:top w:w="0" w:type="dxa"/>
          <w:left w:w="108" w:type="dxa"/>
          <w:bottom w:w="0" w:type="dxa"/>
          <w:right w:w="108" w:type="dxa"/>
        </w:tblCellMar>
      </w:tblPr>
      <w:tblGrid>
        <w:gridCol w:w="409"/>
        <w:gridCol w:w="652"/>
        <w:gridCol w:w="937"/>
        <w:gridCol w:w="7147"/>
        <w:gridCol w:w="515"/>
        <w:gridCol w:w="416"/>
        <w:gridCol w:w="715"/>
      </w:tblGrid>
      <w:tr>
        <w:tblPrEx>
          <w:tblCellMar>
            <w:top w:w="0" w:type="dxa"/>
            <w:left w:w="108" w:type="dxa"/>
            <w:bottom w:w="0" w:type="dxa"/>
            <w:right w:w="108" w:type="dxa"/>
          </w:tblCellMar>
        </w:tblPrEx>
        <w:trPr>
          <w:trHeight w:val="380" w:hRule="atLeast"/>
        </w:trPr>
        <w:tc>
          <w:tcPr>
            <w:tcW w:w="189" w:type="pct"/>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序号</w:t>
            </w:r>
          </w:p>
        </w:tc>
        <w:tc>
          <w:tcPr>
            <w:tcW w:w="302" w:type="pct"/>
            <w:tcBorders>
              <w:top w:val="single" w:color="000000" w:sz="8"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产品名称</w:t>
            </w:r>
          </w:p>
        </w:tc>
        <w:tc>
          <w:tcPr>
            <w:tcW w:w="3744" w:type="pct"/>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性能规格参数</w:t>
            </w:r>
          </w:p>
        </w:tc>
        <w:tc>
          <w:tcPr>
            <w:tcW w:w="239"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数量</w:t>
            </w:r>
          </w:p>
        </w:tc>
        <w:tc>
          <w:tcPr>
            <w:tcW w:w="193"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单位</w:t>
            </w:r>
          </w:p>
        </w:tc>
        <w:tc>
          <w:tcPr>
            <w:tcW w:w="331"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推荐品牌</w:t>
            </w:r>
          </w:p>
        </w:tc>
      </w:tr>
      <w:tr>
        <w:tblPrEx>
          <w:tblCellMar>
            <w:top w:w="0" w:type="dxa"/>
            <w:left w:w="108" w:type="dxa"/>
            <w:bottom w:w="0" w:type="dxa"/>
            <w:right w:w="108" w:type="dxa"/>
          </w:tblCellMar>
        </w:tblPrEx>
        <w:trPr>
          <w:trHeight w:val="380" w:hRule="atLeast"/>
        </w:trPr>
        <w:tc>
          <w:tcPr>
            <w:tcW w:w="189"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302"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AI筒型智能抓拍摄像机</w:t>
            </w:r>
          </w:p>
        </w:tc>
        <w:tc>
          <w:tcPr>
            <w:tcW w:w="3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53" name="Picture_6"/>
                  <wp:cNvGraphicFramePr/>
                  <a:graphic xmlns:a="http://schemas.openxmlformats.org/drawingml/2006/main">
                    <a:graphicData uri="http://schemas.openxmlformats.org/drawingml/2006/picture">
                      <pic:pic xmlns:pic="http://schemas.openxmlformats.org/drawingml/2006/picture">
                        <pic:nvPicPr>
                          <pic:cNvPr id="53" name="Picture_6"/>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52" name="Picture_6_SpCnt_1"/>
                  <wp:cNvGraphicFramePr/>
                  <a:graphic xmlns:a="http://schemas.openxmlformats.org/drawingml/2006/main">
                    <a:graphicData uri="http://schemas.openxmlformats.org/drawingml/2006/picture">
                      <pic:pic xmlns:pic="http://schemas.openxmlformats.org/drawingml/2006/picture">
                        <pic:nvPicPr>
                          <pic:cNvPr id="52" name="Picture_6_SpCnt_1"/>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525" cy="9525"/>
                  <wp:effectExtent l="0" t="0" r="0" b="0"/>
                  <wp:wrapNone/>
                  <wp:docPr id="47" name="Picture_6_SpCnt_2"/>
                  <wp:cNvGraphicFramePr/>
                  <a:graphic xmlns:a="http://schemas.openxmlformats.org/drawingml/2006/main">
                    <a:graphicData uri="http://schemas.openxmlformats.org/drawingml/2006/picture">
                      <pic:pic xmlns:pic="http://schemas.openxmlformats.org/drawingml/2006/picture">
                        <pic:nvPicPr>
                          <pic:cNvPr id="47" name="Picture_6_SpCnt_2"/>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9525"/>
                  <wp:effectExtent l="0" t="0" r="0" b="0"/>
                  <wp:wrapNone/>
                  <wp:docPr id="50" name="Picture_6_SpCnt_3"/>
                  <wp:cNvGraphicFramePr/>
                  <a:graphic xmlns:a="http://schemas.openxmlformats.org/drawingml/2006/main">
                    <a:graphicData uri="http://schemas.openxmlformats.org/drawingml/2006/picture">
                      <pic:pic xmlns:pic="http://schemas.openxmlformats.org/drawingml/2006/picture">
                        <pic:nvPicPr>
                          <pic:cNvPr id="50" name="Picture_6_SpCnt_3"/>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9525" cy="9525"/>
                  <wp:effectExtent l="0" t="0" r="0" b="0"/>
                  <wp:wrapNone/>
                  <wp:docPr id="58" name="Picture_6_SpCnt_4"/>
                  <wp:cNvGraphicFramePr/>
                  <a:graphic xmlns:a="http://schemas.openxmlformats.org/drawingml/2006/main">
                    <a:graphicData uri="http://schemas.openxmlformats.org/drawingml/2006/picture">
                      <pic:pic xmlns:pic="http://schemas.openxmlformats.org/drawingml/2006/picture">
                        <pic:nvPicPr>
                          <pic:cNvPr id="58" name="Picture_6_SpCnt_4"/>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9525" cy="9525"/>
                  <wp:effectExtent l="0" t="0" r="0" b="0"/>
                  <wp:wrapNone/>
                  <wp:docPr id="36" name="Picture_6_SpCnt_5"/>
                  <wp:cNvGraphicFramePr/>
                  <a:graphic xmlns:a="http://schemas.openxmlformats.org/drawingml/2006/main">
                    <a:graphicData uri="http://schemas.openxmlformats.org/drawingml/2006/picture">
                      <pic:pic xmlns:pic="http://schemas.openxmlformats.org/drawingml/2006/picture">
                        <pic:nvPicPr>
                          <pic:cNvPr id="36" name="Picture_6_SpCnt_5"/>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9525" cy="9525"/>
                  <wp:effectExtent l="0" t="0" r="0" b="0"/>
                  <wp:wrapNone/>
                  <wp:docPr id="37" name="Picture_6_SpCnt_6"/>
                  <wp:cNvGraphicFramePr/>
                  <a:graphic xmlns:a="http://schemas.openxmlformats.org/drawingml/2006/main">
                    <a:graphicData uri="http://schemas.openxmlformats.org/drawingml/2006/picture">
                      <pic:pic xmlns:pic="http://schemas.openxmlformats.org/drawingml/2006/picture">
                        <pic:nvPicPr>
                          <pic:cNvPr id="37" name="Picture_6_SpCnt_6"/>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9525" cy="9525"/>
                  <wp:effectExtent l="0" t="0" r="0" b="0"/>
                  <wp:wrapNone/>
                  <wp:docPr id="59" name="Picture_6_SpCnt_7"/>
                  <wp:cNvGraphicFramePr/>
                  <a:graphic xmlns:a="http://schemas.openxmlformats.org/drawingml/2006/main">
                    <a:graphicData uri="http://schemas.openxmlformats.org/drawingml/2006/picture">
                      <pic:pic xmlns:pic="http://schemas.openxmlformats.org/drawingml/2006/picture">
                        <pic:nvPicPr>
                          <pic:cNvPr id="59" name="Picture_6_SpCnt_7"/>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9525" cy="9525"/>
                  <wp:effectExtent l="0" t="0" r="0" b="0"/>
                  <wp:wrapNone/>
                  <wp:docPr id="38" name="Picture_6_SpCnt_8"/>
                  <wp:cNvGraphicFramePr/>
                  <a:graphic xmlns:a="http://schemas.openxmlformats.org/drawingml/2006/main">
                    <a:graphicData uri="http://schemas.openxmlformats.org/drawingml/2006/picture">
                      <pic:pic xmlns:pic="http://schemas.openxmlformats.org/drawingml/2006/picture">
                        <pic:nvPicPr>
                          <pic:cNvPr id="38" name="Picture_6_SpCnt_8"/>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9525" cy="9525"/>
                  <wp:effectExtent l="0" t="0" r="0" b="0"/>
                  <wp:wrapNone/>
                  <wp:docPr id="54" name="Picture_6_SpCnt_9"/>
                  <wp:cNvGraphicFramePr/>
                  <a:graphic xmlns:a="http://schemas.openxmlformats.org/drawingml/2006/main">
                    <a:graphicData uri="http://schemas.openxmlformats.org/drawingml/2006/picture">
                      <pic:pic xmlns:pic="http://schemas.openxmlformats.org/drawingml/2006/picture">
                        <pic:nvPicPr>
                          <pic:cNvPr id="54" name="Picture_6_SpCnt_9"/>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9525" cy="9525"/>
                  <wp:effectExtent l="0" t="0" r="0" b="0"/>
                  <wp:wrapNone/>
                  <wp:docPr id="41" name="Picture_6_SpCnt_10"/>
                  <wp:cNvGraphicFramePr/>
                  <a:graphic xmlns:a="http://schemas.openxmlformats.org/drawingml/2006/main">
                    <a:graphicData uri="http://schemas.openxmlformats.org/drawingml/2006/picture">
                      <pic:pic xmlns:pic="http://schemas.openxmlformats.org/drawingml/2006/picture">
                        <pic:nvPicPr>
                          <pic:cNvPr id="41" name="Picture_6_SpCnt_10"/>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9525" cy="9525"/>
                  <wp:effectExtent l="0" t="0" r="0" b="0"/>
                  <wp:wrapNone/>
                  <wp:docPr id="34" name="Picture_6_SpCnt_11"/>
                  <wp:cNvGraphicFramePr/>
                  <a:graphic xmlns:a="http://schemas.openxmlformats.org/drawingml/2006/main">
                    <a:graphicData uri="http://schemas.openxmlformats.org/drawingml/2006/picture">
                      <pic:pic xmlns:pic="http://schemas.openxmlformats.org/drawingml/2006/picture">
                        <pic:nvPicPr>
                          <pic:cNvPr id="34" name="Picture_6_SpCnt_11"/>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9525" cy="9525"/>
                  <wp:effectExtent l="0" t="0" r="0" b="0"/>
                  <wp:wrapNone/>
                  <wp:docPr id="55" name="Picture_6_SpCnt_12"/>
                  <wp:cNvGraphicFramePr/>
                  <a:graphic xmlns:a="http://schemas.openxmlformats.org/drawingml/2006/main">
                    <a:graphicData uri="http://schemas.openxmlformats.org/drawingml/2006/picture">
                      <pic:pic xmlns:pic="http://schemas.openxmlformats.org/drawingml/2006/picture">
                        <pic:nvPicPr>
                          <pic:cNvPr id="55" name="Picture_6_SpCnt_12"/>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9525" cy="9525"/>
                  <wp:effectExtent l="0" t="0" r="0" b="0"/>
                  <wp:wrapNone/>
                  <wp:docPr id="61" name="Picture_6_SpCnt_13"/>
                  <wp:cNvGraphicFramePr/>
                  <a:graphic xmlns:a="http://schemas.openxmlformats.org/drawingml/2006/main">
                    <a:graphicData uri="http://schemas.openxmlformats.org/drawingml/2006/picture">
                      <pic:pic xmlns:pic="http://schemas.openxmlformats.org/drawingml/2006/picture">
                        <pic:nvPicPr>
                          <pic:cNvPr id="61" name="Picture_6_SpCnt_13"/>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9525" cy="9525"/>
                  <wp:effectExtent l="0" t="0" r="0" b="0"/>
                  <wp:wrapNone/>
                  <wp:docPr id="39" name="Picture_6_SpCnt_14"/>
                  <wp:cNvGraphicFramePr/>
                  <a:graphic xmlns:a="http://schemas.openxmlformats.org/drawingml/2006/main">
                    <a:graphicData uri="http://schemas.openxmlformats.org/drawingml/2006/picture">
                      <pic:pic xmlns:pic="http://schemas.openxmlformats.org/drawingml/2006/picture">
                        <pic:nvPicPr>
                          <pic:cNvPr id="39" name="Picture_6_SpCnt_14"/>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9525" cy="9525"/>
                  <wp:effectExtent l="0" t="0" r="0" b="0"/>
                  <wp:wrapNone/>
                  <wp:docPr id="42" name="Picture_6_SpCnt_15"/>
                  <wp:cNvGraphicFramePr/>
                  <a:graphic xmlns:a="http://schemas.openxmlformats.org/drawingml/2006/main">
                    <a:graphicData uri="http://schemas.openxmlformats.org/drawingml/2006/picture">
                      <pic:pic xmlns:pic="http://schemas.openxmlformats.org/drawingml/2006/picture">
                        <pic:nvPicPr>
                          <pic:cNvPr id="42" name="Picture_6_SpCnt_15"/>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9525" cy="9525"/>
                  <wp:effectExtent l="0" t="0" r="0" b="0"/>
                  <wp:wrapNone/>
                  <wp:docPr id="35" name="Picture_6_SpCnt_16"/>
                  <wp:cNvGraphicFramePr/>
                  <a:graphic xmlns:a="http://schemas.openxmlformats.org/drawingml/2006/main">
                    <a:graphicData uri="http://schemas.openxmlformats.org/drawingml/2006/picture">
                      <pic:pic xmlns:pic="http://schemas.openxmlformats.org/drawingml/2006/picture">
                        <pic:nvPicPr>
                          <pic:cNvPr id="35" name="Picture_6_SpCnt_16"/>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9525" cy="9525"/>
                  <wp:effectExtent l="0" t="0" r="0" b="0"/>
                  <wp:wrapNone/>
                  <wp:docPr id="44" name="Picture_6_SpCnt_17"/>
                  <wp:cNvGraphicFramePr/>
                  <a:graphic xmlns:a="http://schemas.openxmlformats.org/drawingml/2006/main">
                    <a:graphicData uri="http://schemas.openxmlformats.org/drawingml/2006/picture">
                      <pic:pic xmlns:pic="http://schemas.openxmlformats.org/drawingml/2006/picture">
                        <pic:nvPicPr>
                          <pic:cNvPr id="44" name="Picture_6_SpCnt_17"/>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9525" cy="9525"/>
                  <wp:effectExtent l="0" t="0" r="0" b="0"/>
                  <wp:wrapNone/>
                  <wp:docPr id="56" name="Picture_6_SpCnt_18"/>
                  <wp:cNvGraphicFramePr/>
                  <a:graphic xmlns:a="http://schemas.openxmlformats.org/drawingml/2006/main">
                    <a:graphicData uri="http://schemas.openxmlformats.org/drawingml/2006/picture">
                      <pic:pic xmlns:pic="http://schemas.openxmlformats.org/drawingml/2006/picture">
                        <pic:nvPicPr>
                          <pic:cNvPr id="56" name="Picture_6_SpCnt_18"/>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9525" cy="9525"/>
                  <wp:effectExtent l="0" t="0" r="0" b="0"/>
                  <wp:wrapNone/>
                  <wp:docPr id="40" name="Picture_6_SpCnt_19"/>
                  <wp:cNvGraphicFramePr/>
                  <a:graphic xmlns:a="http://schemas.openxmlformats.org/drawingml/2006/main">
                    <a:graphicData uri="http://schemas.openxmlformats.org/drawingml/2006/picture">
                      <pic:pic xmlns:pic="http://schemas.openxmlformats.org/drawingml/2006/picture">
                        <pic:nvPicPr>
                          <pic:cNvPr id="40" name="Picture_6_SpCnt_19"/>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9525" cy="9525"/>
                  <wp:effectExtent l="0" t="0" r="0" b="0"/>
                  <wp:wrapNone/>
                  <wp:docPr id="60" name="Picture_6_SpCnt_20"/>
                  <wp:cNvGraphicFramePr/>
                  <a:graphic xmlns:a="http://schemas.openxmlformats.org/drawingml/2006/main">
                    <a:graphicData uri="http://schemas.openxmlformats.org/drawingml/2006/picture">
                      <pic:pic xmlns:pic="http://schemas.openxmlformats.org/drawingml/2006/picture">
                        <pic:nvPicPr>
                          <pic:cNvPr id="60" name="Picture_6_SpCnt_20"/>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9525" cy="9525"/>
                  <wp:effectExtent l="0" t="0" r="0" b="0"/>
                  <wp:wrapNone/>
                  <wp:docPr id="57" name="Picture_6_SpCnt_21"/>
                  <wp:cNvGraphicFramePr/>
                  <a:graphic xmlns:a="http://schemas.openxmlformats.org/drawingml/2006/main">
                    <a:graphicData uri="http://schemas.openxmlformats.org/drawingml/2006/picture">
                      <pic:pic xmlns:pic="http://schemas.openxmlformats.org/drawingml/2006/picture">
                        <pic:nvPicPr>
                          <pic:cNvPr id="57" name="Picture_6_SpCnt_21"/>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9525" cy="9525"/>
                  <wp:effectExtent l="0" t="0" r="0" b="0"/>
                  <wp:wrapNone/>
                  <wp:docPr id="48" name="Picture_6_SpCnt_22"/>
                  <wp:cNvGraphicFramePr/>
                  <a:graphic xmlns:a="http://schemas.openxmlformats.org/drawingml/2006/main">
                    <a:graphicData uri="http://schemas.openxmlformats.org/drawingml/2006/picture">
                      <pic:pic xmlns:pic="http://schemas.openxmlformats.org/drawingml/2006/picture">
                        <pic:nvPicPr>
                          <pic:cNvPr id="48" name="Picture_6_SpCnt_22"/>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9525" cy="9525"/>
                  <wp:effectExtent l="0" t="0" r="0" b="0"/>
                  <wp:wrapNone/>
                  <wp:docPr id="43" name="Picture_6_SpCnt_23"/>
                  <wp:cNvGraphicFramePr/>
                  <a:graphic xmlns:a="http://schemas.openxmlformats.org/drawingml/2006/main">
                    <a:graphicData uri="http://schemas.openxmlformats.org/drawingml/2006/picture">
                      <pic:pic xmlns:pic="http://schemas.openxmlformats.org/drawingml/2006/picture">
                        <pic:nvPicPr>
                          <pic:cNvPr id="43" name="Picture_6_SpCnt_23"/>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9525" cy="9525"/>
                  <wp:effectExtent l="0" t="0" r="0" b="0"/>
                  <wp:wrapNone/>
                  <wp:docPr id="45" name="Picture_6_SpCnt_24"/>
                  <wp:cNvGraphicFramePr/>
                  <a:graphic xmlns:a="http://schemas.openxmlformats.org/drawingml/2006/main">
                    <a:graphicData uri="http://schemas.openxmlformats.org/drawingml/2006/picture">
                      <pic:pic xmlns:pic="http://schemas.openxmlformats.org/drawingml/2006/picture">
                        <pic:nvPicPr>
                          <pic:cNvPr id="45" name="Picture_6_SpCnt_24"/>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9525" cy="9525"/>
                  <wp:effectExtent l="0" t="0" r="0" b="0"/>
                  <wp:wrapNone/>
                  <wp:docPr id="46" name="Picture_6_SpCnt_25"/>
                  <wp:cNvGraphicFramePr/>
                  <a:graphic xmlns:a="http://schemas.openxmlformats.org/drawingml/2006/main">
                    <a:graphicData uri="http://schemas.openxmlformats.org/drawingml/2006/picture">
                      <pic:pic xmlns:pic="http://schemas.openxmlformats.org/drawingml/2006/picture">
                        <pic:nvPicPr>
                          <pic:cNvPr id="46" name="Picture_6_SpCnt_25"/>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9525" cy="9525"/>
                  <wp:effectExtent l="0" t="0" r="0" b="0"/>
                  <wp:wrapNone/>
                  <wp:docPr id="49" name="Picture_6_SpCnt_26"/>
                  <wp:cNvGraphicFramePr/>
                  <a:graphic xmlns:a="http://schemas.openxmlformats.org/drawingml/2006/main">
                    <a:graphicData uri="http://schemas.openxmlformats.org/drawingml/2006/picture">
                      <pic:pic xmlns:pic="http://schemas.openxmlformats.org/drawingml/2006/picture">
                        <pic:nvPicPr>
                          <pic:cNvPr id="49" name="Picture_6_SpCnt_26"/>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9525" cy="9525"/>
                  <wp:effectExtent l="0" t="0" r="0" b="0"/>
                  <wp:wrapNone/>
                  <wp:docPr id="51" name="Picture_6_SpCnt_27"/>
                  <wp:cNvGraphicFramePr/>
                  <a:graphic xmlns:a="http://schemas.openxmlformats.org/drawingml/2006/main">
                    <a:graphicData uri="http://schemas.openxmlformats.org/drawingml/2006/picture">
                      <pic:pic xmlns:pic="http://schemas.openxmlformats.org/drawingml/2006/picture">
                        <pic:nvPicPr>
                          <pic:cNvPr id="51" name="Picture_6_SpCnt_27"/>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9525" cy="9525"/>
                  <wp:effectExtent l="0" t="0" r="0" b="0"/>
                  <wp:wrapNone/>
                  <wp:docPr id="81" name="Picture_6_SpCnt_28"/>
                  <wp:cNvGraphicFramePr/>
                  <a:graphic xmlns:a="http://schemas.openxmlformats.org/drawingml/2006/main">
                    <a:graphicData uri="http://schemas.openxmlformats.org/drawingml/2006/picture">
                      <pic:pic xmlns:pic="http://schemas.openxmlformats.org/drawingml/2006/picture">
                        <pic:nvPicPr>
                          <pic:cNvPr id="81" name="Picture_6_SpCnt_28"/>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9525" cy="9525"/>
                  <wp:effectExtent l="0" t="0" r="0" b="0"/>
                  <wp:wrapNone/>
                  <wp:docPr id="72" name="Picture_6_SpCnt_29"/>
                  <wp:cNvGraphicFramePr/>
                  <a:graphic xmlns:a="http://schemas.openxmlformats.org/drawingml/2006/main">
                    <a:graphicData uri="http://schemas.openxmlformats.org/drawingml/2006/picture">
                      <pic:pic xmlns:pic="http://schemas.openxmlformats.org/drawingml/2006/picture">
                        <pic:nvPicPr>
                          <pic:cNvPr id="72" name="Picture_6_SpCnt_29"/>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9525" cy="9525"/>
                  <wp:effectExtent l="0" t="0" r="0" b="0"/>
                  <wp:wrapNone/>
                  <wp:docPr id="86" name="Picture_6_SpCnt_30"/>
                  <wp:cNvGraphicFramePr/>
                  <a:graphic xmlns:a="http://schemas.openxmlformats.org/drawingml/2006/main">
                    <a:graphicData uri="http://schemas.openxmlformats.org/drawingml/2006/picture">
                      <pic:pic xmlns:pic="http://schemas.openxmlformats.org/drawingml/2006/picture">
                        <pic:nvPicPr>
                          <pic:cNvPr id="86" name="Picture_6_SpCnt_30"/>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9525" cy="9525"/>
                  <wp:effectExtent l="0" t="0" r="0" b="0"/>
                  <wp:wrapNone/>
                  <wp:docPr id="70" name="Picture_6_SpCnt_31"/>
                  <wp:cNvGraphicFramePr/>
                  <a:graphic xmlns:a="http://schemas.openxmlformats.org/drawingml/2006/main">
                    <a:graphicData uri="http://schemas.openxmlformats.org/drawingml/2006/picture">
                      <pic:pic xmlns:pic="http://schemas.openxmlformats.org/drawingml/2006/picture">
                        <pic:nvPicPr>
                          <pic:cNvPr id="70" name="Picture_6_SpCnt_31"/>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9525" cy="9525"/>
                  <wp:effectExtent l="0" t="0" r="0" b="0"/>
                  <wp:wrapNone/>
                  <wp:docPr id="83" name="Picture_6_SpCnt_32"/>
                  <wp:cNvGraphicFramePr/>
                  <a:graphic xmlns:a="http://schemas.openxmlformats.org/drawingml/2006/main">
                    <a:graphicData uri="http://schemas.openxmlformats.org/drawingml/2006/picture">
                      <pic:pic xmlns:pic="http://schemas.openxmlformats.org/drawingml/2006/picture">
                        <pic:nvPicPr>
                          <pic:cNvPr id="83" name="Picture_6_SpCnt_32"/>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9525" cy="9525"/>
                  <wp:effectExtent l="0" t="0" r="0" b="0"/>
                  <wp:wrapNone/>
                  <wp:docPr id="77" name="Picture_6_SpCnt_33"/>
                  <wp:cNvGraphicFramePr/>
                  <a:graphic xmlns:a="http://schemas.openxmlformats.org/drawingml/2006/main">
                    <a:graphicData uri="http://schemas.openxmlformats.org/drawingml/2006/picture">
                      <pic:pic xmlns:pic="http://schemas.openxmlformats.org/drawingml/2006/picture">
                        <pic:nvPicPr>
                          <pic:cNvPr id="77" name="Picture_6_SpCnt_33"/>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9525" cy="9525"/>
                  <wp:effectExtent l="0" t="0" r="0" b="0"/>
                  <wp:wrapNone/>
                  <wp:docPr id="87" name="Picture_6_SpCnt_34"/>
                  <wp:cNvGraphicFramePr/>
                  <a:graphic xmlns:a="http://schemas.openxmlformats.org/drawingml/2006/main">
                    <a:graphicData uri="http://schemas.openxmlformats.org/drawingml/2006/picture">
                      <pic:pic xmlns:pic="http://schemas.openxmlformats.org/drawingml/2006/picture">
                        <pic:nvPicPr>
                          <pic:cNvPr id="87" name="Picture_6_SpCnt_34"/>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9525" cy="9525"/>
                  <wp:effectExtent l="0" t="0" r="0" b="0"/>
                  <wp:wrapNone/>
                  <wp:docPr id="80" name="Picture_6_SpCnt_35"/>
                  <wp:cNvGraphicFramePr/>
                  <a:graphic xmlns:a="http://schemas.openxmlformats.org/drawingml/2006/main">
                    <a:graphicData uri="http://schemas.openxmlformats.org/drawingml/2006/picture">
                      <pic:pic xmlns:pic="http://schemas.openxmlformats.org/drawingml/2006/picture">
                        <pic:nvPicPr>
                          <pic:cNvPr id="80" name="Picture_6_SpCnt_35"/>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9525" cy="9525"/>
                  <wp:effectExtent l="0" t="0" r="0" b="0"/>
                  <wp:wrapNone/>
                  <wp:docPr id="76" name="Picture_6_SpCnt_36"/>
                  <wp:cNvGraphicFramePr/>
                  <a:graphic xmlns:a="http://schemas.openxmlformats.org/drawingml/2006/main">
                    <a:graphicData uri="http://schemas.openxmlformats.org/drawingml/2006/picture">
                      <pic:pic xmlns:pic="http://schemas.openxmlformats.org/drawingml/2006/picture">
                        <pic:nvPicPr>
                          <pic:cNvPr id="76" name="Picture_6_SpCnt_36"/>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9525" cy="9525"/>
                  <wp:effectExtent l="0" t="0" r="0" b="0"/>
                  <wp:wrapNone/>
                  <wp:docPr id="71" name="Picture_6_SpCnt_37"/>
                  <wp:cNvGraphicFramePr/>
                  <a:graphic xmlns:a="http://schemas.openxmlformats.org/drawingml/2006/main">
                    <a:graphicData uri="http://schemas.openxmlformats.org/drawingml/2006/picture">
                      <pic:pic xmlns:pic="http://schemas.openxmlformats.org/drawingml/2006/picture">
                        <pic:nvPicPr>
                          <pic:cNvPr id="71" name="Picture_6_SpCnt_37"/>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9525" cy="9525"/>
                  <wp:effectExtent l="0" t="0" r="0" b="0"/>
                  <wp:wrapNone/>
                  <wp:docPr id="69" name="Picture_6_SpCnt_38"/>
                  <wp:cNvGraphicFramePr/>
                  <a:graphic xmlns:a="http://schemas.openxmlformats.org/drawingml/2006/main">
                    <a:graphicData uri="http://schemas.openxmlformats.org/drawingml/2006/picture">
                      <pic:pic xmlns:pic="http://schemas.openxmlformats.org/drawingml/2006/picture">
                        <pic:nvPicPr>
                          <pic:cNvPr id="69" name="Picture_6_SpCnt_38"/>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9525" cy="9525"/>
                  <wp:effectExtent l="0" t="0" r="0" b="0"/>
                  <wp:wrapNone/>
                  <wp:docPr id="67" name="Picture_6_SpCnt_39"/>
                  <wp:cNvGraphicFramePr/>
                  <a:graphic xmlns:a="http://schemas.openxmlformats.org/drawingml/2006/main">
                    <a:graphicData uri="http://schemas.openxmlformats.org/drawingml/2006/picture">
                      <pic:pic xmlns:pic="http://schemas.openxmlformats.org/drawingml/2006/picture">
                        <pic:nvPicPr>
                          <pic:cNvPr id="67" name="Picture_6_SpCnt_39"/>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9525" cy="9525"/>
                  <wp:effectExtent l="0" t="0" r="0" b="0"/>
                  <wp:wrapNone/>
                  <wp:docPr id="62" name="Picture_6_SpCnt_40"/>
                  <wp:cNvGraphicFramePr/>
                  <a:graphic xmlns:a="http://schemas.openxmlformats.org/drawingml/2006/main">
                    <a:graphicData uri="http://schemas.openxmlformats.org/drawingml/2006/picture">
                      <pic:pic xmlns:pic="http://schemas.openxmlformats.org/drawingml/2006/picture">
                        <pic:nvPicPr>
                          <pic:cNvPr id="62" name="Picture_6_SpCnt_40"/>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9525" cy="9525"/>
                  <wp:effectExtent l="0" t="0" r="0" b="0"/>
                  <wp:wrapNone/>
                  <wp:docPr id="75" name="Picture_6_SpCnt_41"/>
                  <wp:cNvGraphicFramePr/>
                  <a:graphic xmlns:a="http://schemas.openxmlformats.org/drawingml/2006/main">
                    <a:graphicData uri="http://schemas.openxmlformats.org/drawingml/2006/picture">
                      <pic:pic xmlns:pic="http://schemas.openxmlformats.org/drawingml/2006/picture">
                        <pic:nvPicPr>
                          <pic:cNvPr id="75" name="Picture_6_SpCnt_41"/>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9525" cy="9525"/>
                  <wp:effectExtent l="0" t="0" r="0" b="0"/>
                  <wp:wrapNone/>
                  <wp:docPr id="74" name="Picture_6_SpCnt_42"/>
                  <wp:cNvGraphicFramePr/>
                  <a:graphic xmlns:a="http://schemas.openxmlformats.org/drawingml/2006/main">
                    <a:graphicData uri="http://schemas.openxmlformats.org/drawingml/2006/picture">
                      <pic:pic xmlns:pic="http://schemas.openxmlformats.org/drawingml/2006/picture">
                        <pic:nvPicPr>
                          <pic:cNvPr id="74" name="Picture_6_SpCnt_42"/>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9525" cy="9525"/>
                  <wp:effectExtent l="0" t="0" r="0" b="0"/>
                  <wp:wrapNone/>
                  <wp:docPr id="68" name="Picture_6_SpCnt_43"/>
                  <wp:cNvGraphicFramePr/>
                  <a:graphic xmlns:a="http://schemas.openxmlformats.org/drawingml/2006/main">
                    <a:graphicData uri="http://schemas.openxmlformats.org/drawingml/2006/picture">
                      <pic:pic xmlns:pic="http://schemas.openxmlformats.org/drawingml/2006/picture">
                        <pic:nvPicPr>
                          <pic:cNvPr id="68" name="Picture_6_SpCnt_43"/>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9525" cy="9525"/>
                  <wp:effectExtent l="0" t="0" r="0" b="0"/>
                  <wp:wrapNone/>
                  <wp:docPr id="73" name="Picture_6_SpCnt_44"/>
                  <wp:cNvGraphicFramePr/>
                  <a:graphic xmlns:a="http://schemas.openxmlformats.org/drawingml/2006/main">
                    <a:graphicData uri="http://schemas.openxmlformats.org/drawingml/2006/picture">
                      <pic:pic xmlns:pic="http://schemas.openxmlformats.org/drawingml/2006/picture">
                        <pic:nvPicPr>
                          <pic:cNvPr id="73" name="Picture_6_SpCnt_44"/>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9525" cy="9525"/>
                  <wp:effectExtent l="0" t="0" r="0" b="0"/>
                  <wp:wrapNone/>
                  <wp:docPr id="78" name="Picture_6_SpCnt_45"/>
                  <wp:cNvGraphicFramePr/>
                  <a:graphic xmlns:a="http://schemas.openxmlformats.org/drawingml/2006/main">
                    <a:graphicData uri="http://schemas.openxmlformats.org/drawingml/2006/picture">
                      <pic:pic xmlns:pic="http://schemas.openxmlformats.org/drawingml/2006/picture">
                        <pic:nvPicPr>
                          <pic:cNvPr id="78" name="Picture_6_SpCnt_45"/>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9525" cy="9525"/>
                  <wp:effectExtent l="0" t="0" r="0" b="0"/>
                  <wp:wrapNone/>
                  <wp:docPr id="66" name="Picture_6_SpCnt_46"/>
                  <wp:cNvGraphicFramePr/>
                  <a:graphic xmlns:a="http://schemas.openxmlformats.org/drawingml/2006/main">
                    <a:graphicData uri="http://schemas.openxmlformats.org/drawingml/2006/picture">
                      <pic:pic xmlns:pic="http://schemas.openxmlformats.org/drawingml/2006/picture">
                        <pic:nvPicPr>
                          <pic:cNvPr id="66" name="Picture_6_SpCnt_46"/>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9525" cy="9525"/>
                  <wp:effectExtent l="0" t="0" r="0" b="0"/>
                  <wp:wrapNone/>
                  <wp:docPr id="63" name="Picture_6_SpCnt_47"/>
                  <wp:cNvGraphicFramePr/>
                  <a:graphic xmlns:a="http://schemas.openxmlformats.org/drawingml/2006/main">
                    <a:graphicData uri="http://schemas.openxmlformats.org/drawingml/2006/picture">
                      <pic:pic xmlns:pic="http://schemas.openxmlformats.org/drawingml/2006/picture">
                        <pic:nvPicPr>
                          <pic:cNvPr id="63" name="Picture_6_SpCnt_47"/>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9525" cy="9525"/>
                  <wp:effectExtent l="0" t="0" r="0" b="0"/>
                  <wp:wrapNone/>
                  <wp:docPr id="79" name="Picture_6_SpCnt_48"/>
                  <wp:cNvGraphicFramePr/>
                  <a:graphic xmlns:a="http://schemas.openxmlformats.org/drawingml/2006/main">
                    <a:graphicData uri="http://schemas.openxmlformats.org/drawingml/2006/picture">
                      <pic:pic xmlns:pic="http://schemas.openxmlformats.org/drawingml/2006/picture">
                        <pic:nvPicPr>
                          <pic:cNvPr id="79" name="Picture_6_SpCnt_48"/>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9525" cy="9525"/>
                  <wp:effectExtent l="0" t="0" r="0" b="0"/>
                  <wp:wrapNone/>
                  <wp:docPr id="64" name="Picture_6_SpCnt_49"/>
                  <wp:cNvGraphicFramePr/>
                  <a:graphic xmlns:a="http://schemas.openxmlformats.org/drawingml/2006/main">
                    <a:graphicData uri="http://schemas.openxmlformats.org/drawingml/2006/picture">
                      <pic:pic xmlns:pic="http://schemas.openxmlformats.org/drawingml/2006/picture">
                        <pic:nvPicPr>
                          <pic:cNvPr id="64" name="Picture_6_SpCnt_49"/>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9525" cy="9525"/>
                  <wp:effectExtent l="0" t="0" r="0" b="0"/>
                  <wp:wrapNone/>
                  <wp:docPr id="82" name="Picture_6_SpCnt_50"/>
                  <wp:cNvGraphicFramePr/>
                  <a:graphic xmlns:a="http://schemas.openxmlformats.org/drawingml/2006/main">
                    <a:graphicData uri="http://schemas.openxmlformats.org/drawingml/2006/picture">
                      <pic:pic xmlns:pic="http://schemas.openxmlformats.org/drawingml/2006/picture">
                        <pic:nvPicPr>
                          <pic:cNvPr id="82" name="Picture_6_SpCnt_50"/>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9525" cy="9525"/>
                  <wp:effectExtent l="0" t="0" r="0" b="0"/>
                  <wp:wrapNone/>
                  <wp:docPr id="84" name="Picture_6_SpCnt_51"/>
                  <wp:cNvGraphicFramePr/>
                  <a:graphic xmlns:a="http://schemas.openxmlformats.org/drawingml/2006/main">
                    <a:graphicData uri="http://schemas.openxmlformats.org/drawingml/2006/picture">
                      <pic:pic xmlns:pic="http://schemas.openxmlformats.org/drawingml/2006/picture">
                        <pic:nvPicPr>
                          <pic:cNvPr id="84" name="Picture_6_SpCnt_51"/>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9525" cy="9525"/>
                  <wp:effectExtent l="0" t="0" r="0" b="0"/>
                  <wp:wrapNone/>
                  <wp:docPr id="85" name="Picture_6_SpCnt_52"/>
                  <wp:cNvGraphicFramePr/>
                  <a:graphic xmlns:a="http://schemas.openxmlformats.org/drawingml/2006/main">
                    <a:graphicData uri="http://schemas.openxmlformats.org/drawingml/2006/picture">
                      <pic:pic xmlns:pic="http://schemas.openxmlformats.org/drawingml/2006/picture">
                        <pic:nvPicPr>
                          <pic:cNvPr id="85" name="Picture_6_SpCnt_52"/>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9525" cy="9525"/>
                  <wp:effectExtent l="0" t="0" r="0" b="0"/>
                  <wp:wrapNone/>
                  <wp:docPr id="65" name="Picture_6_SpCnt_53"/>
                  <wp:cNvGraphicFramePr/>
                  <a:graphic xmlns:a="http://schemas.openxmlformats.org/drawingml/2006/main">
                    <a:graphicData uri="http://schemas.openxmlformats.org/drawingml/2006/picture">
                      <pic:pic xmlns:pic="http://schemas.openxmlformats.org/drawingml/2006/picture">
                        <pic:nvPicPr>
                          <pic:cNvPr id="65" name="Picture_6_SpCnt_53"/>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9525" cy="9525"/>
                  <wp:effectExtent l="0" t="0" r="0" b="0"/>
                  <wp:wrapNone/>
                  <wp:docPr id="88" name="Picture_6_SpCnt_54"/>
                  <wp:cNvGraphicFramePr/>
                  <a:graphic xmlns:a="http://schemas.openxmlformats.org/drawingml/2006/main">
                    <a:graphicData uri="http://schemas.openxmlformats.org/drawingml/2006/picture">
                      <pic:pic xmlns:pic="http://schemas.openxmlformats.org/drawingml/2006/picture">
                        <pic:nvPicPr>
                          <pic:cNvPr id="88" name="Picture_6_SpCnt_54"/>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9525" cy="9525"/>
                  <wp:effectExtent l="0" t="0" r="0" b="0"/>
                  <wp:wrapNone/>
                  <wp:docPr id="89" name="Picture_6_SpCnt_55"/>
                  <wp:cNvGraphicFramePr/>
                  <a:graphic xmlns:a="http://schemas.openxmlformats.org/drawingml/2006/main">
                    <a:graphicData uri="http://schemas.openxmlformats.org/drawingml/2006/picture">
                      <pic:pic xmlns:pic="http://schemas.openxmlformats.org/drawingml/2006/picture">
                        <pic:nvPicPr>
                          <pic:cNvPr id="89" name="Picture_6_SpCnt_55"/>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9525" cy="9525"/>
                  <wp:effectExtent l="0" t="0" r="0" b="0"/>
                  <wp:wrapNone/>
                  <wp:docPr id="90" name="Picture_6_SpCnt_56"/>
                  <wp:cNvGraphicFramePr/>
                  <a:graphic xmlns:a="http://schemas.openxmlformats.org/drawingml/2006/main">
                    <a:graphicData uri="http://schemas.openxmlformats.org/drawingml/2006/picture">
                      <pic:pic xmlns:pic="http://schemas.openxmlformats.org/drawingml/2006/picture">
                        <pic:nvPicPr>
                          <pic:cNvPr id="90" name="Picture_6_SpCnt_56"/>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9525" cy="9525"/>
                  <wp:effectExtent l="0" t="0" r="0" b="0"/>
                  <wp:wrapNone/>
                  <wp:docPr id="24" name="Picture_6_SpCnt_57"/>
                  <wp:cNvGraphicFramePr/>
                  <a:graphic xmlns:a="http://schemas.openxmlformats.org/drawingml/2006/main">
                    <a:graphicData uri="http://schemas.openxmlformats.org/drawingml/2006/picture">
                      <pic:pic xmlns:pic="http://schemas.openxmlformats.org/drawingml/2006/picture">
                        <pic:nvPicPr>
                          <pic:cNvPr id="24" name="Picture_6_SpCnt_57"/>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9525" cy="9525"/>
                  <wp:effectExtent l="0" t="0" r="0" b="0"/>
                  <wp:wrapNone/>
                  <wp:docPr id="18" name="Picture_6_SpCnt_58"/>
                  <wp:cNvGraphicFramePr/>
                  <a:graphic xmlns:a="http://schemas.openxmlformats.org/drawingml/2006/main">
                    <a:graphicData uri="http://schemas.openxmlformats.org/drawingml/2006/picture">
                      <pic:pic xmlns:pic="http://schemas.openxmlformats.org/drawingml/2006/picture">
                        <pic:nvPicPr>
                          <pic:cNvPr id="18" name="Picture_6_SpCnt_58"/>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9525" cy="9525"/>
                  <wp:effectExtent l="0" t="0" r="0" b="0"/>
                  <wp:wrapNone/>
                  <wp:docPr id="10" name="Picture_6_SpCnt_59"/>
                  <wp:cNvGraphicFramePr/>
                  <a:graphic xmlns:a="http://schemas.openxmlformats.org/drawingml/2006/main">
                    <a:graphicData uri="http://schemas.openxmlformats.org/drawingml/2006/picture">
                      <pic:pic xmlns:pic="http://schemas.openxmlformats.org/drawingml/2006/picture">
                        <pic:nvPicPr>
                          <pic:cNvPr id="10" name="Picture_6_SpCnt_59"/>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9525" cy="9525"/>
                  <wp:effectExtent l="0" t="0" r="0" b="0"/>
                  <wp:wrapNone/>
                  <wp:docPr id="11" name="Picture_6_SpCnt_60"/>
                  <wp:cNvGraphicFramePr/>
                  <a:graphic xmlns:a="http://schemas.openxmlformats.org/drawingml/2006/main">
                    <a:graphicData uri="http://schemas.openxmlformats.org/drawingml/2006/picture">
                      <pic:pic xmlns:pic="http://schemas.openxmlformats.org/drawingml/2006/picture">
                        <pic:nvPicPr>
                          <pic:cNvPr id="11" name="Picture_6_SpCnt_60"/>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9525" cy="9525"/>
                  <wp:effectExtent l="0" t="0" r="0" b="0"/>
                  <wp:wrapNone/>
                  <wp:docPr id="27" name="Picture_6_SpCnt_61"/>
                  <wp:cNvGraphicFramePr/>
                  <a:graphic xmlns:a="http://schemas.openxmlformats.org/drawingml/2006/main">
                    <a:graphicData uri="http://schemas.openxmlformats.org/drawingml/2006/picture">
                      <pic:pic xmlns:pic="http://schemas.openxmlformats.org/drawingml/2006/picture">
                        <pic:nvPicPr>
                          <pic:cNvPr id="27" name="Picture_6_SpCnt_61"/>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9525" cy="9525"/>
                  <wp:effectExtent l="0" t="0" r="0" b="0"/>
                  <wp:wrapNone/>
                  <wp:docPr id="28" name="Picture_6_SpCnt_62"/>
                  <wp:cNvGraphicFramePr/>
                  <a:graphic xmlns:a="http://schemas.openxmlformats.org/drawingml/2006/main">
                    <a:graphicData uri="http://schemas.openxmlformats.org/drawingml/2006/picture">
                      <pic:pic xmlns:pic="http://schemas.openxmlformats.org/drawingml/2006/picture">
                        <pic:nvPicPr>
                          <pic:cNvPr id="28" name="Picture_6_SpCnt_62"/>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9525" cy="9525"/>
                  <wp:effectExtent l="0" t="0" r="0" b="0"/>
                  <wp:wrapNone/>
                  <wp:docPr id="8" name="Picture_6_SpCnt_63"/>
                  <wp:cNvGraphicFramePr/>
                  <a:graphic xmlns:a="http://schemas.openxmlformats.org/drawingml/2006/main">
                    <a:graphicData uri="http://schemas.openxmlformats.org/drawingml/2006/picture">
                      <pic:pic xmlns:pic="http://schemas.openxmlformats.org/drawingml/2006/picture">
                        <pic:nvPicPr>
                          <pic:cNvPr id="8" name="Picture_6_SpCnt_63"/>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9525" cy="9525"/>
                  <wp:effectExtent l="0" t="0" r="0" b="0"/>
                  <wp:wrapNone/>
                  <wp:docPr id="4" name="Picture_6_SpCnt_64"/>
                  <wp:cNvGraphicFramePr/>
                  <a:graphic xmlns:a="http://schemas.openxmlformats.org/drawingml/2006/main">
                    <a:graphicData uri="http://schemas.openxmlformats.org/drawingml/2006/picture">
                      <pic:pic xmlns:pic="http://schemas.openxmlformats.org/drawingml/2006/picture">
                        <pic:nvPicPr>
                          <pic:cNvPr id="4" name="Picture_6_SpCnt_64"/>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9525" cy="9525"/>
                  <wp:effectExtent l="0" t="0" r="0" b="0"/>
                  <wp:wrapNone/>
                  <wp:docPr id="19" name="Picture_6_SpCnt_65"/>
                  <wp:cNvGraphicFramePr/>
                  <a:graphic xmlns:a="http://schemas.openxmlformats.org/drawingml/2006/main">
                    <a:graphicData uri="http://schemas.openxmlformats.org/drawingml/2006/picture">
                      <pic:pic xmlns:pic="http://schemas.openxmlformats.org/drawingml/2006/picture">
                        <pic:nvPicPr>
                          <pic:cNvPr id="19" name="Picture_6_SpCnt_65"/>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9525" cy="9525"/>
                  <wp:effectExtent l="0" t="0" r="0" b="0"/>
                  <wp:wrapNone/>
                  <wp:docPr id="26" name="Picture_6_SpCnt_66"/>
                  <wp:cNvGraphicFramePr/>
                  <a:graphic xmlns:a="http://schemas.openxmlformats.org/drawingml/2006/main">
                    <a:graphicData uri="http://schemas.openxmlformats.org/drawingml/2006/picture">
                      <pic:pic xmlns:pic="http://schemas.openxmlformats.org/drawingml/2006/picture">
                        <pic:nvPicPr>
                          <pic:cNvPr id="26" name="Picture_6_SpCnt_66"/>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9525" cy="9525"/>
                  <wp:effectExtent l="0" t="0" r="0" b="0"/>
                  <wp:wrapNone/>
                  <wp:docPr id="16" name="Picture_6_SpCnt_67"/>
                  <wp:cNvGraphicFramePr/>
                  <a:graphic xmlns:a="http://schemas.openxmlformats.org/drawingml/2006/main">
                    <a:graphicData uri="http://schemas.openxmlformats.org/drawingml/2006/picture">
                      <pic:pic xmlns:pic="http://schemas.openxmlformats.org/drawingml/2006/picture">
                        <pic:nvPicPr>
                          <pic:cNvPr id="16" name="Picture_6_SpCnt_67"/>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9525" cy="9525"/>
                  <wp:effectExtent l="0" t="0" r="0" b="0"/>
                  <wp:wrapNone/>
                  <wp:docPr id="17" name="Picture_6_SpCnt_68"/>
                  <wp:cNvGraphicFramePr/>
                  <a:graphic xmlns:a="http://schemas.openxmlformats.org/drawingml/2006/main">
                    <a:graphicData uri="http://schemas.openxmlformats.org/drawingml/2006/picture">
                      <pic:pic xmlns:pic="http://schemas.openxmlformats.org/drawingml/2006/picture">
                        <pic:nvPicPr>
                          <pic:cNvPr id="17" name="Picture_6_SpCnt_68"/>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9525" cy="9525"/>
                  <wp:effectExtent l="0" t="0" r="0" b="0"/>
                  <wp:wrapNone/>
                  <wp:docPr id="20" name="Picture_6_SpCnt_69"/>
                  <wp:cNvGraphicFramePr/>
                  <a:graphic xmlns:a="http://schemas.openxmlformats.org/drawingml/2006/main">
                    <a:graphicData uri="http://schemas.openxmlformats.org/drawingml/2006/picture">
                      <pic:pic xmlns:pic="http://schemas.openxmlformats.org/drawingml/2006/picture">
                        <pic:nvPicPr>
                          <pic:cNvPr id="20" name="Picture_6_SpCnt_69"/>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9525" cy="9525"/>
                  <wp:effectExtent l="0" t="0" r="0" b="0"/>
                  <wp:wrapNone/>
                  <wp:docPr id="21" name="Picture_6_SpCnt_70"/>
                  <wp:cNvGraphicFramePr/>
                  <a:graphic xmlns:a="http://schemas.openxmlformats.org/drawingml/2006/main">
                    <a:graphicData uri="http://schemas.openxmlformats.org/drawingml/2006/picture">
                      <pic:pic xmlns:pic="http://schemas.openxmlformats.org/drawingml/2006/picture">
                        <pic:nvPicPr>
                          <pic:cNvPr id="21" name="Picture_6_SpCnt_70"/>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9525" cy="9525"/>
                  <wp:effectExtent l="0" t="0" r="0" b="0"/>
                  <wp:wrapNone/>
                  <wp:docPr id="22" name="Picture_6_SpCnt_71"/>
                  <wp:cNvGraphicFramePr/>
                  <a:graphic xmlns:a="http://schemas.openxmlformats.org/drawingml/2006/main">
                    <a:graphicData uri="http://schemas.openxmlformats.org/drawingml/2006/picture">
                      <pic:pic xmlns:pic="http://schemas.openxmlformats.org/drawingml/2006/picture">
                        <pic:nvPicPr>
                          <pic:cNvPr id="22" name="Picture_6_SpCnt_71"/>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9525" cy="9525"/>
                  <wp:effectExtent l="0" t="0" r="0" b="0"/>
                  <wp:wrapNone/>
                  <wp:docPr id="1" name="Picture_6_SpCnt_72"/>
                  <wp:cNvGraphicFramePr/>
                  <a:graphic xmlns:a="http://schemas.openxmlformats.org/drawingml/2006/main">
                    <a:graphicData uri="http://schemas.openxmlformats.org/drawingml/2006/picture">
                      <pic:pic xmlns:pic="http://schemas.openxmlformats.org/drawingml/2006/picture">
                        <pic:nvPicPr>
                          <pic:cNvPr id="1" name="Picture_6_SpCnt_72"/>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9525" cy="9525"/>
                  <wp:effectExtent l="0" t="0" r="0" b="0"/>
                  <wp:wrapNone/>
                  <wp:docPr id="23" name="Picture_6_SpCnt_73"/>
                  <wp:cNvGraphicFramePr/>
                  <a:graphic xmlns:a="http://schemas.openxmlformats.org/drawingml/2006/main">
                    <a:graphicData uri="http://schemas.openxmlformats.org/drawingml/2006/picture">
                      <pic:pic xmlns:pic="http://schemas.openxmlformats.org/drawingml/2006/picture">
                        <pic:nvPicPr>
                          <pic:cNvPr id="23" name="Picture_6_SpCnt_73"/>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9525" cy="9525"/>
                  <wp:effectExtent l="0" t="0" r="0" b="0"/>
                  <wp:wrapNone/>
                  <wp:docPr id="2" name="Picture_6_SpCnt_74"/>
                  <wp:cNvGraphicFramePr/>
                  <a:graphic xmlns:a="http://schemas.openxmlformats.org/drawingml/2006/main">
                    <a:graphicData uri="http://schemas.openxmlformats.org/drawingml/2006/picture">
                      <pic:pic xmlns:pic="http://schemas.openxmlformats.org/drawingml/2006/picture">
                        <pic:nvPicPr>
                          <pic:cNvPr id="2" name="Picture_6_SpCnt_74"/>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9525" cy="9525"/>
                  <wp:effectExtent l="0" t="0" r="0" b="0"/>
                  <wp:wrapNone/>
                  <wp:docPr id="6" name="Picture_6_SpCnt_75"/>
                  <wp:cNvGraphicFramePr/>
                  <a:graphic xmlns:a="http://schemas.openxmlformats.org/drawingml/2006/main">
                    <a:graphicData uri="http://schemas.openxmlformats.org/drawingml/2006/picture">
                      <pic:pic xmlns:pic="http://schemas.openxmlformats.org/drawingml/2006/picture">
                        <pic:nvPicPr>
                          <pic:cNvPr id="6" name="Picture_6_SpCnt_75"/>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9525" cy="9525"/>
                  <wp:effectExtent l="0" t="0" r="0" b="0"/>
                  <wp:wrapNone/>
                  <wp:docPr id="25" name="Picture_6_SpCnt_76"/>
                  <wp:cNvGraphicFramePr/>
                  <a:graphic xmlns:a="http://schemas.openxmlformats.org/drawingml/2006/main">
                    <a:graphicData uri="http://schemas.openxmlformats.org/drawingml/2006/picture">
                      <pic:pic xmlns:pic="http://schemas.openxmlformats.org/drawingml/2006/picture">
                        <pic:nvPicPr>
                          <pic:cNvPr id="25" name="Picture_6_SpCnt_76"/>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9525" cy="9525"/>
                  <wp:effectExtent l="0" t="0" r="0" b="0"/>
                  <wp:wrapNone/>
                  <wp:docPr id="3" name="Picture_6_SpCnt_77"/>
                  <wp:cNvGraphicFramePr/>
                  <a:graphic xmlns:a="http://schemas.openxmlformats.org/drawingml/2006/main">
                    <a:graphicData uri="http://schemas.openxmlformats.org/drawingml/2006/picture">
                      <pic:pic xmlns:pic="http://schemas.openxmlformats.org/drawingml/2006/picture">
                        <pic:nvPicPr>
                          <pic:cNvPr id="3" name="Picture_6_SpCnt_77"/>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9525" cy="9525"/>
                  <wp:effectExtent l="0" t="0" r="0" b="0"/>
                  <wp:wrapNone/>
                  <wp:docPr id="9" name="Picture_6_SpCnt_78"/>
                  <wp:cNvGraphicFramePr/>
                  <a:graphic xmlns:a="http://schemas.openxmlformats.org/drawingml/2006/main">
                    <a:graphicData uri="http://schemas.openxmlformats.org/drawingml/2006/picture">
                      <pic:pic xmlns:pic="http://schemas.openxmlformats.org/drawingml/2006/picture">
                        <pic:nvPicPr>
                          <pic:cNvPr id="9" name="Picture_6_SpCnt_78"/>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9525" cy="9525"/>
                  <wp:effectExtent l="0" t="0" r="0" b="0"/>
                  <wp:wrapNone/>
                  <wp:docPr id="15" name="Picture_6_SpCnt_79"/>
                  <wp:cNvGraphicFramePr/>
                  <a:graphic xmlns:a="http://schemas.openxmlformats.org/drawingml/2006/main">
                    <a:graphicData uri="http://schemas.openxmlformats.org/drawingml/2006/picture">
                      <pic:pic xmlns:pic="http://schemas.openxmlformats.org/drawingml/2006/picture">
                        <pic:nvPicPr>
                          <pic:cNvPr id="15" name="Picture_6_SpCnt_79"/>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9525" cy="9525"/>
                  <wp:effectExtent l="0" t="0" r="0" b="0"/>
                  <wp:wrapNone/>
                  <wp:docPr id="12" name="Picture_6_SpCnt_80"/>
                  <wp:cNvGraphicFramePr/>
                  <a:graphic xmlns:a="http://schemas.openxmlformats.org/drawingml/2006/main">
                    <a:graphicData uri="http://schemas.openxmlformats.org/drawingml/2006/picture">
                      <pic:pic xmlns:pic="http://schemas.openxmlformats.org/drawingml/2006/picture">
                        <pic:nvPicPr>
                          <pic:cNvPr id="12" name="Picture_6_SpCnt_80"/>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9525" cy="9525"/>
                  <wp:effectExtent l="0" t="0" r="0" b="0"/>
                  <wp:wrapNone/>
                  <wp:docPr id="5" name="Picture_6_SpCnt_81"/>
                  <wp:cNvGraphicFramePr/>
                  <a:graphic xmlns:a="http://schemas.openxmlformats.org/drawingml/2006/main">
                    <a:graphicData uri="http://schemas.openxmlformats.org/drawingml/2006/picture">
                      <pic:pic xmlns:pic="http://schemas.openxmlformats.org/drawingml/2006/picture">
                        <pic:nvPicPr>
                          <pic:cNvPr id="5" name="Picture_6_SpCnt_81"/>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9525" cy="9525"/>
                  <wp:effectExtent l="0" t="0" r="0" b="0"/>
                  <wp:wrapNone/>
                  <wp:docPr id="7" name="Picture_6_SpCnt_82"/>
                  <wp:cNvGraphicFramePr/>
                  <a:graphic xmlns:a="http://schemas.openxmlformats.org/drawingml/2006/main">
                    <a:graphicData uri="http://schemas.openxmlformats.org/drawingml/2006/picture">
                      <pic:pic xmlns:pic="http://schemas.openxmlformats.org/drawingml/2006/picture">
                        <pic:nvPicPr>
                          <pic:cNvPr id="7" name="Picture_6_SpCnt_82"/>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9525" cy="9525"/>
                  <wp:effectExtent l="0" t="0" r="0" b="0"/>
                  <wp:wrapNone/>
                  <wp:docPr id="13" name="Picture_6_SpCnt_83"/>
                  <wp:cNvGraphicFramePr/>
                  <a:graphic xmlns:a="http://schemas.openxmlformats.org/drawingml/2006/main">
                    <a:graphicData uri="http://schemas.openxmlformats.org/drawingml/2006/picture">
                      <pic:pic xmlns:pic="http://schemas.openxmlformats.org/drawingml/2006/picture">
                        <pic:nvPicPr>
                          <pic:cNvPr id="13" name="Picture_6_SpCnt_83"/>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9525" cy="9525"/>
                  <wp:effectExtent l="0" t="0" r="0" b="0"/>
                  <wp:wrapNone/>
                  <wp:docPr id="14" name="Picture_6_SpCnt_84"/>
                  <wp:cNvGraphicFramePr/>
                  <a:graphic xmlns:a="http://schemas.openxmlformats.org/drawingml/2006/main">
                    <a:graphicData uri="http://schemas.openxmlformats.org/drawingml/2006/picture">
                      <pic:pic xmlns:pic="http://schemas.openxmlformats.org/drawingml/2006/picture">
                        <pic:nvPicPr>
                          <pic:cNvPr id="14" name="Picture_6_SpCnt_84"/>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9525" cy="9525"/>
                  <wp:effectExtent l="0" t="0" r="0" b="0"/>
                  <wp:wrapNone/>
                  <wp:docPr id="30" name="Picture_6_SpCnt_85"/>
                  <wp:cNvGraphicFramePr/>
                  <a:graphic xmlns:a="http://schemas.openxmlformats.org/drawingml/2006/main">
                    <a:graphicData uri="http://schemas.openxmlformats.org/drawingml/2006/picture">
                      <pic:pic xmlns:pic="http://schemas.openxmlformats.org/drawingml/2006/picture">
                        <pic:nvPicPr>
                          <pic:cNvPr id="30" name="Picture_6_SpCnt_85"/>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9525" cy="9525"/>
                  <wp:effectExtent l="0" t="0" r="0" b="0"/>
                  <wp:wrapNone/>
                  <wp:docPr id="33" name="Picture_6_SpCnt_86"/>
                  <wp:cNvGraphicFramePr/>
                  <a:graphic xmlns:a="http://schemas.openxmlformats.org/drawingml/2006/main">
                    <a:graphicData uri="http://schemas.openxmlformats.org/drawingml/2006/picture">
                      <pic:pic xmlns:pic="http://schemas.openxmlformats.org/drawingml/2006/picture">
                        <pic:nvPicPr>
                          <pic:cNvPr id="33" name="Picture_6_SpCnt_86"/>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9525" cy="9525"/>
                  <wp:effectExtent l="0" t="0" r="0" b="0"/>
                  <wp:wrapNone/>
                  <wp:docPr id="29" name="Picture_6_SpCnt_87"/>
                  <wp:cNvGraphicFramePr/>
                  <a:graphic xmlns:a="http://schemas.openxmlformats.org/drawingml/2006/main">
                    <a:graphicData uri="http://schemas.openxmlformats.org/drawingml/2006/picture">
                      <pic:pic xmlns:pic="http://schemas.openxmlformats.org/drawingml/2006/picture">
                        <pic:nvPicPr>
                          <pic:cNvPr id="29" name="Picture_6_SpCnt_87"/>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9525" cy="9525"/>
                  <wp:effectExtent l="0" t="0" r="0" b="0"/>
                  <wp:wrapNone/>
                  <wp:docPr id="31" name="Picture_6_SpCnt_88"/>
                  <wp:cNvGraphicFramePr/>
                  <a:graphic xmlns:a="http://schemas.openxmlformats.org/drawingml/2006/main">
                    <a:graphicData uri="http://schemas.openxmlformats.org/drawingml/2006/picture">
                      <pic:pic xmlns:pic="http://schemas.openxmlformats.org/drawingml/2006/picture">
                        <pic:nvPicPr>
                          <pic:cNvPr id="31" name="Picture_6_SpCnt_88"/>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bdr w:val="single" w:color="000000" w:sz="4" w:space="0"/>
                <w:lang w:bidi="ar"/>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9525" cy="9525"/>
                  <wp:effectExtent l="0" t="0" r="0" b="0"/>
                  <wp:wrapNone/>
                  <wp:docPr id="32" name="Picture_6_SpCnt_89"/>
                  <wp:cNvGraphicFramePr/>
                  <a:graphic xmlns:a="http://schemas.openxmlformats.org/drawingml/2006/main">
                    <a:graphicData uri="http://schemas.openxmlformats.org/drawingml/2006/picture">
                      <pic:pic xmlns:pic="http://schemas.openxmlformats.org/drawingml/2006/picture">
                        <pic:nvPicPr>
                          <pic:cNvPr id="32" name="Picture_6_SpCnt_89"/>
                          <pic:cNvPicPr/>
                        </pic:nvPicPr>
                        <pic:blipFill>
                          <a:blip r:embed="rId6"/>
                          <a:stretch>
                            <a:fillRect/>
                          </a:stretch>
                        </pic:blipFill>
                        <pic:spPr>
                          <a:xfrm>
                            <a:off x="0" y="0"/>
                            <a:ext cx="9525" cy="9525"/>
                          </a:xfrm>
                          <a:prstGeom prst="rect">
                            <a:avLst/>
                          </a:prstGeom>
                          <a:noFill/>
                          <a:ln>
                            <a:noFill/>
                          </a:ln>
                        </pic:spPr>
                      </pic:pic>
                    </a:graphicData>
                  </a:graphic>
                </wp:anchor>
              </w:drawing>
            </w:r>
            <w:r>
              <w:rPr>
                <w:rFonts w:hint="eastAsia" w:ascii="宋体" w:hAnsi="宋体" w:cs="宋体"/>
                <w:color w:val="000000"/>
                <w:kern w:val="0"/>
                <w:sz w:val="20"/>
                <w:szCs w:val="20"/>
                <w:highlight w:val="none"/>
                <w:lang w:bidi="ar"/>
              </w:rPr>
              <w:t>1、摄像机采用一体化设计，由双镜头相机与高性能GPU模块组成，内嵌深度学习算法，以海量图片及视频资源为路基，通过机器自身提取目标特征，形成深层可供学习的人脸图像，极大的提升了目标人脸的检出率。</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▲2、内置双镜头，具有不小于1/1.8"靶面尺寸。内置GPU芯片。内置2个麦克风、1个扬声器，支持双向语音对讲。（提供具有CMA或CAL或CNAS认证章的第三方权威机构检验报告证明并加盖投标单位公章）</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3、最低照度彩色不大于0.0002 lx，黑白不大于0.0001 lx。内置至少4颗混合补光灯，每颗灯由红外灯、白光灯组成，在开启白光灯或混合补光灯时，可输出彩色视频图像。</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4、通道一主码流分辨率不小于2560x1440@25fps，子码流不小于704x576@25fps，第三码流不小于1920x1080@25fps。通道二主码流分辨率不小于1920x1080@25fps，子码流不小于704x576@25fps，第三码流不小于1920x1080@25fps。</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支持检出两眼瞳距20像素点以上的人脸图片。支持人脸比对，比对准确率不低于99%；支持侧脸过滤功能，可过滤上下、左右角度达到预设值的人脸。（提供具有CMA或CAL或CNAS认证章的第三方权威机构检验报告证明并加盖投标单位公章）</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▲6、为适应实验室使用环境场景，摄像机内置温和补光灯，夜间红外灯亮度、角度根据场景智能调整，能正常进行人脸抓拍；支持对运动人脸进行检测、跟踪、抓拍、评分、筛选，输出最优的人脸 ；支持人脸去误报、快速抓拍人脸；支持快速抓拍和最佳抓拍两种模式，并支持2种模式同时开启；支持算法比对机制，降低人脸抓拍重复率。（提供产品彩页加盖投标单位公章）</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7、支持硬件为引导程序OTP写入保护机制；产品采用加密存储，其FLASH存储空间采用防篡改功能。若非法修改FLASH的内容，可提示异常报错，产品将无法启动；产品支持微引导程序、uboot、OS、应用软件主机校验功能，非法篡改的uboot、OS、应用软件固件包，不能通过命令行、浏览器、客户端方式进行升级；码流支持SRTP协议进行码流传输。（提供具有CMA或CAL或CNAS认证章的第三方权威机构检验报告证明并加盖投标单位公章）</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8、支持通过客户端软件获取、搜索摄像机的IP地址或MAC地址，并支持批量修改IP地址。</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9、当检测到镜头被遮挡，可在客户端给出报警提示，并在上传中心、上传FTP、发送邮件及联动录像。</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10、支持定时抓图、移动侦测抓图、报警抓图、移动侦测且报警抓图、事件（智能侦测）抓图、手动抓图等抓图模式；可对1920x1080、3840x2160、4096x2160、4000x3000格式的视频图像进行抓拍，抓拍后的图像分辨率可达1920x1080；可按通道、时间方式检索图片，并支持正放、倒放图片流。（提供产品彩页加盖投标单位公章）</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11、支持数据感知功能，可同时支持10路客户端和5路web端事件布防，设备在布防时间段内主动上传感知数据，断网重连后，报警信息与报警图片可继续上传；在丢包率设置为30%的网络环境下，可正常显示监视画面。</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12、支持对IP通道进行图像虚焦、亮度异常、图像偏色、雪花干扰、条纹干扰等类型视频质量诊断。（提供产品彩页加盖投标单位公章）</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13、在IE浏览器下，具有设备重启和布防动态报警数据感知与记录功能，布防动态报警数据包括异常掉线、历史布防、实时布防3种类型；可记录报警的开始时间、结束时间、布防类型、报警链路地址、端口、链路续传。（提供具有CMA或CAL或CNAS认证章的第三方权威机构检验报告证明并加盖投标单位公章）</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14、支持GB35114，MD5、SHA256加密算法，开启视频加密功能后，可通过专用软件检测到录像文件中的加密信息，防止通过客户端下载视频导致视频信息泄露。</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15、设备具有耀光抑制功能，耀光区域≤1%。（提供具有CMA或CAL或CNAS认证章的第三方权威机构检验报告证明并加盖投标单位公章）</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30</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台</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海康、紫光华智、商汤</w:t>
            </w:r>
          </w:p>
        </w:tc>
      </w:tr>
      <w:tr>
        <w:tblPrEx>
          <w:tblCellMar>
            <w:top w:w="0" w:type="dxa"/>
            <w:left w:w="108" w:type="dxa"/>
            <w:bottom w:w="0" w:type="dxa"/>
            <w:right w:w="108" w:type="dxa"/>
          </w:tblCellMar>
        </w:tblPrEx>
        <w:trPr>
          <w:trHeight w:val="380" w:hRule="atLeast"/>
        </w:trPr>
        <w:tc>
          <w:tcPr>
            <w:tcW w:w="189"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2</w:t>
            </w:r>
          </w:p>
        </w:tc>
        <w:tc>
          <w:tcPr>
            <w:tcW w:w="302"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摄像机支架</w:t>
            </w:r>
          </w:p>
        </w:tc>
        <w:tc>
          <w:tcPr>
            <w:tcW w:w="3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铝合金摄像机安装支架；铂晶灰；</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30</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个</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国产优质</w:t>
            </w:r>
          </w:p>
        </w:tc>
      </w:tr>
      <w:tr>
        <w:tblPrEx>
          <w:tblCellMar>
            <w:top w:w="0" w:type="dxa"/>
            <w:left w:w="108" w:type="dxa"/>
            <w:bottom w:w="0" w:type="dxa"/>
            <w:right w:w="108" w:type="dxa"/>
          </w:tblCellMar>
        </w:tblPrEx>
        <w:trPr>
          <w:trHeight w:val="380" w:hRule="atLeast"/>
        </w:trPr>
        <w:tc>
          <w:tcPr>
            <w:tcW w:w="189"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3</w:t>
            </w:r>
          </w:p>
        </w:tc>
        <w:tc>
          <w:tcPr>
            <w:tcW w:w="302"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电源适配器</w:t>
            </w:r>
          </w:p>
        </w:tc>
        <w:tc>
          <w:tcPr>
            <w:tcW w:w="3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1、DC12V电源适配器；安装方式: 壁挂式；</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2、输入规格: AC176V~260V，50Hz，0.8A；输出规格: DC12V/2A；输入效率≥85.00%；负载调整率: ±5%；纹波/噪声: 150mVp-p；输出功率: 24W Max；输入接口: 3C插头；输出接口形式: 裸线输出；工作温度和湿度: 0℃~40℃,湿度10%~90%(无凝结)；</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30</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个</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国产优质</w:t>
            </w:r>
          </w:p>
        </w:tc>
      </w:tr>
      <w:tr>
        <w:tblPrEx>
          <w:tblCellMar>
            <w:top w:w="0" w:type="dxa"/>
            <w:left w:w="108" w:type="dxa"/>
            <w:bottom w:w="0" w:type="dxa"/>
            <w:right w:w="108" w:type="dxa"/>
          </w:tblCellMar>
        </w:tblPrEx>
        <w:trPr>
          <w:trHeight w:val="380" w:hRule="atLeast"/>
        </w:trPr>
        <w:tc>
          <w:tcPr>
            <w:tcW w:w="189"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4</w:t>
            </w:r>
          </w:p>
        </w:tc>
        <w:tc>
          <w:tcPr>
            <w:tcW w:w="302"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人脸识别结构化服务器</w:t>
            </w:r>
          </w:p>
        </w:tc>
        <w:tc>
          <w:tcPr>
            <w:tcW w:w="3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设备采用嵌入式系统设计，具有高性能GPU芯片，内嵌深度学习的人脸智能算法，支持人脸智能算法的更新、升级、导入功能。集成普通摄像机与智能摄像机的接入、存储、管理、控制、智能分析于一体，通过对人脸的识别、分析、建模，可实现名单布控报警、陌生人报警、高频报警、人脸比对、人脸照片查询等功能。（提供产品彩页加盖投标单位公章）</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具有≥2个HDMI接口、≥1个VGA接口、≥4个RJ45网络接口、≥2个USB2.0接口、≥2个USB3.0接口、≥1个RS232接口、≥1个RS485接口、≥1个eSata接口、≥1路音频输入接口、≥1个音频输出接口、≥16路报警输入接口、≥8路报警输出接口、可内置16块SATA接口硬盘。</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3.支持不少于64个人脸库，库容不少于50万张人脸图片，支持人脸抓拍库（存储于硬盘中）存储5000万条人脸抓拍历史记录，</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4.配置一块≥7英寸液晶显示屏；支持H.265、H.264、SVAC混合解码；设备界面可显示SSD中人脸库占用空间、系统保留空间、报警缓存空间、空闲空间。</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具有故障报警功能，故障提示声压≥60dBA，持续时间≥5min；当视频信号丢失时，应能发出报警信号。响应时间≤5s；同时对于记录过程中出现的系统死机或意外故障，设备应能在规定的时间内自动恢复期正常工作状态，并使故障前的信息不丢失。故障恢复时间≤5min。</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6.设备具备≥8个GPU，人脸库建模速度不低于500张/秒，可支持≥128 路图片流人脸识别。</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7.本服务器支持配合普通摄像机与智能摄像机对视频流及图片中的人脸进行智能识别，实现人脸识别的多功能应用，利用服务器内部的人脸库实现实验室人员的准入功能等，支持通过以脸搜脸的方式实现非授权人员的快速查找；支持实时分析视频码流,对触碰、闯入划定区域界线内的目标物体进行实时抓拍，通过服务器内部自带的深度学习及人工智能算法对图片及视频码流进行目标人脸识别，判定目标为授权人员或者非授权人员，非授权人员则会触发报警，在目标识别过程中支持过滤灯光、小型动物、树叶及人体的阴影等干扰目标。（提供产品彩页加盖投标单位公章）</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8.可接入、存储、转发128路分辨率为1920x1080的视频图像；可通过2个HDMI接口分别接入分辨率为4096x2160的视频图像显示输出在2个分辨率为4096x2160的液晶显示器上。</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9.可将接入的不少于4路（每路最大分辨率1920x1080）视频图像，通过融合通道功能拼接为1路视频图像显示输出，融合入通道显示输出的视频图像分辨率可设置为1920x1080,、1280x720、704x576</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10.支持视频图像上叠加10行文字，每行可输入22个汉字；可设置透明闪烁、透明不闪烁、不透明不闪烁、不透明闪烁4中OSD属性。</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11.人脸图片建模成功率不低于99.99%，支持检出水平转动角度、俯仰角、倾斜角不超过±45°且面部无遮挡的人脸；支持人脸在低头角度不超过 20°，左右侧脸不超过 45°情况下，人脸正确识别率不小于 98%；支持人脸正对相机，无人脸遮挡等干扰情况，人脸识别准确率≥99%；监视名单漏报率不超过≤0.1%；非监视名单误报率≤0.01%。</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12.支持人脸侦测，接入带有人脸侦测报警功能的IPC，当触发报警时，可联动录像、抓拍并保存图片、弹出报警画面、声音告警、上传中心、发送邮件、触发报警。</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13、在浏览器模式下，具有感兴趣区域（ROI）设置选项，双通道可设置4块感兴趣区域。（提供产品彩页加盖投标单位公章）</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14.支持路人库一人一档功能；设备将陌生人自动归入到路人库，并统计和展示每个陌生人出现的次数，多次出现的陌生人，设备自动选取一张最优人脸图片入库，可点击次数信息展示每次抓拍的图片和时间以及人脸属性信息。</w:t>
            </w:r>
          </w:p>
          <w:p>
            <w:pPr>
              <w:widowControl/>
              <w:jc w:val="left"/>
              <w:textAlignment w:val="center"/>
              <w:rPr>
                <w:highlight w:val="none"/>
              </w:rPr>
            </w:pPr>
            <w:r>
              <w:rPr>
                <w:rFonts w:hint="eastAsia" w:ascii="宋体" w:hAnsi="宋体" w:cs="宋体"/>
                <w:color w:val="000000"/>
                <w:kern w:val="0"/>
                <w:sz w:val="20"/>
                <w:szCs w:val="20"/>
                <w:highlight w:val="none"/>
                <w:lang w:bidi="ar"/>
              </w:rPr>
              <w:t>15.服务器能实现与学校原有校级人脸库特征平台互联互通，实现无缝对接，数据同步。（提供承诺函并加盖投标单位公章）</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台</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海康、紫光华智、商汤</w:t>
            </w:r>
          </w:p>
        </w:tc>
      </w:tr>
      <w:tr>
        <w:tblPrEx>
          <w:tblCellMar>
            <w:top w:w="0" w:type="dxa"/>
            <w:left w:w="108" w:type="dxa"/>
            <w:bottom w:w="0" w:type="dxa"/>
            <w:right w:w="108" w:type="dxa"/>
          </w:tblCellMar>
        </w:tblPrEx>
        <w:trPr>
          <w:trHeight w:val="380" w:hRule="atLeast"/>
        </w:trPr>
        <w:tc>
          <w:tcPr>
            <w:tcW w:w="189"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5</w:t>
            </w:r>
          </w:p>
        </w:tc>
        <w:tc>
          <w:tcPr>
            <w:tcW w:w="302"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b/>
                <w:bCs/>
                <w:color w:val="000000"/>
                <w:kern w:val="0"/>
                <w:sz w:val="20"/>
                <w:szCs w:val="20"/>
                <w:highlight w:val="none"/>
                <w:lang w:bidi="ar"/>
              </w:rPr>
              <w:t>人脸识别结构化服务软件（核心产品）</w:t>
            </w:r>
          </w:p>
        </w:tc>
        <w:tc>
          <w:tcPr>
            <w:tcW w:w="3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1、支持无感知智能学习功能，深度学习进入人员人脸骨架模型，经过大量数据学习，识别出人脸的角度和轮廓，收集人脸节点坐标；采用人脸识别增强算法，增加收集人体额头部位、耳部、人体眼部及眉毛部位的定位识别坐标节点，深度学习人员特征信息，提高人脸识别精度；根据实验室环境场景，抓拍收集存在的人员数据信息，结合人脸局部特征与全局特征，通过模型算法计算，识别人脸信息。</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2、针对实验室场景，可以实现毫秒级的人脸检测，适应侧脸、模糊、暗光、逆光、表情变化等各种实际环境，支持彩色、灰度、近红外等各种图像视频类型。</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针对眼、口、鼻轮廓等人脸多个关键点定位，支持不同精度的人脸关键点定位；支持抓拍、优选；支持人脸增强；支持人脸曝光；支持人脸属性提取；支持人脸抠图区域可设；支持实时抓拍、优选抓拍、质量优先三种抓拍策略；支持人脸角度过滤功能；支持陌生人报警联动弹窗，语音提示；支持人脸检测、人脸识别、视频结构化、人脸比对报警；</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4、支持对人脸进行分组管理；支持配置识别计划；支持对重点人员识别，处于重点人员名单内的人脸出现时，系统自动报警；支持对陌生人识别，人脸不在名单内时，系统自动报警。</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支持以脸搜脸，对人脸图片进行检索，检索结果支持列表模式和地图模式，地图模式可以按照时间顺序形成人脸轨迹，用于描述目标人员在该区域的移动路线；支持以脸搜脸的多脸模式，上传一张图片中有多个人脸时，可对图片中的多个人脸一次识别后依次选择进行以脸搜脸，无需多次上传，人脸数最大不超过五个。</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6、支持导航视图管理，对系统内各节点进行查看、增加、删除、修改，展示、查找；支持对系统内所有服务器进行监控，包括名称、IP地址、状态、未处理告警数、CPU使用率、内存使用率、磁盘容量、主机代理版等；支持对系统内所有组件信息进行监控，组件信息包含：组件名称、所属服务器、最近操作时间、授权状态、维保期限、使用期限等。</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7、人脸图片支持添加姓名、性别、联系方式、证件类型、证件号、生日、省份、城市等信息；支持查看人脸建模评分，可根据人脸评分选型进行检测，人脸评分选型包括无、评分高、评分低；支持人脸比对报警，同时开启人脸比对报警和陌生人报警，可选择关联多个人脸库，并针对每个人脸库设置不同阈值，阈值范围为0~100；支持人脸比对失败和陌生人报警提示语；支持报警布防和联动，可推送报警信息到客户端；支持陌生人人脸比对报警推送消息至手机APP，可通过手机APP查看陌生人抓拍图片并回放报警关联录像；</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8、支持对单场景内≥35张人脸进行检测并抓拍；支持检出的人脸图片瞳间距≥15像素，人脸区域像素应≥50像素x50像素；白天和晚上单人图片的人脸检出率不低于99%；单人图片的人脸检出响应时间不超过1秒。</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9、支持行为分析侦测，接入带有越界侦测、区域入侵侦测、进入区域侦测、离开区域侦测、人员聚集侦测、快速移动侦测、徘徊侦测、场景变更侦测、虚焦侦测、PIR报警功能的IPC，当触发报警时，样机可联动录像抓拍并保存图片、弹出报警画面、声音警告、上传中心、发送邮件、触发报警输出，可按通道、时间、类型检索报警图片，检索结果支持图片和列表两种展现形式。</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10、支持组合报警检测，可将物理报警接口的报警输入关联IPC报警事件，只有当两个报警事件在设置制的时间段内同时触发才能产生组合报警事件；组合报警支持IPC的遮挡报警、移动侦测、人脸侦测、人脸抓拍、越界侦测、区域入侵、进入/离开区域、徘徊侦测、人员聚集侦测、快速移动侦测、等事件。</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11、支持按照开始时间、结束时间、抓拍点、年龄段、性别、是否佩戴眼镜过滤查询抓怕记录；抓拍记录支持以列表视图或卡片视图展示；支持对抓拍记录进行识别信息、抓拍原图、人员轨迹、录像回放的查看，识别信息中可查看该人员近3天出现的次数统计。</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12、支持离线模型和在线模型两种模型导入方式，支持第三方算法插件的导入和管理；支持不同模型进行切换，支持手动删除已导入模型库中的模型；支持展示已经添加的模型包数和总模型包数；支持自定义编制导入的模型名称；支持设置人体、行为分析视频算法混合运行；多算法支持按通道配置，支持算法切换。</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▲13、平台能实现与学校原有校级人脸库特征平台互联互通，实现无缝对接，数据同步。（提供承诺函并加盖投标单位公章）</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海康、紫光华智、商汤</w:t>
            </w:r>
          </w:p>
        </w:tc>
      </w:tr>
      <w:tr>
        <w:tblPrEx>
          <w:tblCellMar>
            <w:top w:w="0" w:type="dxa"/>
            <w:left w:w="108" w:type="dxa"/>
            <w:bottom w:w="0" w:type="dxa"/>
            <w:right w:w="108" w:type="dxa"/>
          </w:tblCellMar>
        </w:tblPrEx>
        <w:trPr>
          <w:trHeight w:val="380" w:hRule="atLeast"/>
        </w:trPr>
        <w:tc>
          <w:tcPr>
            <w:tcW w:w="189"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6</w:t>
            </w:r>
          </w:p>
        </w:tc>
        <w:tc>
          <w:tcPr>
            <w:tcW w:w="302"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监控级硬盘</w:t>
            </w:r>
          </w:p>
        </w:tc>
        <w:tc>
          <w:tcPr>
            <w:tcW w:w="3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监控专用8T硬盘；</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7</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块</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国产优质</w:t>
            </w:r>
          </w:p>
        </w:tc>
      </w:tr>
      <w:tr>
        <w:tblPrEx>
          <w:tblCellMar>
            <w:top w:w="0" w:type="dxa"/>
            <w:left w:w="108" w:type="dxa"/>
            <w:bottom w:w="0" w:type="dxa"/>
            <w:right w:w="108" w:type="dxa"/>
          </w:tblCellMar>
        </w:tblPrEx>
        <w:trPr>
          <w:trHeight w:val="380" w:hRule="atLeast"/>
        </w:trPr>
        <w:tc>
          <w:tcPr>
            <w:tcW w:w="1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7</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color w:val="000000"/>
                <w:kern w:val="0"/>
                <w:sz w:val="20"/>
                <w:szCs w:val="20"/>
                <w:highlight w:val="none"/>
                <w:lang w:bidi="ar"/>
              </w:rPr>
              <w:t>实验室人员准入智能防控软件系统</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实验室人员准入智能防控软件基础架构模块</w:t>
            </w:r>
          </w:p>
        </w:tc>
        <w:tc>
          <w:tcPr>
            <w:tcW w:w="3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▲1、投标时提供符合本次软件整体功能需求的业务流程图。</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▲2、软件系统应能与原有校级人脸库特征平台无缝对接，可利用原有的人员基础信息库和人脸照片，避免重复采集，保证软件产品的稳定性。（提供对接承诺函并加盖投标单位公章）</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3、实验室组织架构应以学校—院系—大科研组—科研实验室进行划分，人员类型可自主调整，如毕设人员、临时人员、实验室责任人、常驻人员等，类型种类不少于5种</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定制</w:t>
            </w:r>
          </w:p>
        </w:tc>
      </w:tr>
      <w:tr>
        <w:tblPrEx>
          <w:tblCellMar>
            <w:top w:w="0" w:type="dxa"/>
            <w:left w:w="108" w:type="dxa"/>
            <w:bottom w:w="0" w:type="dxa"/>
            <w:right w:w="108" w:type="dxa"/>
          </w:tblCellMar>
        </w:tblPrEx>
        <w:trPr>
          <w:trHeight w:val="380" w:hRule="atLeast"/>
        </w:trPr>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highlight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highlight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实验室人员准入智能防控基础功能管理模块</w:t>
            </w:r>
          </w:p>
        </w:tc>
        <w:tc>
          <w:tcPr>
            <w:tcW w:w="3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1、支持对实验室进行分配，将学院下属实验室分配到对应学院下，支持批量实验室分配，删除操作，同时可将实验室与院系进行绑定以及解除绑定操作。</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2、实验室管理主要功能包含实验室分配、人员入驻、调配/离实验室，可按人员和组织绑定实验室以及解除绑定，同时支持实验室人员的批量导入、导出。</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▲3、支持对实验室人员进行分配，由管理员对实验室人员进行分配操作，可以实现对实验室内人员的添加、调离、删除的单个及批量操作；支持单一人员拥有多个实验室准入权限。（提供软件demo效果图）</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4、实验室人员权限分配：当分配人员进驻某实验室后，代表该人员拥有进入权限，之后向系统发出人脸权限下发请求，将人脸照片下发人脸识别结构化平台中对应的实验室人脸库中，人员进入实验室不报警。</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5、支持在对实验室/实验室人员分配操作时，先查看对应子目录下是否存在该实验室/实验室人员，若存在则提示信息“已存在该实验室/实验室人员，请勿重复操作”。</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6、退/调实验室：退/调实验室取消实验室人员的人脸权限下发，在用户进行人员退/调实验室操作时，首先判断用户是否有该实验室的进入权限，之后向数据库查询实验室关联人脸库信息，校验设备是否在线，之后向系统发出人脸权限删除请求，待返回删除结果后返回给平台。</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7、查看实验室分配情况：为了直观的展示人员与实验室之间的关系，方便用户进行查看，该功能通过一张关联表关联人员与实验室，实现实验室分配的功能。</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8、支持实验室老师、保卫室、设备管理处、院系领导分配不同的权限，按权限查看单个实验室、整体楼栋、全院系的实验室状态（人数、当日/7日报警数等信息）。</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9、软件系统应能与原有校级人脸库特征平台无缝对接，可利用原有的人员基础信息库和人脸照片，避免重复采集，保证软件产品的稳定性。（提供对接承诺函并加盖投标单位公章）</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highlight w:val="none"/>
              </w:rPr>
            </w:pPr>
          </w:p>
        </w:tc>
      </w:tr>
      <w:tr>
        <w:tblPrEx>
          <w:tblCellMar>
            <w:top w:w="0" w:type="dxa"/>
            <w:left w:w="108" w:type="dxa"/>
            <w:bottom w:w="0" w:type="dxa"/>
            <w:right w:w="108" w:type="dxa"/>
          </w:tblCellMar>
        </w:tblPrEx>
        <w:trPr>
          <w:trHeight w:val="380" w:hRule="atLeast"/>
        </w:trPr>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highlight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highlight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实验室人员准入智能防控报警管理模块</w:t>
            </w:r>
          </w:p>
        </w:tc>
        <w:tc>
          <w:tcPr>
            <w:tcW w:w="3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1、报警推送功能：当非授权人员进入实验室后，平台会产生报警信息，优先推送给实验室对应负责人，在规定时间内未进行报警解除操作，报警信息推送至院系领导、相关保卫人员、设备管理处人员。</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▲2、人脸查询：可从报警记录跳转至校园人脸特征库中的以脸搜脸，支持将发生报警时抓拍的画面进行二次搜索，查询对应人员基础信息。（提供软件demo效果图）</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3、报警信息配置功能：可自定义配置推送的信息模板，可配置当日提醒次数。</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4、报警推送配置管理：可以配置对应组织的管理人员，用于规则中流程推送；推送提醒次数等配置。</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5、流程配置功能：可根据工作流配置，配置告警推送的流程节点人员，包括H5界面上的流程配置。</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6、支持在报警联动时，平台可弹窗实时画面为该实验室内的全景摄像机画面。</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7、软件系统应能与原有校级人脸库特征平台无缝对接，可利用原有的人员基础信息库和人脸照片，避免重复采集，保证软件产品的稳定性。（提供对接承诺函并加盖投标单位公章）</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highlight w:val="none"/>
              </w:rPr>
            </w:pPr>
          </w:p>
        </w:tc>
      </w:tr>
      <w:tr>
        <w:tblPrEx>
          <w:tblCellMar>
            <w:top w:w="0" w:type="dxa"/>
            <w:left w:w="108" w:type="dxa"/>
            <w:bottom w:w="0" w:type="dxa"/>
            <w:right w:w="108" w:type="dxa"/>
          </w:tblCellMar>
        </w:tblPrEx>
        <w:trPr>
          <w:trHeight w:val="380" w:hRule="atLeast"/>
        </w:trPr>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highlight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highlight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实验室人员准入智能防控记录查询模块</w:t>
            </w:r>
          </w:p>
        </w:tc>
        <w:tc>
          <w:tcPr>
            <w:tcW w:w="3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1、可查询进驻、调/退实验室、抓拍记录、告警处理、实验室历次违规情况等记录。</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2、支持记录实验室管理员操作痕迹。</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3、软件系统应能与原有校级人脸库特征平台无缝对接，可利用原有的人员基础信息库和人脸照片，避免重复采集，保证软件产品的稳定性。（提供对接承诺函并加盖投标单位公章）</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highlight w:val="none"/>
              </w:rPr>
            </w:pPr>
          </w:p>
        </w:tc>
      </w:tr>
      <w:tr>
        <w:tblPrEx>
          <w:tblCellMar>
            <w:top w:w="0" w:type="dxa"/>
            <w:left w:w="108" w:type="dxa"/>
            <w:bottom w:w="0" w:type="dxa"/>
            <w:right w:w="108" w:type="dxa"/>
          </w:tblCellMar>
        </w:tblPrEx>
        <w:trPr>
          <w:trHeight w:val="380" w:hRule="atLeast"/>
        </w:trPr>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highlight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highlight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实验室人员准入智能防控企业微信对接</w:t>
            </w:r>
          </w:p>
        </w:tc>
        <w:tc>
          <w:tcPr>
            <w:tcW w:w="3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1、报警推送信息应与校园企业微信打通，推送信息应包含时间、地点、抓拍图片、责任人姓名与电话以及查看实时视频的跳转链接（用于唤醒APP），优先推送给实验室对应的责任人，责任人可在H5界面进行报警除操作，需填写解除报警理由：已驱逐、前端误报、误闯入等（可配置理由）。在规定时间内未进行报警解除操作，该报警信息推送至院系领导、相关保卫人员、设备管理处人员。当日12点，院系负责人、保卫、设备处将收到所属院系的报警汇总信息（报警次数、未解除报警事件、事件处理结果占比）。</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2、软件系统应能与原有校级人脸库特征平台无缝对接，可利用原有的人员基础信息库和人脸照片，避免重复采集，保证软件产品的稳定性。（提供对接承诺函并加盖投标单位公章）</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highlight w:val="none"/>
              </w:rPr>
            </w:pPr>
          </w:p>
        </w:tc>
      </w:tr>
      <w:tr>
        <w:tblPrEx>
          <w:tblCellMar>
            <w:top w:w="0" w:type="dxa"/>
            <w:left w:w="108" w:type="dxa"/>
            <w:bottom w:w="0" w:type="dxa"/>
            <w:right w:w="108" w:type="dxa"/>
          </w:tblCellMar>
        </w:tblPrEx>
        <w:trPr>
          <w:trHeight w:val="380" w:hRule="atLeast"/>
        </w:trPr>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highlight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highlight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实验室人员准入智能防控移动端APP</w:t>
            </w:r>
          </w:p>
        </w:tc>
        <w:tc>
          <w:tcPr>
            <w:tcW w:w="3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1、实验室对应负责人、院系领导、相关保卫人员、设备管理处人员等相关人员可根据自身权限分配，进入app查看权限下的实验室实时视频，同时可联动对讲功能对实验室人员进行喊话（提供APP软件demo效果图）。</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2、软件系统应能与原有校级人脸库特征平台无缝对接，可利用原有的人员基础信息库和人脸照片，避免重复采集，保证软件产品的稳定性。（提供对接承诺函并加盖投标单位公章）</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highlight w:val="none"/>
              </w:rPr>
            </w:pPr>
          </w:p>
        </w:tc>
      </w:tr>
      <w:tr>
        <w:tblPrEx>
          <w:tblCellMar>
            <w:top w:w="0" w:type="dxa"/>
            <w:left w:w="108" w:type="dxa"/>
            <w:bottom w:w="0" w:type="dxa"/>
            <w:right w:w="108" w:type="dxa"/>
          </w:tblCellMar>
        </w:tblPrEx>
        <w:trPr>
          <w:trHeight w:val="380" w:hRule="atLeast"/>
        </w:trPr>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highlight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highlight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实验室人员准入智能防控数据看板</w:t>
            </w:r>
          </w:p>
        </w:tc>
        <w:tc>
          <w:tcPr>
            <w:tcW w:w="3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1、校领导、保卫人员、设备管理处人员可在平台查看实验室管理数据看板，看板内容包括：当日、近7日、近1个月内的，管辖范围内的报警次数、实验室报警排名、未接触报警次数、入驻实验室人员数量。</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2、看板支持二级跳转，可直接跳转至实验室报警记录查询页面，支持查看实验室的历次违规情况。</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▲3、根据数据看板所要求内容，提供与本项目相关的数据看板功能demo设计效果图。</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4、软件系统应能与原有校级人脸库特征平台无缝对接，可利用原有的人员基础信息库和人脸照片，避免重复采集，保证软件产品的稳定性。（提供对接承诺函并加盖投标单位公章）</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highlight w:val="none"/>
              </w:rPr>
            </w:pPr>
          </w:p>
        </w:tc>
      </w:tr>
      <w:tr>
        <w:tblPrEx>
          <w:tblCellMar>
            <w:top w:w="0" w:type="dxa"/>
            <w:left w:w="108" w:type="dxa"/>
            <w:bottom w:w="0" w:type="dxa"/>
            <w:right w:w="108" w:type="dxa"/>
          </w:tblCellMar>
        </w:tblPrEx>
        <w:trPr>
          <w:trHeight w:val="380" w:hRule="atLeast"/>
        </w:trPr>
        <w:tc>
          <w:tcPr>
            <w:tcW w:w="189"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8</w:t>
            </w:r>
          </w:p>
        </w:tc>
        <w:tc>
          <w:tcPr>
            <w:tcW w:w="302"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千兆POE交换机</w:t>
            </w:r>
          </w:p>
        </w:tc>
        <w:tc>
          <w:tcPr>
            <w:tcW w:w="3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1、支持≥8个千兆POE电口，≥2个千兆光口；交换容量≥20 Gbps；转发性能≥14.88 Mpps</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2、支持IEEE 802.3at/af；支持IEEE 802.3、IEEE 802.3u、IEEE 802.3x、IEEE802.3ab、IEEE802.3z；</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3、支持6 KV防浪涌（PoE口）；支持PoE输出功率管理；</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4、千兆网络接入设计；线速转发、无阻塞设计；存储转发交换方式；</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5、支持可快速检测链路的通断和光纤链路的单向性，并支持端口下的环路检测功能；</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6、支持专门针对CPU的保护机制，能够针对发往CPU处理的各种报文进行流区分和优先级队列分级处理，保护交换机在各种环境下稳定工作；</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▲7、提供加盖投标单位公章3C证书的复印件</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8、提供产品彩页加盖投标单位公章</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10</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台</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海康、锐捷、华三</w:t>
            </w:r>
          </w:p>
        </w:tc>
      </w:tr>
      <w:tr>
        <w:tblPrEx>
          <w:tblCellMar>
            <w:top w:w="0" w:type="dxa"/>
            <w:left w:w="108" w:type="dxa"/>
            <w:bottom w:w="0" w:type="dxa"/>
            <w:right w:w="108" w:type="dxa"/>
          </w:tblCellMar>
        </w:tblPrEx>
        <w:trPr>
          <w:trHeight w:val="380" w:hRule="atLeast"/>
        </w:trPr>
        <w:tc>
          <w:tcPr>
            <w:tcW w:w="189"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9</w:t>
            </w:r>
          </w:p>
        </w:tc>
        <w:tc>
          <w:tcPr>
            <w:tcW w:w="302"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电源线</w:t>
            </w:r>
          </w:p>
        </w:tc>
        <w:tc>
          <w:tcPr>
            <w:tcW w:w="3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1、RVV型铜芯护套软电缆3*1.5执行标准：GB/T 5023.3</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2、用于交流额定电压U 0/U为300/300V及以下可 移动使用的电器、仪表作电源动力的连接电缆长期使用温度为-15℃～70℃</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3、电缆敷设温度不低于0℃，特殊 使用温度可定做。</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4、导体：99.996%无氧软铜丝；护套：聚氯乙烯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val="en-US" w:eastAsia="zh-CN" w:bidi="ar"/>
              </w:rPr>
              <w:t>5</w:t>
            </w:r>
            <w:r>
              <w:rPr>
                <w:rFonts w:hint="eastAsia" w:ascii="宋体" w:hAnsi="宋体" w:cs="宋体"/>
                <w:color w:val="000000"/>
                <w:kern w:val="0"/>
                <w:sz w:val="20"/>
                <w:szCs w:val="20"/>
                <w:highlight w:val="none"/>
                <w:lang w:bidi="ar"/>
              </w:rPr>
              <w:t>、产品制造商通过CNAS及IAF国际认可机构颁发的质量体系ISO9001认证、环境管理体系ISO14001认证和职业健康安全体系ISO45001认证。（提供证书复印件并加盖投标单位公章）</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val="en-US" w:eastAsia="zh-CN" w:bidi="ar"/>
              </w:rPr>
              <w:t>6</w:t>
            </w:r>
            <w:r>
              <w:rPr>
                <w:rFonts w:hint="eastAsia" w:ascii="宋体" w:hAnsi="宋体" w:cs="宋体"/>
                <w:color w:val="000000"/>
                <w:kern w:val="0"/>
                <w:sz w:val="20"/>
                <w:szCs w:val="20"/>
                <w:highlight w:val="none"/>
                <w:lang w:bidi="ar"/>
              </w:rPr>
              <w:t>、为确保质量，投标人</w:t>
            </w:r>
            <w:r>
              <w:rPr>
                <w:rFonts w:hint="eastAsia" w:ascii="宋体" w:hAnsi="宋体" w:cs="宋体"/>
                <w:color w:val="000000"/>
                <w:kern w:val="0"/>
                <w:sz w:val="20"/>
                <w:szCs w:val="20"/>
                <w:highlight w:val="none"/>
                <w:lang w:val="en-US" w:eastAsia="zh-CN" w:bidi="ar"/>
              </w:rPr>
              <w:t>需在中标后</w:t>
            </w:r>
            <w:r>
              <w:rPr>
                <w:rFonts w:hint="eastAsia" w:ascii="宋体" w:hAnsi="宋体" w:cs="宋体"/>
                <w:color w:val="000000"/>
                <w:kern w:val="0"/>
                <w:sz w:val="20"/>
                <w:szCs w:val="20"/>
                <w:highlight w:val="none"/>
                <w:lang w:bidi="ar"/>
              </w:rPr>
              <w:t>提供制造商出具针对该项目完工后能提供25年以上系统质量保证书的承诺函并加盖投标单位公章。</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4</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卷</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FGT、海康、帝一</w:t>
            </w:r>
          </w:p>
        </w:tc>
      </w:tr>
      <w:tr>
        <w:tblPrEx>
          <w:tblCellMar>
            <w:top w:w="0" w:type="dxa"/>
            <w:left w:w="108" w:type="dxa"/>
            <w:bottom w:w="0" w:type="dxa"/>
            <w:right w:w="108" w:type="dxa"/>
          </w:tblCellMar>
        </w:tblPrEx>
        <w:trPr>
          <w:trHeight w:val="380" w:hRule="atLeast"/>
        </w:trPr>
        <w:tc>
          <w:tcPr>
            <w:tcW w:w="189"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10</w:t>
            </w:r>
          </w:p>
        </w:tc>
        <w:tc>
          <w:tcPr>
            <w:tcW w:w="302"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六类非屏蔽网络双绞线</w:t>
            </w:r>
          </w:p>
        </w:tc>
        <w:tc>
          <w:tcPr>
            <w:tcW w:w="3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1、产品符合： GB/T 50312 、YD/T 1019、ISO/IEC 11801 、ANSI/TIA-568.2-D标准</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2、线对：4对（蓝/蓝白、橙/橙白、绿/绿白，棕/棕白）；线规≥23AWG；导体直径≥0.57mm 符合TR型软圆铜线的要求；带宽及应用：支持≥250MHz，满足IEEE 802.3 1000BASE-T应用</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3、绝缘材质：高密度聚乙烯（HDPE）；带有十字骨架，分隔开对绞线，减少线对间近端串扰；撕裂绳：非吸湿性；护套： PVC；工作温度-20～+60℃</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4、最大电阻不平衡：5%；直流电阻（最大）：9.4Ω/100m；特性阻抗：100±15Ω；时延差：≤45ns/100m；近端串音衰减（NEXT）在250MHz典型频点最小值：39.3（dB）；回波损耗（RL）在250MHz典型频点最小值：17.3（dB）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5、产品符合ANSI/TIA-568.2-D标准信道测试、提供信息产业第三方检验报告并</w:t>
            </w:r>
            <w:r>
              <w:rPr>
                <w:rFonts w:hint="eastAsia" w:ascii="宋体" w:hAnsi="宋体" w:cs="宋体"/>
                <w:kern w:val="0"/>
                <w:sz w:val="20"/>
                <w:szCs w:val="20"/>
                <w:highlight w:val="none"/>
                <w:lang w:bidi="ar"/>
              </w:rPr>
              <w:t>加盖投标单位公章</w:t>
            </w:r>
            <w:r>
              <w:rPr>
                <w:rFonts w:hint="eastAsia" w:ascii="宋体" w:hAnsi="宋体" w:cs="宋体"/>
                <w:color w:val="FF0000"/>
                <w:kern w:val="0"/>
                <w:sz w:val="20"/>
                <w:szCs w:val="20"/>
                <w:highlight w:val="none"/>
                <w:lang w:bidi="ar"/>
              </w:rPr>
              <w:br w:type="textWrapping"/>
            </w:r>
            <w:r>
              <w:rPr>
                <w:rFonts w:hint="eastAsia" w:ascii="宋体" w:hAnsi="宋体" w:cs="宋体"/>
                <w:color w:val="000000"/>
                <w:kern w:val="0"/>
                <w:sz w:val="20"/>
                <w:szCs w:val="20"/>
                <w:highlight w:val="none"/>
                <w:lang w:bidi="ar"/>
              </w:rPr>
              <w:t>▲6、为保证产品质量，投标时产品需同时提供UL证书、ETL证书、电磁兼容性（EMC）证书、ROHS证书。（以上证书需提供复印件并加盖投标单位公章）</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7、为确保质量，投标人</w:t>
            </w:r>
            <w:r>
              <w:rPr>
                <w:rFonts w:hint="eastAsia" w:ascii="宋体" w:hAnsi="宋体" w:cs="宋体"/>
                <w:color w:val="000000"/>
                <w:kern w:val="0"/>
                <w:sz w:val="20"/>
                <w:szCs w:val="20"/>
                <w:highlight w:val="none"/>
                <w:lang w:val="en-US" w:eastAsia="zh-CN" w:bidi="ar"/>
              </w:rPr>
              <w:t>需在中标后</w:t>
            </w:r>
            <w:r>
              <w:rPr>
                <w:rFonts w:hint="eastAsia" w:ascii="宋体" w:hAnsi="宋体" w:cs="宋体"/>
                <w:color w:val="000000"/>
                <w:kern w:val="0"/>
                <w:sz w:val="20"/>
                <w:szCs w:val="20"/>
                <w:highlight w:val="none"/>
                <w:lang w:bidi="ar"/>
              </w:rPr>
              <w:t>提供制造商出具针对该项目完工后能提供25年以上系统质量保证书的承诺函并加盖投标单位公章。</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6</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箱</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FGT、海康、帝一</w:t>
            </w:r>
          </w:p>
        </w:tc>
      </w:tr>
      <w:tr>
        <w:tblPrEx>
          <w:tblCellMar>
            <w:top w:w="0" w:type="dxa"/>
            <w:left w:w="108" w:type="dxa"/>
            <w:bottom w:w="0" w:type="dxa"/>
            <w:right w:w="108" w:type="dxa"/>
          </w:tblCellMar>
        </w:tblPrEx>
        <w:trPr>
          <w:trHeight w:val="380" w:hRule="atLeast"/>
        </w:trPr>
        <w:tc>
          <w:tcPr>
            <w:tcW w:w="189"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11</w:t>
            </w:r>
          </w:p>
        </w:tc>
        <w:tc>
          <w:tcPr>
            <w:tcW w:w="302"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线管</w:t>
            </w:r>
          </w:p>
        </w:tc>
        <w:tc>
          <w:tcPr>
            <w:tcW w:w="3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阻燃型PVC线管；含阻燃型PVC线管配件等</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800</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米</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公元、中材、联塑</w:t>
            </w:r>
          </w:p>
        </w:tc>
      </w:tr>
      <w:tr>
        <w:tblPrEx>
          <w:tblCellMar>
            <w:top w:w="0" w:type="dxa"/>
            <w:left w:w="108" w:type="dxa"/>
            <w:bottom w:w="0" w:type="dxa"/>
            <w:right w:w="108" w:type="dxa"/>
          </w:tblCellMar>
        </w:tblPrEx>
        <w:trPr>
          <w:trHeight w:val="380" w:hRule="atLeast"/>
        </w:trPr>
        <w:tc>
          <w:tcPr>
            <w:tcW w:w="189"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12</w:t>
            </w:r>
          </w:p>
        </w:tc>
        <w:tc>
          <w:tcPr>
            <w:tcW w:w="302"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工程辅材</w:t>
            </w:r>
          </w:p>
        </w:tc>
        <w:tc>
          <w:tcPr>
            <w:tcW w:w="3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网络跳线/膨胀管/固定螺钉/卡托/线标/胶带/线扎等所有项目所需</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批</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国产优质</w:t>
            </w:r>
          </w:p>
        </w:tc>
      </w:tr>
      <w:tr>
        <w:tblPrEx>
          <w:tblCellMar>
            <w:top w:w="0" w:type="dxa"/>
            <w:left w:w="108" w:type="dxa"/>
            <w:bottom w:w="0" w:type="dxa"/>
            <w:right w:w="108" w:type="dxa"/>
          </w:tblCellMar>
        </w:tblPrEx>
        <w:trPr>
          <w:trHeight w:val="380" w:hRule="atLeast"/>
        </w:trPr>
        <w:tc>
          <w:tcPr>
            <w:tcW w:w="189" w:type="pct"/>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13</w:t>
            </w:r>
          </w:p>
        </w:tc>
        <w:tc>
          <w:tcPr>
            <w:tcW w:w="302" w:type="pct"/>
            <w:tcBorders>
              <w:top w:val="single" w:color="000000" w:sz="4" w:space="0"/>
              <w:left w:val="nil"/>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施工安装集成费</w:t>
            </w:r>
          </w:p>
        </w:tc>
        <w:tc>
          <w:tcPr>
            <w:tcW w:w="3744"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设备安装、技术调试、系统集成架构服务等费</w:t>
            </w:r>
          </w:p>
        </w:tc>
        <w:tc>
          <w:tcPr>
            <w:tcW w:w="239" w:type="pct"/>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30</w:t>
            </w:r>
          </w:p>
        </w:tc>
        <w:tc>
          <w:tcPr>
            <w:tcW w:w="193" w:type="pct"/>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个</w:t>
            </w:r>
          </w:p>
        </w:tc>
        <w:tc>
          <w:tcPr>
            <w:tcW w:w="33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ascii="宋体" w:hAnsi="宋体" w:cs="宋体"/>
                <w:color w:val="000000"/>
                <w:sz w:val="20"/>
                <w:szCs w:val="20"/>
                <w:highlight w:val="none"/>
              </w:rPr>
            </w:pPr>
          </w:p>
        </w:tc>
      </w:tr>
    </w:tbl>
    <w:p>
      <w:pPr>
        <w:widowControl/>
        <w:jc w:val="left"/>
        <w:rPr>
          <w:rFonts w:hAnsi="宋体"/>
          <w:b/>
          <w:sz w:val="28"/>
          <w:szCs w:val="28"/>
          <w:highlight w:val="none"/>
        </w:rPr>
      </w:pPr>
      <w:r>
        <w:rPr>
          <w:rFonts w:hint="eastAsia" w:hAnsi="宋体"/>
          <w:b/>
          <w:sz w:val="28"/>
          <w:szCs w:val="28"/>
          <w:highlight w:val="none"/>
        </w:rPr>
        <w:t>注：本项目所使用的品牌均为推荐品牌，投标人可使用同档次及以上品牌。</w:t>
      </w:r>
    </w:p>
    <w:p>
      <w:pPr>
        <w:widowControl/>
        <w:jc w:val="left"/>
        <w:rPr>
          <w:rFonts w:hAnsi="宋体"/>
          <w:b/>
          <w:sz w:val="28"/>
          <w:szCs w:val="28"/>
          <w:highlight w:val="none"/>
        </w:rPr>
      </w:pPr>
      <w:r>
        <w:rPr>
          <w:rFonts w:hint="eastAsia" w:hAnsi="宋体"/>
          <w:b/>
          <w:sz w:val="28"/>
          <w:szCs w:val="28"/>
          <w:highlight w:val="none"/>
        </w:rPr>
        <w:t>其他说明：</w:t>
      </w:r>
    </w:p>
    <w:p>
      <w:pPr>
        <w:widowControl/>
        <w:jc w:val="left"/>
        <w:rPr>
          <w:rFonts w:hAnsi="宋体"/>
          <w:b/>
          <w:sz w:val="28"/>
          <w:szCs w:val="28"/>
          <w:highlight w:val="none"/>
        </w:rPr>
      </w:pPr>
      <w:r>
        <w:rPr>
          <w:rFonts w:hint="eastAsia" w:ascii="宋体" w:hAnsi="宋体" w:cs="宋体"/>
          <w:kern w:val="0"/>
          <w:szCs w:val="21"/>
          <w:highlight w:val="none"/>
        </w:rPr>
        <w:t>★</w:t>
      </w:r>
      <w:r>
        <w:rPr>
          <w:rFonts w:hint="eastAsia" w:hAnsi="宋体"/>
          <w:b/>
          <w:sz w:val="28"/>
          <w:szCs w:val="28"/>
          <w:highlight w:val="none"/>
        </w:rPr>
        <w:t>1、本次设备采购</w:t>
      </w:r>
      <w:r>
        <w:rPr>
          <w:rFonts w:hint="eastAsia" w:hAnsi="宋体"/>
          <w:b/>
          <w:sz w:val="28"/>
          <w:szCs w:val="28"/>
          <w:highlight w:val="none"/>
          <w:lang w:val="en-US" w:eastAsia="zh-CN"/>
        </w:rPr>
        <w:t>供应商（投标人）</w:t>
      </w:r>
      <w:r>
        <w:rPr>
          <w:rFonts w:hint="eastAsia" w:hAnsi="宋体"/>
          <w:b/>
          <w:sz w:val="28"/>
          <w:szCs w:val="28"/>
          <w:highlight w:val="none"/>
        </w:rPr>
        <w:t>质保期期限：自采购人与供应商双方验收合格签字之日起计算保修期，设备的保修期不低于3年（36个月）,低于3年为无效响应；设备在质量保证期内出现故障卖方免费为采购人服务。</w:t>
      </w:r>
    </w:p>
    <w:p>
      <w:pPr>
        <w:widowControl/>
        <w:jc w:val="left"/>
        <w:rPr>
          <w:rFonts w:hAnsi="宋体"/>
          <w:b/>
          <w:sz w:val="28"/>
          <w:szCs w:val="28"/>
          <w:highlight w:val="none"/>
        </w:rPr>
      </w:pPr>
      <w:r>
        <w:rPr>
          <w:rFonts w:hint="eastAsia" w:hAnsi="宋体"/>
          <w:b/>
          <w:sz w:val="28"/>
          <w:szCs w:val="28"/>
          <w:highlight w:val="none"/>
        </w:rPr>
        <w:t>2、本次项目安装已包含所有施工及辅材费用，请各投标人按招标清单内容谨慎报价，如果产生其他费用，由投标人自行承担。</w:t>
      </w:r>
    </w:p>
    <w:p>
      <w:pPr>
        <w:widowControl/>
        <w:jc w:val="left"/>
        <w:rPr>
          <w:rFonts w:hAnsi="宋体"/>
          <w:b/>
          <w:sz w:val="28"/>
          <w:szCs w:val="28"/>
          <w:highlight w:val="none"/>
        </w:rPr>
      </w:pPr>
    </w:p>
    <w:p>
      <w:pPr>
        <w:pStyle w:val="2"/>
        <w:rPr>
          <w:sz w:val="28"/>
          <w:szCs w:val="28"/>
          <w:highlight w:val="none"/>
          <w:lang w:val="zh-CN"/>
        </w:rPr>
      </w:pPr>
      <w:r>
        <w:rPr>
          <w:rFonts w:hint="eastAsia" w:ascii="宋体" w:eastAsia="宋体"/>
          <w:bCs/>
          <w:sz w:val="28"/>
          <w:szCs w:val="28"/>
          <w:highlight w:val="none"/>
        </w:rPr>
        <w:t>（本部分内容由南京信息工程大学</w:t>
      </w:r>
      <w:r>
        <w:rPr>
          <w:rFonts w:hint="default" w:ascii="宋体" w:eastAsia="宋体"/>
          <w:bCs/>
          <w:sz w:val="28"/>
          <w:szCs w:val="28"/>
          <w:highlight w:val="none"/>
          <w:lang w:val="en-US"/>
        </w:rPr>
        <w:t>实验室与设备管理</w:t>
      </w:r>
      <w:r>
        <w:rPr>
          <w:rFonts w:hint="eastAsia" w:ascii="宋体" w:eastAsia="宋体"/>
          <w:bCs/>
          <w:sz w:val="28"/>
          <w:szCs w:val="28"/>
          <w:highlight w:val="none"/>
        </w:rPr>
        <w:t>处提供并负责）</w:t>
      </w:r>
    </w:p>
    <w:p>
      <w:pPr>
        <w:widowControl/>
        <w:jc w:val="left"/>
        <w:rPr>
          <w:rFonts w:hAnsi="宋体"/>
          <w:b/>
          <w:sz w:val="28"/>
          <w:szCs w:val="28"/>
          <w:highlight w:val="none"/>
        </w:rPr>
      </w:pPr>
    </w:p>
    <w:p>
      <w:pPr>
        <w:widowControl/>
        <w:jc w:val="left"/>
        <w:rPr>
          <w:rFonts w:hAnsi="宋体"/>
          <w:b/>
          <w:sz w:val="28"/>
          <w:szCs w:val="28"/>
          <w:highlight w:val="none"/>
        </w:rPr>
      </w:pPr>
    </w:p>
    <w:p>
      <w:pPr>
        <w:widowControl/>
        <w:jc w:val="left"/>
        <w:rPr>
          <w:rFonts w:hAnsi="宋体"/>
          <w:b/>
          <w:sz w:val="28"/>
          <w:szCs w:val="28"/>
          <w:highlight w:val="none"/>
        </w:rPr>
      </w:pPr>
    </w:p>
    <w:p>
      <w:pPr>
        <w:widowControl/>
        <w:jc w:val="left"/>
        <w:rPr>
          <w:rFonts w:hAnsi="宋体"/>
          <w:b/>
          <w:sz w:val="28"/>
          <w:szCs w:val="28"/>
          <w:highlight w:val="none"/>
        </w:rPr>
      </w:pPr>
    </w:p>
    <w:p>
      <w:pPr>
        <w:widowControl/>
        <w:jc w:val="left"/>
        <w:rPr>
          <w:rFonts w:hAnsi="宋体"/>
          <w:b/>
          <w:sz w:val="28"/>
          <w:szCs w:val="28"/>
          <w:highlight w:val="none"/>
        </w:rPr>
      </w:pPr>
    </w:p>
    <w:p>
      <w:pPr>
        <w:widowControl/>
        <w:jc w:val="left"/>
        <w:rPr>
          <w:rFonts w:hAnsi="宋体"/>
          <w:b/>
          <w:sz w:val="28"/>
          <w:szCs w:val="28"/>
          <w:highlight w:val="none"/>
        </w:rPr>
      </w:pPr>
    </w:p>
    <w:p>
      <w:pPr>
        <w:widowControl/>
        <w:jc w:val="left"/>
        <w:rPr>
          <w:rFonts w:hAnsi="宋体"/>
          <w:b/>
          <w:sz w:val="28"/>
          <w:szCs w:val="28"/>
          <w:highlight w:val="none"/>
        </w:rPr>
      </w:pPr>
    </w:p>
    <w:p>
      <w:pPr>
        <w:widowControl/>
        <w:jc w:val="left"/>
        <w:rPr>
          <w:rFonts w:hAnsi="宋体"/>
          <w:b/>
          <w:sz w:val="28"/>
          <w:szCs w:val="28"/>
          <w:highlight w:val="none"/>
        </w:rPr>
      </w:pPr>
    </w:p>
    <w:p>
      <w:pPr>
        <w:widowControl/>
        <w:jc w:val="left"/>
        <w:rPr>
          <w:rFonts w:hAnsi="宋体"/>
          <w:b/>
          <w:sz w:val="28"/>
          <w:szCs w:val="28"/>
          <w:highlight w:val="none"/>
        </w:rPr>
      </w:pPr>
    </w:p>
    <w:p>
      <w:pPr>
        <w:widowControl/>
        <w:jc w:val="left"/>
        <w:rPr>
          <w:rFonts w:hAnsi="宋体"/>
          <w:b/>
          <w:sz w:val="28"/>
          <w:szCs w:val="28"/>
          <w:highlight w:val="none"/>
        </w:rPr>
      </w:pPr>
    </w:p>
    <w:p>
      <w:pPr>
        <w:widowControl/>
        <w:jc w:val="left"/>
        <w:rPr>
          <w:rFonts w:hAnsi="宋体"/>
          <w:b/>
          <w:sz w:val="28"/>
          <w:szCs w:val="28"/>
          <w:highlight w:val="none"/>
        </w:rPr>
      </w:pPr>
    </w:p>
    <w:p>
      <w:pPr>
        <w:widowControl/>
        <w:jc w:val="left"/>
        <w:rPr>
          <w:rFonts w:hAnsi="宋体"/>
          <w:b/>
          <w:sz w:val="36"/>
          <w:szCs w:val="36"/>
          <w:highlight w:val="none"/>
        </w:rPr>
      </w:pPr>
      <w:r>
        <w:rPr>
          <w:rFonts w:hint="eastAsia" w:hAnsi="宋体"/>
          <w:b/>
          <w:sz w:val="28"/>
          <w:szCs w:val="28"/>
          <w:highlight w:val="none"/>
        </w:rPr>
        <w:t>附件</w:t>
      </w:r>
      <w:r>
        <w:rPr>
          <w:rFonts w:hAnsi="宋体"/>
          <w:b/>
          <w:sz w:val="28"/>
          <w:szCs w:val="28"/>
          <w:highlight w:val="none"/>
        </w:rPr>
        <w:t>2</w:t>
      </w:r>
      <w:r>
        <w:rPr>
          <w:rFonts w:hint="eastAsia" w:hAnsi="宋体"/>
          <w:b/>
          <w:sz w:val="28"/>
          <w:szCs w:val="28"/>
          <w:highlight w:val="none"/>
        </w:rPr>
        <w:t>：</w:t>
      </w:r>
    </w:p>
    <w:p>
      <w:pPr>
        <w:tabs>
          <w:tab w:val="left" w:pos="3270"/>
        </w:tabs>
        <w:autoSpaceDE w:val="0"/>
        <w:autoSpaceDN w:val="0"/>
        <w:adjustRightInd w:val="0"/>
        <w:spacing w:line="360" w:lineRule="exact"/>
        <w:rPr>
          <w:rFonts w:ascii="宋体" w:hAnsi="宋体"/>
          <w:b/>
          <w:sz w:val="24"/>
          <w:highlight w:val="none"/>
          <w:lang w:val="zh-CN"/>
        </w:rPr>
      </w:pPr>
      <w:bookmarkStart w:id="8" w:name="_Hlk9862420"/>
    </w:p>
    <w:p>
      <w:pPr>
        <w:autoSpaceDE w:val="0"/>
        <w:autoSpaceDN w:val="0"/>
        <w:adjustRightInd w:val="0"/>
        <w:spacing w:line="360" w:lineRule="exact"/>
        <w:ind w:firstLine="723" w:firstLineChars="200"/>
        <w:jc w:val="center"/>
        <w:rPr>
          <w:rFonts w:ascii="宋体" w:hAnsi="宋体"/>
          <w:b/>
          <w:sz w:val="36"/>
          <w:szCs w:val="36"/>
          <w:highlight w:val="none"/>
          <w:lang w:val="zh-CN"/>
        </w:rPr>
      </w:pPr>
      <w:r>
        <w:rPr>
          <w:rFonts w:hint="eastAsia" w:ascii="宋体" w:hAnsi="宋体"/>
          <w:b/>
          <w:sz w:val="36"/>
          <w:szCs w:val="36"/>
          <w:highlight w:val="none"/>
          <w:lang w:val="zh-CN"/>
        </w:rPr>
        <w:t>投标函</w:t>
      </w:r>
    </w:p>
    <w:p>
      <w:pPr>
        <w:autoSpaceDE w:val="0"/>
        <w:autoSpaceDN w:val="0"/>
        <w:adjustRightInd w:val="0"/>
        <w:spacing w:line="300" w:lineRule="auto"/>
        <w:rPr>
          <w:rFonts w:ascii="宋体" w:hAnsi="宋体"/>
          <w:sz w:val="24"/>
          <w:highlight w:val="none"/>
          <w:lang w:val="zh-CN"/>
        </w:rPr>
      </w:pPr>
      <w:r>
        <w:rPr>
          <w:rFonts w:hint="eastAsia" w:ascii="宋体" w:hAnsi="宋体"/>
          <w:sz w:val="24"/>
          <w:highlight w:val="none"/>
          <w:lang w:val="zh-CN"/>
        </w:rPr>
        <w:t>致：南京信息工程大学</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根据贵方（项目名称）（项目编号）投标邀请，正式授权下述签字人</w:t>
      </w:r>
      <w:r>
        <w:rPr>
          <w:rFonts w:ascii="宋体" w:hAnsi="宋体"/>
          <w:sz w:val="24"/>
          <w:highlight w:val="none"/>
          <w:lang w:val="zh-CN"/>
        </w:rPr>
        <w:t>(</w:t>
      </w:r>
      <w:r>
        <w:rPr>
          <w:rFonts w:hint="eastAsia" w:ascii="宋体" w:hAnsi="宋体"/>
          <w:sz w:val="24"/>
          <w:highlight w:val="none"/>
          <w:lang w:val="zh-CN"/>
        </w:rPr>
        <w:t>姓名和职务</w:t>
      </w:r>
      <w:r>
        <w:rPr>
          <w:rFonts w:ascii="宋体" w:hAnsi="宋体"/>
          <w:sz w:val="24"/>
          <w:highlight w:val="none"/>
          <w:lang w:val="zh-CN"/>
        </w:rPr>
        <w:t>)</w:t>
      </w:r>
      <w:r>
        <w:rPr>
          <w:rFonts w:hint="eastAsia" w:ascii="宋体" w:hAnsi="宋体"/>
          <w:sz w:val="24"/>
          <w:highlight w:val="none"/>
          <w:lang w:val="zh-CN"/>
        </w:rPr>
        <w:t>代表投标人 （投标人名称），提交投标文件。</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据此函，签字人兹宣布声明和承诺如下：</w:t>
      </w:r>
    </w:p>
    <w:p>
      <w:pPr>
        <w:autoSpaceDE w:val="0"/>
        <w:autoSpaceDN w:val="0"/>
        <w:adjustRightInd w:val="0"/>
        <w:spacing w:line="300" w:lineRule="auto"/>
        <w:ind w:firstLine="480" w:firstLineChars="200"/>
        <w:rPr>
          <w:rFonts w:ascii="宋体" w:hAnsi="宋体"/>
          <w:sz w:val="24"/>
          <w:highlight w:val="none"/>
        </w:rPr>
      </w:pPr>
      <w:r>
        <w:rPr>
          <w:rFonts w:ascii="宋体" w:hAnsi="宋体"/>
          <w:sz w:val="24"/>
          <w:highlight w:val="none"/>
          <w:lang w:val="zh-CN"/>
        </w:rPr>
        <w:t>1</w:t>
      </w:r>
      <w:r>
        <w:rPr>
          <w:rFonts w:hint="eastAsia" w:ascii="宋体" w:hAnsi="宋体"/>
          <w:sz w:val="24"/>
          <w:highlight w:val="none"/>
          <w:lang w:val="zh-CN"/>
        </w:rPr>
        <w:t>、</w:t>
      </w:r>
      <w:r>
        <w:rPr>
          <w:rFonts w:hint="eastAsia" w:ascii="宋体" w:hAnsi="宋体"/>
          <w:b/>
          <w:sz w:val="24"/>
          <w:highlight w:val="none"/>
          <w:lang w:val="zh-CN"/>
        </w:rPr>
        <w:t>我们的资格条件完全符合政府采购法和本次招标要求</w:t>
      </w:r>
      <w:r>
        <w:rPr>
          <w:rFonts w:hint="eastAsia" w:ascii="宋体" w:hAnsi="宋体"/>
          <w:sz w:val="24"/>
          <w:highlight w:val="none"/>
          <w:lang w:val="zh-CN"/>
        </w:rPr>
        <w:t>，</w:t>
      </w:r>
      <w:r>
        <w:rPr>
          <w:rFonts w:hint="eastAsia" w:ascii="宋体" w:hAnsi="宋体"/>
          <w:sz w:val="24"/>
          <w:highlight w:val="none"/>
        </w:rPr>
        <w:t>我们</w:t>
      </w:r>
      <w:r>
        <w:rPr>
          <w:rFonts w:hint="eastAsia" w:ascii="宋体" w:hAnsi="宋体"/>
          <w:sz w:val="24"/>
          <w:highlight w:val="none"/>
          <w:lang w:val="zh-CN"/>
        </w:rPr>
        <w:t>同意并向贵方提供了与投标有关的所有证据和资料。</w:t>
      </w:r>
    </w:p>
    <w:p>
      <w:pPr>
        <w:autoSpaceDE w:val="0"/>
        <w:autoSpaceDN w:val="0"/>
        <w:adjustRightInd w:val="0"/>
        <w:spacing w:line="300" w:lineRule="auto"/>
        <w:ind w:firstLine="480" w:firstLineChars="200"/>
        <w:rPr>
          <w:rFonts w:ascii="宋体" w:hAnsi="宋体"/>
          <w:sz w:val="24"/>
          <w:highlight w:val="none"/>
          <w:lang w:val="zh-CN"/>
        </w:rPr>
      </w:pPr>
      <w:r>
        <w:rPr>
          <w:rFonts w:ascii="宋体" w:hAnsi="宋体"/>
          <w:sz w:val="24"/>
          <w:highlight w:val="none"/>
        </w:rPr>
        <w:t>2</w:t>
      </w:r>
      <w:r>
        <w:rPr>
          <w:rFonts w:hint="eastAsia" w:ascii="宋体" w:hAnsi="宋体"/>
          <w:sz w:val="24"/>
          <w:highlight w:val="none"/>
        </w:rPr>
        <w:t>、</w:t>
      </w:r>
      <w:r>
        <w:rPr>
          <w:rFonts w:hint="eastAsia" w:ascii="宋体" w:hAnsi="宋体"/>
          <w:sz w:val="24"/>
          <w:highlight w:val="none"/>
          <w:lang w:val="zh-CN"/>
        </w:rPr>
        <w:t>按招标要求，我们的投标总报价为人民币大写</w:t>
      </w:r>
      <w:r>
        <w:rPr>
          <w:rFonts w:hint="eastAsia" w:ascii="宋体" w:hAnsi="宋体"/>
          <w:sz w:val="24"/>
          <w:highlight w:val="none"/>
          <w:u w:val="single"/>
          <w:lang w:val="zh-CN"/>
        </w:rPr>
        <w:t xml:space="preserve">                        ，</w:t>
      </w:r>
      <w:r>
        <w:rPr>
          <w:rFonts w:hint="eastAsia" w:ascii="宋体" w:hAnsi="宋体"/>
          <w:sz w:val="24"/>
          <w:highlight w:val="none"/>
          <w:lang w:val="zh-CN"/>
        </w:rPr>
        <w:t>小写：</w:t>
      </w:r>
      <w:r>
        <w:rPr>
          <w:rFonts w:hint="eastAsia" w:ascii="宋体" w:hAnsi="宋体"/>
          <w:sz w:val="24"/>
          <w:highlight w:val="none"/>
          <w:u w:val="single"/>
          <w:lang w:val="zh-CN"/>
        </w:rPr>
        <w:t>￥         。</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3、项目负责人</w:t>
      </w:r>
      <w:r>
        <w:rPr>
          <w:rFonts w:ascii="宋体" w:hAnsi="宋体"/>
          <w:sz w:val="24"/>
          <w:highlight w:val="none"/>
          <w:lang w:val="zh-CN"/>
        </w:rPr>
        <w:t>(</w:t>
      </w:r>
      <w:r>
        <w:rPr>
          <w:rFonts w:hint="eastAsia" w:ascii="宋体" w:hAnsi="宋体"/>
          <w:sz w:val="24"/>
          <w:highlight w:val="none"/>
          <w:lang w:val="zh-CN"/>
        </w:rPr>
        <w:t>姓名</w:t>
      </w:r>
      <w:r>
        <w:rPr>
          <w:rFonts w:ascii="宋体" w:hAnsi="宋体"/>
          <w:sz w:val="24"/>
          <w:highlight w:val="none"/>
          <w:lang w:val="zh-CN"/>
        </w:rPr>
        <w:t>)</w:t>
      </w:r>
      <w:r>
        <w:rPr>
          <w:rFonts w:hint="eastAsia" w:ascii="宋体" w:hAnsi="宋体"/>
          <w:sz w:val="24"/>
          <w:highlight w:val="none"/>
          <w:lang w:val="zh-CN"/>
        </w:rPr>
        <w:t>，身份证号。</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4、我们已详细审核全部招标文件及其有效补充文件，我们放弃对招标文件任何误解的权利，提交投标文件后，</w:t>
      </w:r>
      <w:r>
        <w:rPr>
          <w:rFonts w:hint="eastAsia" w:ascii="宋体" w:hAnsi="宋体"/>
          <w:b/>
          <w:sz w:val="24"/>
          <w:highlight w:val="none"/>
          <w:lang w:val="zh-CN"/>
        </w:rPr>
        <w:t>不对招标文件本身提出质疑</w:t>
      </w:r>
      <w:r>
        <w:rPr>
          <w:rFonts w:hint="eastAsia" w:ascii="宋体" w:hAnsi="宋体"/>
          <w:sz w:val="24"/>
          <w:highlight w:val="none"/>
          <w:lang w:val="zh-CN"/>
        </w:rPr>
        <w:t>。否则，属于不诚信和故意扰乱政府采购活动行为，我们将无条件接受处罚。</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5、我们同意从规定的开标日期起遵循本投标文件，并在规定的投标有效期期满之前均具有约束力。</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6、一旦我方中标，我方将根据招标文件的规定严格履行合同，并保证于承诺的时间完成服务的启动</w:t>
      </w:r>
      <w:r>
        <w:rPr>
          <w:rFonts w:ascii="宋体" w:hAnsi="宋体"/>
          <w:sz w:val="24"/>
          <w:highlight w:val="none"/>
          <w:lang w:val="zh-CN"/>
        </w:rPr>
        <w:t>/</w:t>
      </w:r>
      <w:r>
        <w:rPr>
          <w:rFonts w:hint="eastAsia" w:ascii="宋体" w:hAnsi="宋体"/>
          <w:sz w:val="24"/>
          <w:highlight w:val="none"/>
          <w:lang w:val="zh-CN"/>
        </w:rPr>
        <w:t>集成、调试等服务，交付采购人验收、使用。</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7、我方决不提供虚假材料谋取中标、决不采取不正当手段诋毁、排挤其他投标人、决不与采购人、其它投标人或者采购人恶意串通、决不向采购人、采购人工作人员和评委进行商业贿赂、决不在采购过程中与采购人进行协商谈判、决不拒绝有关部门监督检查或提供虚假情况，如有违反，无条件接受贵方及相关管理部门的处罚。</w:t>
      </w:r>
    </w:p>
    <w:p>
      <w:pPr>
        <w:autoSpaceDE w:val="0"/>
        <w:autoSpaceDN w:val="0"/>
        <w:adjustRightInd w:val="0"/>
        <w:spacing w:line="300" w:lineRule="auto"/>
        <w:ind w:firstLine="480" w:firstLineChars="200"/>
        <w:rPr>
          <w:rFonts w:ascii="宋体" w:hAnsi="宋体"/>
          <w:sz w:val="24"/>
          <w:highlight w:val="none"/>
          <w:lang w:val="zh-CN"/>
        </w:rPr>
      </w:pPr>
      <w:r>
        <w:rPr>
          <w:rFonts w:ascii="宋体" w:hAnsi="宋体"/>
          <w:sz w:val="24"/>
          <w:highlight w:val="none"/>
          <w:lang w:val="zh-CN"/>
        </w:rPr>
        <w:t>8</w:t>
      </w:r>
      <w:r>
        <w:rPr>
          <w:rFonts w:hint="eastAsia" w:ascii="宋体" w:hAnsi="宋体"/>
          <w:sz w:val="24"/>
          <w:highlight w:val="none"/>
          <w:lang w:val="zh-CN"/>
        </w:rPr>
        <w:t>、与本投标有关的正式联系方式为：</w:t>
      </w:r>
    </w:p>
    <w:p>
      <w:pPr>
        <w:autoSpaceDE w:val="0"/>
        <w:autoSpaceDN w:val="0"/>
        <w:adjustRightInd w:val="0"/>
        <w:spacing w:line="300" w:lineRule="auto"/>
        <w:ind w:firstLine="480" w:firstLineChars="200"/>
        <w:rPr>
          <w:rFonts w:ascii="宋体" w:hAnsi="宋体"/>
          <w:sz w:val="24"/>
          <w:highlight w:val="none"/>
          <w:u w:val="single"/>
          <w:lang w:val="zh-CN"/>
        </w:rPr>
      </w:pPr>
      <w:r>
        <w:rPr>
          <w:rFonts w:hint="eastAsia" w:ascii="宋体" w:hAnsi="宋体"/>
          <w:sz w:val="24"/>
          <w:highlight w:val="none"/>
          <w:lang w:val="zh-CN"/>
        </w:rPr>
        <w:t>地址：</w:t>
      </w:r>
    </w:p>
    <w:p>
      <w:pPr>
        <w:autoSpaceDE w:val="0"/>
        <w:autoSpaceDN w:val="0"/>
        <w:adjustRightInd w:val="0"/>
        <w:spacing w:line="300" w:lineRule="auto"/>
        <w:ind w:firstLine="480" w:firstLineChars="200"/>
        <w:rPr>
          <w:rFonts w:ascii="宋体" w:hAnsi="宋体"/>
          <w:sz w:val="24"/>
          <w:highlight w:val="none"/>
          <w:u w:val="single"/>
          <w:lang w:val="zh-CN"/>
        </w:rPr>
      </w:pPr>
      <w:r>
        <w:rPr>
          <w:rFonts w:hint="eastAsia" w:ascii="宋体" w:hAnsi="宋体"/>
          <w:sz w:val="24"/>
          <w:highlight w:val="none"/>
          <w:lang w:val="zh-CN"/>
        </w:rPr>
        <w:t>电话：</w:t>
      </w:r>
    </w:p>
    <w:p>
      <w:pPr>
        <w:autoSpaceDE w:val="0"/>
        <w:autoSpaceDN w:val="0"/>
        <w:adjustRightInd w:val="0"/>
        <w:spacing w:line="300" w:lineRule="auto"/>
        <w:ind w:firstLine="480" w:firstLineChars="200"/>
        <w:rPr>
          <w:rFonts w:ascii="宋体" w:hAnsi="宋体"/>
          <w:sz w:val="24"/>
          <w:highlight w:val="none"/>
          <w:u w:val="single"/>
          <w:lang w:val="zh-CN"/>
        </w:rPr>
      </w:pPr>
      <w:r>
        <w:rPr>
          <w:rFonts w:hint="eastAsia" w:ascii="宋体" w:hAnsi="宋体"/>
          <w:sz w:val="24"/>
          <w:highlight w:val="none"/>
          <w:lang w:val="zh-CN"/>
        </w:rPr>
        <w:t>传真：</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开户银行：</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银行账号：</w:t>
      </w:r>
    </w:p>
    <w:p>
      <w:pPr>
        <w:autoSpaceDE w:val="0"/>
        <w:autoSpaceDN w:val="0"/>
        <w:adjustRightInd w:val="0"/>
        <w:spacing w:line="300" w:lineRule="auto"/>
        <w:ind w:firstLine="480" w:firstLineChars="200"/>
        <w:rPr>
          <w:rFonts w:ascii="宋体" w:hAnsi="宋体"/>
          <w:sz w:val="24"/>
          <w:highlight w:val="none"/>
          <w:u w:val="single"/>
          <w:lang w:val="zh-CN"/>
        </w:rPr>
      </w:pPr>
      <w:r>
        <w:rPr>
          <w:rFonts w:hint="eastAsia" w:ascii="宋体" w:hAnsi="宋体"/>
          <w:sz w:val="24"/>
          <w:highlight w:val="none"/>
          <w:lang w:val="zh-CN"/>
        </w:rPr>
        <w:t>投标人法定代表人姓名（签字）：</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投标人名称：（盖章）</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日期：     年   月    日</w:t>
      </w:r>
    </w:p>
    <w:p>
      <w:pPr>
        <w:spacing w:line="360" w:lineRule="auto"/>
        <w:rPr>
          <w:rFonts w:ascii="宋体"/>
          <w:b/>
          <w:sz w:val="28"/>
          <w:szCs w:val="28"/>
          <w:highlight w:val="none"/>
        </w:rPr>
      </w:pPr>
      <w:r>
        <w:rPr>
          <w:rFonts w:ascii="宋体" w:hAnsi="宋体"/>
          <w:b/>
          <w:sz w:val="28"/>
          <w:szCs w:val="28"/>
          <w:highlight w:val="none"/>
        </w:rPr>
        <w:br w:type="page"/>
      </w:r>
      <w:r>
        <w:rPr>
          <w:rFonts w:hint="eastAsia" w:ascii="宋体" w:hAnsi="宋体"/>
          <w:b/>
          <w:sz w:val="28"/>
          <w:szCs w:val="28"/>
          <w:highlight w:val="none"/>
        </w:rPr>
        <w:t>附件</w:t>
      </w:r>
      <w:r>
        <w:rPr>
          <w:rFonts w:ascii="宋体" w:hAnsi="宋体"/>
          <w:b/>
          <w:sz w:val="28"/>
          <w:szCs w:val="28"/>
          <w:highlight w:val="none"/>
        </w:rPr>
        <w:t>3</w:t>
      </w:r>
      <w:r>
        <w:rPr>
          <w:rFonts w:hint="eastAsia" w:ascii="宋体" w:hAnsi="宋体"/>
          <w:b/>
          <w:sz w:val="28"/>
          <w:szCs w:val="28"/>
          <w:highlight w:val="none"/>
        </w:rPr>
        <w:t>：</w:t>
      </w:r>
    </w:p>
    <w:p>
      <w:pPr>
        <w:spacing w:line="360" w:lineRule="auto"/>
        <w:jc w:val="center"/>
        <w:rPr>
          <w:rFonts w:ascii="宋体"/>
          <w:sz w:val="44"/>
          <w:szCs w:val="44"/>
          <w:highlight w:val="none"/>
        </w:rPr>
      </w:pPr>
      <w:r>
        <w:rPr>
          <w:rFonts w:hint="eastAsia" w:ascii="宋体" w:hAnsi="宋体"/>
          <w:sz w:val="44"/>
          <w:szCs w:val="44"/>
          <w:highlight w:val="none"/>
        </w:rPr>
        <w:t>投标项目报价明细表</w:t>
      </w:r>
    </w:p>
    <w:p>
      <w:pPr>
        <w:spacing w:line="360" w:lineRule="auto"/>
        <w:rPr>
          <w:rFonts w:ascii="宋体"/>
          <w:sz w:val="28"/>
          <w:szCs w:val="28"/>
          <w:highlight w:val="none"/>
          <w:u w:val="single"/>
        </w:rPr>
      </w:pPr>
      <w:r>
        <w:rPr>
          <w:rFonts w:hint="eastAsia" w:ascii="宋体" w:hAnsi="宋体"/>
          <w:sz w:val="28"/>
          <w:szCs w:val="28"/>
          <w:highlight w:val="none"/>
        </w:rPr>
        <w:t>投标人</w:t>
      </w:r>
    </w:p>
    <w:p>
      <w:pPr>
        <w:spacing w:line="360" w:lineRule="auto"/>
        <w:rPr>
          <w:rFonts w:ascii="宋体"/>
          <w:sz w:val="28"/>
          <w:szCs w:val="28"/>
          <w:highlight w:val="none"/>
          <w:u w:val="single"/>
        </w:rPr>
      </w:pPr>
      <w:r>
        <w:rPr>
          <w:rFonts w:hint="eastAsia" w:ascii="宋体" w:hAnsi="宋体"/>
          <w:sz w:val="28"/>
          <w:szCs w:val="28"/>
          <w:highlight w:val="none"/>
        </w:rPr>
        <w:t>招标编号及分包号</w:t>
      </w:r>
    </w:p>
    <w:p>
      <w:pPr>
        <w:spacing w:line="360" w:lineRule="auto"/>
        <w:rPr>
          <w:rFonts w:ascii="宋体"/>
          <w:sz w:val="28"/>
          <w:szCs w:val="28"/>
          <w:highlight w:val="none"/>
          <w:u w:val="single"/>
        </w:rPr>
      </w:pPr>
      <w:r>
        <w:rPr>
          <w:rFonts w:hint="eastAsia" w:ascii="宋体" w:hAnsi="宋体"/>
          <w:sz w:val="28"/>
          <w:szCs w:val="28"/>
          <w:highlight w:val="none"/>
        </w:rPr>
        <w:t>投标报价</w:t>
      </w:r>
    </w:p>
    <w:tbl>
      <w:tblPr>
        <w:tblStyle w:val="19"/>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065"/>
        <w:gridCol w:w="1065"/>
        <w:gridCol w:w="1065"/>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rPr>
                <w:rFonts w:ascii="宋体"/>
                <w:b/>
                <w:sz w:val="28"/>
                <w:szCs w:val="28"/>
                <w:highlight w:val="none"/>
              </w:rPr>
            </w:pPr>
            <w:r>
              <w:rPr>
                <w:rFonts w:hint="eastAsia" w:ascii="宋体" w:hAnsi="宋体"/>
                <w:b/>
                <w:sz w:val="28"/>
                <w:szCs w:val="28"/>
                <w:highlight w:val="none"/>
              </w:rPr>
              <w:t>分包号</w:t>
            </w:r>
          </w:p>
        </w:tc>
        <w:tc>
          <w:tcPr>
            <w:tcW w:w="1065" w:type="dxa"/>
            <w:vAlign w:val="center"/>
          </w:tcPr>
          <w:p>
            <w:pPr>
              <w:spacing w:line="360" w:lineRule="auto"/>
              <w:jc w:val="center"/>
              <w:rPr>
                <w:rFonts w:ascii="宋体" w:hAnsi="宋体"/>
                <w:b/>
                <w:sz w:val="28"/>
                <w:szCs w:val="28"/>
                <w:highlight w:val="none"/>
              </w:rPr>
            </w:pPr>
            <w:r>
              <w:rPr>
                <w:rFonts w:hint="eastAsia" w:ascii="宋体" w:hAnsi="宋体"/>
                <w:b/>
                <w:sz w:val="28"/>
                <w:szCs w:val="28"/>
                <w:highlight w:val="none"/>
              </w:rPr>
              <w:t>品牌</w:t>
            </w:r>
          </w:p>
        </w:tc>
        <w:tc>
          <w:tcPr>
            <w:tcW w:w="1065"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货物</w:t>
            </w:r>
          </w:p>
          <w:p>
            <w:pPr>
              <w:spacing w:line="360" w:lineRule="auto"/>
              <w:jc w:val="center"/>
              <w:rPr>
                <w:rFonts w:ascii="宋体"/>
                <w:b/>
                <w:sz w:val="28"/>
                <w:szCs w:val="28"/>
                <w:highlight w:val="none"/>
              </w:rPr>
            </w:pPr>
            <w:r>
              <w:rPr>
                <w:rFonts w:hint="eastAsia" w:ascii="宋体" w:hAnsi="宋体"/>
                <w:b/>
                <w:sz w:val="28"/>
                <w:szCs w:val="28"/>
                <w:highlight w:val="none"/>
              </w:rPr>
              <w:t>名称</w:t>
            </w:r>
          </w:p>
        </w:tc>
        <w:tc>
          <w:tcPr>
            <w:tcW w:w="1065"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货物</w:t>
            </w:r>
          </w:p>
          <w:p>
            <w:pPr>
              <w:spacing w:line="360" w:lineRule="auto"/>
              <w:jc w:val="center"/>
              <w:rPr>
                <w:rFonts w:ascii="宋体"/>
                <w:b/>
                <w:sz w:val="28"/>
                <w:szCs w:val="28"/>
                <w:highlight w:val="none"/>
              </w:rPr>
            </w:pPr>
            <w:r>
              <w:rPr>
                <w:rFonts w:hint="eastAsia" w:ascii="宋体" w:hAnsi="宋体"/>
                <w:b/>
                <w:sz w:val="28"/>
                <w:szCs w:val="28"/>
                <w:highlight w:val="none"/>
              </w:rPr>
              <w:t>描述</w:t>
            </w:r>
          </w:p>
        </w:tc>
        <w:tc>
          <w:tcPr>
            <w:tcW w:w="1065"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计量</w:t>
            </w:r>
          </w:p>
          <w:p>
            <w:pPr>
              <w:spacing w:line="360" w:lineRule="auto"/>
              <w:jc w:val="center"/>
              <w:rPr>
                <w:rFonts w:ascii="宋体"/>
                <w:b/>
                <w:sz w:val="28"/>
                <w:szCs w:val="28"/>
                <w:highlight w:val="none"/>
              </w:rPr>
            </w:pPr>
            <w:r>
              <w:rPr>
                <w:rFonts w:hint="eastAsia" w:ascii="宋体" w:hAnsi="宋体"/>
                <w:b/>
                <w:sz w:val="28"/>
                <w:szCs w:val="28"/>
                <w:highlight w:val="none"/>
              </w:rPr>
              <w:t>单位</w:t>
            </w:r>
          </w:p>
        </w:tc>
        <w:tc>
          <w:tcPr>
            <w:tcW w:w="1065"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数量</w:t>
            </w:r>
          </w:p>
        </w:tc>
        <w:tc>
          <w:tcPr>
            <w:tcW w:w="1065"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单价</w:t>
            </w:r>
          </w:p>
        </w:tc>
        <w:tc>
          <w:tcPr>
            <w:tcW w:w="1066"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每项</w:t>
            </w:r>
          </w:p>
          <w:p>
            <w:pPr>
              <w:spacing w:line="360" w:lineRule="auto"/>
              <w:jc w:val="center"/>
              <w:rPr>
                <w:rFonts w:ascii="宋体"/>
                <w:b/>
                <w:sz w:val="28"/>
                <w:szCs w:val="28"/>
                <w:highlight w:val="none"/>
              </w:rPr>
            </w:pPr>
            <w:r>
              <w:rPr>
                <w:rFonts w:hint="eastAsia" w:ascii="宋体" w:hAnsi="宋体"/>
                <w:b/>
                <w:sz w:val="28"/>
                <w:szCs w:val="28"/>
                <w:highlight w:val="none"/>
              </w:rPr>
              <w:t>总价</w:t>
            </w:r>
          </w:p>
        </w:tc>
        <w:tc>
          <w:tcPr>
            <w:tcW w:w="1066" w:type="dxa"/>
          </w:tcPr>
          <w:p>
            <w:pPr>
              <w:spacing w:line="360" w:lineRule="auto"/>
              <w:jc w:val="center"/>
              <w:rPr>
                <w:rFonts w:ascii="宋体"/>
                <w:b/>
                <w:sz w:val="28"/>
                <w:szCs w:val="28"/>
                <w:highlight w:val="none"/>
              </w:rPr>
            </w:pPr>
            <w:r>
              <w:rPr>
                <w:rFonts w:hint="eastAsia" w:ascii="宋体" w:hAnsi="宋体"/>
                <w:b/>
                <w:sz w:val="28"/>
                <w:szCs w:val="28"/>
                <w:highlight w:val="none"/>
              </w:rPr>
              <w:t>质保</w:t>
            </w:r>
          </w:p>
          <w:p>
            <w:pPr>
              <w:spacing w:line="360" w:lineRule="auto"/>
              <w:jc w:val="center"/>
              <w:rPr>
                <w:rFonts w:ascii="宋体"/>
                <w:b/>
                <w:sz w:val="28"/>
                <w:szCs w:val="28"/>
                <w:highlight w:val="none"/>
              </w:rPr>
            </w:pPr>
            <w:r>
              <w:rPr>
                <w:rFonts w:hint="eastAsia" w:ascii="宋体" w:hAnsi="宋体"/>
                <w:b/>
                <w:sz w:val="28"/>
                <w:szCs w:val="28"/>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Pr>
          <w:p>
            <w:pPr>
              <w:spacing w:line="360" w:lineRule="auto"/>
              <w:jc w:val="center"/>
              <w:rPr>
                <w:rFonts w:ascii="宋体" w:hAnsi="宋体"/>
                <w:sz w:val="28"/>
                <w:szCs w:val="28"/>
                <w:highlight w:val="none"/>
              </w:rPr>
            </w:pPr>
          </w:p>
        </w:tc>
        <w:tc>
          <w:tcPr>
            <w:tcW w:w="2130" w:type="dxa"/>
            <w:gridSpan w:val="2"/>
            <w:vAlign w:val="center"/>
          </w:tcPr>
          <w:p>
            <w:pPr>
              <w:spacing w:line="360" w:lineRule="auto"/>
              <w:jc w:val="center"/>
              <w:rPr>
                <w:rFonts w:ascii="宋体"/>
                <w:sz w:val="28"/>
                <w:szCs w:val="28"/>
                <w:highlight w:val="none"/>
              </w:rPr>
            </w:pPr>
            <w:r>
              <w:rPr>
                <w:rFonts w:hint="eastAsia" w:ascii="宋体" w:hAnsi="宋体"/>
                <w:sz w:val="28"/>
                <w:szCs w:val="28"/>
                <w:highlight w:val="none"/>
              </w:rPr>
              <w:t>合计总价</w:t>
            </w:r>
          </w:p>
        </w:tc>
        <w:tc>
          <w:tcPr>
            <w:tcW w:w="6392" w:type="dxa"/>
            <w:gridSpan w:val="6"/>
            <w:vAlign w:val="center"/>
          </w:tcPr>
          <w:p>
            <w:pPr>
              <w:spacing w:line="360" w:lineRule="auto"/>
              <w:rPr>
                <w:rFonts w:ascii="宋体"/>
                <w:sz w:val="28"/>
                <w:szCs w:val="28"/>
                <w:highlight w:val="none"/>
                <w:u w:val="single"/>
              </w:rPr>
            </w:pPr>
            <w:r>
              <w:rPr>
                <w:rFonts w:hint="eastAsia" w:ascii="宋体" w:hAnsi="宋体"/>
                <w:sz w:val="28"/>
                <w:szCs w:val="28"/>
                <w:highlight w:val="none"/>
              </w:rPr>
              <w:t>大写：小写：元</w:t>
            </w:r>
          </w:p>
        </w:tc>
      </w:tr>
    </w:tbl>
    <w:p>
      <w:pPr>
        <w:spacing w:line="360" w:lineRule="auto"/>
        <w:rPr>
          <w:rFonts w:ascii="宋体"/>
          <w:sz w:val="28"/>
          <w:szCs w:val="28"/>
          <w:highlight w:val="none"/>
        </w:rPr>
      </w:pPr>
      <w:r>
        <w:rPr>
          <w:rFonts w:hint="eastAsia" w:ascii="宋体" w:hAnsi="宋体"/>
          <w:sz w:val="28"/>
          <w:szCs w:val="28"/>
          <w:highlight w:val="none"/>
        </w:rPr>
        <w:t>（可续页）</w:t>
      </w:r>
    </w:p>
    <w:p>
      <w:pPr>
        <w:spacing w:line="360" w:lineRule="auto"/>
        <w:rPr>
          <w:rFonts w:ascii="宋体"/>
          <w:sz w:val="28"/>
          <w:szCs w:val="28"/>
          <w:highlight w:val="none"/>
        </w:rPr>
      </w:pPr>
    </w:p>
    <w:p>
      <w:pPr>
        <w:spacing w:line="360" w:lineRule="auto"/>
        <w:rPr>
          <w:rFonts w:ascii="宋体"/>
          <w:sz w:val="28"/>
          <w:szCs w:val="28"/>
          <w:highlight w:val="none"/>
          <w:u w:val="single"/>
        </w:rPr>
      </w:pPr>
      <w:r>
        <w:rPr>
          <w:rFonts w:hint="eastAsia" w:ascii="宋体" w:hAnsi="宋体"/>
          <w:sz w:val="28"/>
          <w:szCs w:val="28"/>
          <w:highlight w:val="none"/>
        </w:rPr>
        <w:t>单位盖章：</w:t>
      </w:r>
    </w:p>
    <w:p>
      <w:pPr>
        <w:spacing w:line="360" w:lineRule="auto"/>
        <w:rPr>
          <w:rFonts w:ascii="宋体"/>
          <w:sz w:val="28"/>
          <w:szCs w:val="28"/>
          <w:highlight w:val="none"/>
          <w:u w:val="single"/>
        </w:rPr>
      </w:pPr>
      <w:r>
        <w:rPr>
          <w:rFonts w:hint="eastAsia" w:ascii="宋体" w:hAnsi="宋体"/>
          <w:sz w:val="28"/>
          <w:szCs w:val="28"/>
          <w:highlight w:val="none"/>
        </w:rPr>
        <w:t>授权代表签字：</w:t>
      </w:r>
    </w:p>
    <w:p>
      <w:pPr>
        <w:spacing w:line="360" w:lineRule="auto"/>
        <w:rPr>
          <w:rFonts w:ascii="宋体"/>
          <w:sz w:val="28"/>
          <w:szCs w:val="28"/>
          <w:highlight w:val="none"/>
        </w:rPr>
      </w:pPr>
    </w:p>
    <w:p>
      <w:pPr>
        <w:spacing w:line="360" w:lineRule="auto"/>
        <w:rPr>
          <w:rFonts w:ascii="宋体"/>
          <w:sz w:val="28"/>
          <w:szCs w:val="28"/>
          <w:highlight w:val="none"/>
        </w:rPr>
      </w:pPr>
      <w:r>
        <w:rPr>
          <w:rFonts w:hint="eastAsia" w:ascii="宋体" w:hAnsi="宋体"/>
          <w:sz w:val="28"/>
          <w:szCs w:val="28"/>
          <w:highlight w:val="none"/>
        </w:rPr>
        <w:t>年月日</w:t>
      </w:r>
    </w:p>
    <w:p>
      <w:pPr>
        <w:jc w:val="left"/>
        <w:rPr>
          <w:b/>
          <w:sz w:val="28"/>
          <w:szCs w:val="28"/>
          <w:highlight w:val="none"/>
        </w:rPr>
      </w:pPr>
    </w:p>
    <w:bookmarkEnd w:id="7"/>
    <w:bookmarkEnd w:id="8"/>
    <w:p>
      <w:pPr>
        <w:jc w:val="left"/>
        <w:rPr>
          <w:b/>
          <w:sz w:val="28"/>
          <w:szCs w:val="28"/>
          <w:highlight w:val="none"/>
        </w:rPr>
      </w:pPr>
      <w:r>
        <w:rPr>
          <w:rFonts w:hint="eastAsia"/>
          <w:b/>
          <w:sz w:val="28"/>
          <w:szCs w:val="28"/>
          <w:highlight w:val="none"/>
        </w:rPr>
        <w:t>附件</w:t>
      </w:r>
      <w:r>
        <w:rPr>
          <w:b/>
          <w:sz w:val="28"/>
          <w:szCs w:val="28"/>
          <w:highlight w:val="none"/>
        </w:rPr>
        <w:t>4</w:t>
      </w:r>
      <w:r>
        <w:rPr>
          <w:rFonts w:hint="eastAsia"/>
          <w:b/>
          <w:sz w:val="28"/>
          <w:szCs w:val="28"/>
          <w:highlight w:val="none"/>
        </w:rPr>
        <w:t>：服务要求</w:t>
      </w:r>
    </w:p>
    <w:p>
      <w:pPr>
        <w:spacing w:line="360" w:lineRule="auto"/>
        <w:ind w:firstLine="420"/>
        <w:rPr>
          <w:rFonts w:ascii="宋体" w:hAnsi="宋体"/>
          <w:sz w:val="28"/>
          <w:szCs w:val="28"/>
          <w:highlight w:val="none"/>
        </w:rPr>
      </w:pPr>
      <w:r>
        <w:rPr>
          <w:rFonts w:hint="eastAsia" w:ascii="宋体" w:hAnsi="宋体"/>
          <w:sz w:val="28"/>
          <w:szCs w:val="28"/>
          <w:highlight w:val="none"/>
        </w:rPr>
        <w:t>1、无论是质量保证期内还是质量保证期外，供应商承诺在设备发生故障时,保修期内在工作日4小时內明确回复；如果未能解決问题,工程师在工作日24时内到达现场,遇到重大故障时,在工作日8小时内到达现场。在质量保证期内，免费维修更换有缺陷的货物或部件，质量保证期外，卖方继续提供维修服务及零部件更换。</w:t>
      </w:r>
    </w:p>
    <w:p>
      <w:pPr>
        <w:spacing w:line="360" w:lineRule="auto"/>
        <w:ind w:firstLine="420"/>
        <w:rPr>
          <w:rFonts w:ascii="宋体" w:hAnsi="宋体"/>
          <w:sz w:val="28"/>
          <w:szCs w:val="28"/>
          <w:highlight w:val="none"/>
        </w:rPr>
      </w:pPr>
      <w:r>
        <w:rPr>
          <w:rFonts w:hint="eastAsia" w:ascii="宋体" w:hAnsi="宋体"/>
          <w:sz w:val="28"/>
          <w:szCs w:val="28"/>
          <w:highlight w:val="none"/>
        </w:rPr>
        <w:t>2、保修期内及保修期外的服务收费标准：供应商保证提供的货物在正确安装、正常使用和保养条件下，在其使用寿命期内运转良好。供应商对由于设计、工艺或材料的缺陷而造成的任何设备缺陷和故障负责；供应商终身提供广泛优惠的技术支持及备件供应，免费质保期满后，只收取适当的服务费和零件费。零备件、备品库，能终身提供广泛优惠的技术支持及配件供应。</w:t>
      </w:r>
    </w:p>
    <w:p>
      <w:pPr>
        <w:spacing w:line="360" w:lineRule="auto"/>
        <w:ind w:firstLine="420"/>
        <w:rPr>
          <w:rFonts w:ascii="宋体" w:hAnsi="宋体"/>
          <w:sz w:val="28"/>
          <w:szCs w:val="28"/>
          <w:highlight w:val="none"/>
        </w:rPr>
      </w:pPr>
      <w:r>
        <w:rPr>
          <w:rFonts w:hint="eastAsia" w:ascii="宋体" w:hAnsi="宋体"/>
          <w:sz w:val="28"/>
          <w:szCs w:val="28"/>
          <w:highlight w:val="none"/>
        </w:rPr>
        <w:t>3、其他的服务内容：供应商根据合同规定提供设备安装调试所需的资料, 并在保证安全和质量的前提下提供技术支持, 包括技术咨询、现场服务等。</w:t>
      </w:r>
    </w:p>
    <w:p>
      <w:pPr>
        <w:spacing w:line="360" w:lineRule="auto"/>
        <w:ind w:firstLine="420"/>
        <w:rPr>
          <w:rFonts w:hint="eastAsia" w:ascii="宋体" w:hAnsi="宋体"/>
          <w:sz w:val="28"/>
          <w:szCs w:val="28"/>
          <w:highlight w:val="none"/>
        </w:rPr>
      </w:pPr>
      <w:r>
        <w:rPr>
          <w:rFonts w:hint="eastAsia" w:ascii="宋体" w:hAnsi="宋体"/>
          <w:sz w:val="28"/>
          <w:szCs w:val="28"/>
          <w:highlight w:val="none"/>
        </w:rPr>
        <w:t>4、供应商应设有技术支持中心，提供专业的技术支持和维修服务，在所提供设备的寿命期内保证设备终身技术支持。</w:t>
      </w:r>
    </w:p>
    <w:p>
      <w:pPr>
        <w:spacing w:line="360" w:lineRule="auto"/>
        <w:ind w:firstLine="420"/>
        <w:rPr>
          <w:rFonts w:hint="eastAsia" w:ascii="宋体" w:hAnsi="宋体" w:eastAsia="宋体" w:cs="Times New Roman"/>
          <w:kern w:val="2"/>
          <w:sz w:val="28"/>
          <w:szCs w:val="28"/>
          <w:highlight w:val="none"/>
          <w:lang w:val="en-US" w:eastAsia="zh-CN" w:bidi="ar-SA"/>
        </w:rPr>
      </w:pPr>
      <w:r>
        <w:rPr>
          <w:rFonts w:hint="eastAsia" w:ascii="宋体" w:hAnsi="宋体" w:eastAsia="宋体" w:cs="Times New Roman"/>
          <w:kern w:val="2"/>
          <w:sz w:val="28"/>
          <w:szCs w:val="28"/>
          <w:highlight w:val="none"/>
          <w:lang w:val="en-US" w:eastAsia="zh-CN" w:bidi="ar-SA"/>
        </w:rPr>
        <w:t>5、供应商保证提供的软件平台通过发包方的网络安全测试</w:t>
      </w:r>
      <w:r>
        <w:rPr>
          <w:rFonts w:hint="eastAsia" w:ascii="宋体" w:hAnsi="宋体" w:cs="Times New Roman"/>
          <w:kern w:val="2"/>
          <w:sz w:val="28"/>
          <w:szCs w:val="28"/>
          <w:highlight w:val="none"/>
          <w:lang w:val="en-US" w:eastAsia="zh-CN" w:bidi="ar-SA"/>
        </w:rPr>
        <w:t>。</w:t>
      </w:r>
    </w:p>
    <w:p>
      <w:pPr>
        <w:pStyle w:val="9"/>
        <w:ind w:left="1470" w:right="1470"/>
        <w:rPr>
          <w:rFonts w:ascii="宋体" w:hAnsi="宋体" w:cs="仿宋"/>
          <w:b/>
          <w:bCs/>
          <w:sz w:val="28"/>
          <w:szCs w:val="28"/>
          <w:highlight w:val="none"/>
        </w:rPr>
      </w:pPr>
    </w:p>
    <w:p>
      <w:pPr>
        <w:pStyle w:val="9"/>
        <w:ind w:left="1470" w:right="1470"/>
        <w:rPr>
          <w:rFonts w:ascii="宋体" w:hAnsi="宋体" w:cs="仿宋"/>
          <w:b/>
          <w:bCs/>
          <w:sz w:val="28"/>
          <w:szCs w:val="28"/>
          <w:highlight w:val="none"/>
        </w:rPr>
      </w:pPr>
    </w:p>
    <w:p>
      <w:pPr>
        <w:pStyle w:val="9"/>
        <w:ind w:left="1470" w:right="1470"/>
        <w:rPr>
          <w:rFonts w:ascii="宋体" w:hAnsi="宋体" w:cs="仿宋"/>
          <w:b/>
          <w:bCs/>
          <w:sz w:val="28"/>
          <w:szCs w:val="28"/>
          <w:highlight w:val="none"/>
        </w:rPr>
      </w:pPr>
    </w:p>
    <w:p>
      <w:pPr>
        <w:pStyle w:val="9"/>
        <w:ind w:left="1470" w:right="1470"/>
        <w:rPr>
          <w:rFonts w:ascii="宋体" w:hAnsi="宋体" w:cs="仿宋"/>
          <w:b/>
          <w:bCs/>
          <w:sz w:val="28"/>
          <w:szCs w:val="28"/>
          <w:highlight w:val="none"/>
        </w:rPr>
      </w:pPr>
    </w:p>
    <w:p>
      <w:pPr>
        <w:pStyle w:val="9"/>
        <w:ind w:left="1470" w:right="1470"/>
        <w:rPr>
          <w:rFonts w:ascii="宋体" w:hAnsi="宋体" w:cs="仿宋"/>
          <w:b/>
          <w:bCs/>
          <w:sz w:val="28"/>
          <w:szCs w:val="28"/>
          <w:highlight w:val="none"/>
        </w:rPr>
      </w:pPr>
    </w:p>
    <w:p>
      <w:pPr>
        <w:pStyle w:val="9"/>
        <w:ind w:left="1470" w:right="1470"/>
        <w:rPr>
          <w:rFonts w:ascii="宋体" w:hAnsi="宋体" w:cs="仿宋"/>
          <w:b/>
          <w:bCs/>
          <w:sz w:val="28"/>
          <w:szCs w:val="28"/>
          <w:highlight w:val="none"/>
        </w:rPr>
      </w:pPr>
    </w:p>
    <w:p>
      <w:pPr>
        <w:adjustRightInd w:val="0"/>
        <w:snapToGrid w:val="0"/>
        <w:spacing w:line="360" w:lineRule="auto"/>
        <w:rPr>
          <w:rFonts w:ascii="宋体" w:hAnsi="宋体" w:cs="仿宋"/>
          <w:b/>
          <w:bCs/>
          <w:sz w:val="28"/>
          <w:szCs w:val="28"/>
          <w:highlight w:val="none"/>
        </w:rPr>
      </w:pPr>
    </w:p>
    <w:p>
      <w:pPr>
        <w:adjustRightInd w:val="0"/>
        <w:snapToGrid w:val="0"/>
        <w:spacing w:line="360" w:lineRule="auto"/>
        <w:rPr>
          <w:rFonts w:hint="eastAsia" w:ascii="宋体" w:hAnsi="宋体" w:cs="仿宋"/>
          <w:b/>
          <w:bCs/>
          <w:sz w:val="28"/>
          <w:szCs w:val="28"/>
          <w:highlight w:val="none"/>
        </w:rPr>
      </w:pPr>
      <w:r>
        <w:rPr>
          <w:rFonts w:hint="eastAsia" w:ascii="宋体" w:hAnsi="宋体" w:cs="仿宋"/>
          <w:b/>
          <w:bCs/>
          <w:sz w:val="28"/>
          <w:szCs w:val="28"/>
          <w:highlight w:val="none"/>
        </w:rPr>
        <w:t>附件</w:t>
      </w:r>
      <w:r>
        <w:rPr>
          <w:rFonts w:ascii="宋体" w:hAnsi="宋体" w:cs="仿宋"/>
          <w:b/>
          <w:bCs/>
          <w:sz w:val="28"/>
          <w:szCs w:val="28"/>
          <w:highlight w:val="none"/>
        </w:rPr>
        <w:t>5</w:t>
      </w:r>
      <w:r>
        <w:rPr>
          <w:rFonts w:hint="eastAsia" w:ascii="宋体" w:hAnsi="宋体" w:cs="仿宋"/>
          <w:b/>
          <w:bCs/>
          <w:sz w:val="28"/>
          <w:szCs w:val="28"/>
          <w:highlight w:val="none"/>
        </w:rPr>
        <w:t>：评标办法</w:t>
      </w:r>
    </w:p>
    <w:p>
      <w:pPr>
        <w:adjustRightInd w:val="0"/>
        <w:snapToGrid w:val="0"/>
        <w:spacing w:line="360" w:lineRule="auto"/>
        <w:ind w:firstLine="480" w:firstLineChars="200"/>
        <w:rPr>
          <w:highlight w:val="none"/>
        </w:rPr>
      </w:pPr>
      <w:r>
        <w:rPr>
          <w:rFonts w:hint="eastAsia" w:ascii="宋体" w:hAnsi="宋体"/>
          <w:sz w:val="24"/>
          <w:highlight w:val="none"/>
        </w:rPr>
        <w:t>本项目采用综合评分法，总分为：</w:t>
      </w:r>
      <w:r>
        <w:rPr>
          <w:rFonts w:ascii="宋体" w:hAnsi="宋体"/>
          <w:sz w:val="24"/>
          <w:highlight w:val="none"/>
        </w:rPr>
        <w:t>100</w:t>
      </w:r>
      <w:r>
        <w:rPr>
          <w:rFonts w:hint="eastAsia" w:ascii="宋体" w:hAnsi="宋体"/>
          <w:sz w:val="24"/>
          <w:highlight w:val="none"/>
        </w:rPr>
        <w:t>分。</w:t>
      </w:r>
    </w:p>
    <w:tbl>
      <w:tblPr>
        <w:tblStyle w:val="19"/>
        <w:tblW w:w="91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4"/>
        <w:gridCol w:w="1276"/>
        <w:gridCol w:w="5103"/>
        <w:gridCol w:w="1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04" w:type="dxa"/>
          </w:tcPr>
          <w:p>
            <w:pPr>
              <w:kinsoku w:val="0"/>
              <w:overflowPunct w:val="0"/>
              <w:spacing w:before="88" w:after="120"/>
              <w:rPr>
                <w:rFonts w:ascii="宋体" w:hAnsi="宋体" w:cs="宋体"/>
                <w:szCs w:val="21"/>
                <w:highlight w:val="none"/>
              </w:rPr>
            </w:pPr>
            <w:r>
              <w:rPr>
                <w:rFonts w:hint="eastAsia" w:ascii="宋体" w:hAnsi="宋体" w:cs="宋体"/>
                <w:szCs w:val="21"/>
                <w:highlight w:val="none"/>
              </w:rPr>
              <w:t>序号</w:t>
            </w:r>
          </w:p>
        </w:tc>
        <w:tc>
          <w:tcPr>
            <w:tcW w:w="1276" w:type="dxa"/>
          </w:tcPr>
          <w:p>
            <w:pPr>
              <w:kinsoku w:val="0"/>
              <w:overflowPunct w:val="0"/>
              <w:spacing w:before="88" w:after="120"/>
              <w:jc w:val="center"/>
              <w:rPr>
                <w:rFonts w:ascii="宋体" w:hAnsi="宋体" w:cs="宋体"/>
                <w:szCs w:val="21"/>
                <w:highlight w:val="none"/>
              </w:rPr>
            </w:pPr>
            <w:r>
              <w:rPr>
                <w:rFonts w:hint="eastAsia" w:ascii="宋体" w:hAnsi="宋体" w:cs="宋体"/>
                <w:szCs w:val="21"/>
                <w:highlight w:val="none"/>
              </w:rPr>
              <w:t>评审因素</w:t>
            </w:r>
          </w:p>
        </w:tc>
        <w:tc>
          <w:tcPr>
            <w:tcW w:w="5103" w:type="dxa"/>
          </w:tcPr>
          <w:p>
            <w:pPr>
              <w:kinsoku w:val="0"/>
              <w:overflowPunct w:val="0"/>
              <w:spacing w:before="88" w:after="120"/>
              <w:ind w:right="34" w:rightChars="16"/>
              <w:jc w:val="center"/>
              <w:rPr>
                <w:rFonts w:ascii="宋体" w:hAnsi="宋体" w:cs="宋体"/>
                <w:szCs w:val="21"/>
                <w:highlight w:val="none"/>
              </w:rPr>
            </w:pPr>
            <w:r>
              <w:rPr>
                <w:rFonts w:hint="eastAsia" w:ascii="宋体" w:hAnsi="宋体" w:cs="宋体"/>
                <w:szCs w:val="21"/>
                <w:highlight w:val="none"/>
              </w:rPr>
              <w:t>评分细节</w:t>
            </w:r>
          </w:p>
        </w:tc>
        <w:tc>
          <w:tcPr>
            <w:tcW w:w="1048" w:type="dxa"/>
          </w:tcPr>
          <w:p>
            <w:pPr>
              <w:kinsoku w:val="0"/>
              <w:overflowPunct w:val="0"/>
              <w:spacing w:before="88" w:after="120"/>
              <w:ind w:left="172"/>
              <w:rPr>
                <w:rFonts w:ascii="宋体" w:hAnsi="宋体" w:cs="宋体"/>
                <w:szCs w:val="21"/>
                <w:highlight w:val="none"/>
              </w:rPr>
            </w:pPr>
            <w:r>
              <w:rPr>
                <w:rFonts w:hint="eastAsia" w:ascii="宋体" w:hAnsi="宋体" w:cs="宋体"/>
                <w:szCs w:val="21"/>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jc w:val="center"/>
        </w:trPr>
        <w:tc>
          <w:tcPr>
            <w:tcW w:w="9131" w:type="dxa"/>
            <w:gridSpan w:val="4"/>
          </w:tcPr>
          <w:p>
            <w:pPr>
              <w:spacing w:line="360" w:lineRule="exact"/>
              <w:rPr>
                <w:rFonts w:ascii="宋体" w:hAnsi="宋体" w:cs="宋体"/>
                <w:szCs w:val="21"/>
                <w:highlight w:val="none"/>
              </w:rPr>
            </w:pPr>
            <w:r>
              <w:rPr>
                <w:rFonts w:hint="eastAsia" w:ascii="宋体" w:hAnsi="宋体" w:cs="宋体"/>
                <w:kern w:val="0"/>
                <w:szCs w:val="21"/>
                <w:highlight w:val="none"/>
              </w:rPr>
              <w:t>1、价格部分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1704" w:type="dxa"/>
            <w:vAlign w:val="center"/>
          </w:tcPr>
          <w:p>
            <w:pPr>
              <w:kinsoku w:val="0"/>
              <w:overflowPunct w:val="0"/>
              <w:spacing w:after="120" w:line="360" w:lineRule="exact"/>
              <w:jc w:val="center"/>
              <w:rPr>
                <w:rFonts w:ascii="宋体" w:hAnsi="宋体" w:cs="宋体"/>
                <w:szCs w:val="21"/>
                <w:highlight w:val="none"/>
              </w:rPr>
            </w:pPr>
            <w:r>
              <w:rPr>
                <w:rFonts w:hint="eastAsia" w:ascii="宋体" w:hAnsi="宋体" w:cs="宋体"/>
                <w:szCs w:val="21"/>
                <w:highlight w:val="none"/>
              </w:rPr>
              <w:t>1.1</w:t>
            </w:r>
          </w:p>
        </w:tc>
        <w:tc>
          <w:tcPr>
            <w:tcW w:w="1276" w:type="dxa"/>
            <w:vAlign w:val="center"/>
          </w:tcPr>
          <w:p>
            <w:pPr>
              <w:kinsoku w:val="0"/>
              <w:overflowPunct w:val="0"/>
              <w:spacing w:after="120" w:line="360" w:lineRule="exact"/>
              <w:ind w:right="155"/>
              <w:jc w:val="center"/>
              <w:rPr>
                <w:rFonts w:ascii="宋体" w:hAnsi="宋体" w:cs="宋体"/>
                <w:szCs w:val="21"/>
                <w:highlight w:val="none"/>
              </w:rPr>
            </w:pPr>
            <w:r>
              <w:rPr>
                <w:rFonts w:hint="eastAsia" w:ascii="宋体" w:hAnsi="宋体" w:cs="宋体"/>
                <w:szCs w:val="21"/>
                <w:highlight w:val="none"/>
              </w:rPr>
              <w:t>投标报价</w:t>
            </w:r>
          </w:p>
        </w:tc>
        <w:tc>
          <w:tcPr>
            <w:tcW w:w="5103" w:type="dxa"/>
          </w:tcPr>
          <w:p>
            <w:pPr>
              <w:spacing w:line="360" w:lineRule="exact"/>
              <w:rPr>
                <w:rFonts w:ascii="宋体" w:hAnsi="宋体" w:cs="宋体"/>
                <w:kern w:val="0"/>
                <w:szCs w:val="21"/>
                <w:highlight w:val="none"/>
              </w:rPr>
            </w:pPr>
            <w:r>
              <w:rPr>
                <w:rFonts w:hint="eastAsia" w:ascii="宋体" w:hAnsi="宋体" w:cs="宋体"/>
                <w:kern w:val="0"/>
                <w:szCs w:val="21"/>
                <w:highlight w:val="none"/>
              </w:rPr>
              <w:t>价格分采用低价优先法计算，即满足招标文件要求且投标价格最低的投标报价为评标基准价，其价格分为满分30分。其他投标人的价格分按照下列公式计算：</w:t>
            </w:r>
          </w:p>
          <w:p>
            <w:pPr>
              <w:spacing w:line="360" w:lineRule="exact"/>
              <w:rPr>
                <w:rFonts w:ascii="宋体" w:hAnsi="宋体" w:cs="宋体"/>
                <w:kern w:val="0"/>
                <w:szCs w:val="21"/>
                <w:highlight w:val="none"/>
              </w:rPr>
            </w:pPr>
            <w:r>
              <w:rPr>
                <w:rFonts w:hint="eastAsia" w:ascii="宋体" w:hAnsi="宋体" w:cs="宋体"/>
                <w:kern w:val="0"/>
                <w:szCs w:val="21"/>
                <w:highlight w:val="none"/>
              </w:rPr>
              <w:t>投标报价得分=（评标基准价／投标报价）×30（精确到小数点后两位）</w:t>
            </w:r>
          </w:p>
        </w:tc>
        <w:tc>
          <w:tcPr>
            <w:tcW w:w="1048"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9131" w:type="dxa"/>
            <w:gridSpan w:val="4"/>
          </w:tcPr>
          <w:p>
            <w:pPr>
              <w:spacing w:line="360" w:lineRule="exact"/>
              <w:rPr>
                <w:rFonts w:ascii="宋体" w:hAnsi="宋体" w:cs="宋体"/>
                <w:kern w:val="0"/>
                <w:szCs w:val="21"/>
                <w:highlight w:val="none"/>
              </w:rPr>
            </w:pPr>
            <w:r>
              <w:rPr>
                <w:rFonts w:hint="eastAsia" w:ascii="宋体" w:hAnsi="宋体" w:cs="宋体"/>
                <w:kern w:val="0"/>
                <w:szCs w:val="21"/>
                <w:highlight w:val="none"/>
              </w:rPr>
              <w:t>2、技术部分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7" w:hRule="atLeast"/>
          <w:jc w:val="center"/>
        </w:trPr>
        <w:tc>
          <w:tcPr>
            <w:tcW w:w="1704" w:type="dxa"/>
          </w:tcPr>
          <w:p>
            <w:pPr>
              <w:spacing w:line="360" w:lineRule="exact"/>
              <w:rPr>
                <w:rFonts w:ascii="宋体" w:hAnsi="宋体" w:cs="宋体"/>
                <w:kern w:val="0"/>
                <w:szCs w:val="21"/>
                <w:highlight w:val="none"/>
              </w:rPr>
            </w:pPr>
          </w:p>
          <w:p>
            <w:pPr>
              <w:spacing w:line="360" w:lineRule="exact"/>
              <w:jc w:val="center"/>
              <w:rPr>
                <w:rFonts w:ascii="宋体" w:hAnsi="宋体" w:cs="宋体"/>
                <w:kern w:val="0"/>
                <w:szCs w:val="21"/>
                <w:highlight w:val="none"/>
              </w:rPr>
            </w:pPr>
            <w:r>
              <w:rPr>
                <w:rFonts w:hint="eastAsia" w:ascii="宋体" w:hAnsi="宋体" w:cs="宋体"/>
                <w:kern w:val="0"/>
                <w:szCs w:val="21"/>
                <w:highlight w:val="none"/>
              </w:rPr>
              <w:t>2.1</w:t>
            </w:r>
          </w:p>
        </w:tc>
        <w:tc>
          <w:tcPr>
            <w:tcW w:w="1276" w:type="dxa"/>
          </w:tcPr>
          <w:p>
            <w:pPr>
              <w:spacing w:line="360" w:lineRule="exact"/>
              <w:rPr>
                <w:rFonts w:ascii="宋体" w:hAnsi="宋体" w:cs="宋体"/>
                <w:kern w:val="0"/>
                <w:szCs w:val="21"/>
                <w:highlight w:val="none"/>
              </w:rPr>
            </w:pPr>
          </w:p>
          <w:p>
            <w:pPr>
              <w:spacing w:line="360" w:lineRule="exact"/>
              <w:jc w:val="center"/>
              <w:rPr>
                <w:rFonts w:ascii="宋体" w:hAnsi="宋体" w:cs="宋体"/>
                <w:kern w:val="0"/>
                <w:szCs w:val="21"/>
                <w:highlight w:val="none"/>
              </w:rPr>
            </w:pPr>
            <w:r>
              <w:rPr>
                <w:rFonts w:hint="eastAsia" w:ascii="宋体" w:hAnsi="宋体" w:cs="宋体"/>
                <w:kern w:val="0"/>
                <w:szCs w:val="21"/>
                <w:highlight w:val="none"/>
              </w:rPr>
              <w:t>技术参数</w:t>
            </w:r>
          </w:p>
        </w:tc>
        <w:tc>
          <w:tcPr>
            <w:tcW w:w="5103" w:type="dxa"/>
          </w:tcPr>
          <w:p>
            <w:pPr>
              <w:spacing w:line="360" w:lineRule="exact"/>
              <w:rPr>
                <w:rFonts w:ascii="宋体" w:hAnsi="宋体" w:cs="宋体"/>
                <w:kern w:val="0"/>
                <w:szCs w:val="21"/>
                <w:highlight w:val="none"/>
              </w:rPr>
            </w:pPr>
            <w:r>
              <w:rPr>
                <w:rFonts w:hint="eastAsia" w:ascii="宋体" w:hAnsi="宋体" w:cs="宋体"/>
                <w:kern w:val="0"/>
                <w:szCs w:val="21"/>
                <w:highlight w:val="none"/>
              </w:rPr>
              <w:t>设备技术参数全部满足招标要求的得满分；打▲项为重要指标项，有一项负偏离扣3分，扣完为止。其他指标，有一项负偏离扣1分，扣完为止。严重负偏离影响设备性能的经半数以上评委认定，本项得零分。</w:t>
            </w:r>
          </w:p>
          <w:p>
            <w:pPr>
              <w:spacing w:line="360" w:lineRule="exact"/>
              <w:rPr>
                <w:rFonts w:ascii="宋体" w:hAnsi="宋体" w:cs="宋体"/>
                <w:kern w:val="0"/>
                <w:szCs w:val="21"/>
                <w:highlight w:val="none"/>
              </w:rPr>
            </w:pPr>
            <w:r>
              <w:rPr>
                <w:rFonts w:hint="eastAsia" w:ascii="宋体" w:hAnsi="宋体" w:cs="宋体"/>
                <w:kern w:val="0"/>
                <w:szCs w:val="21"/>
                <w:highlight w:val="none"/>
              </w:rPr>
              <w:t>各投标供应商均应如实填写偏离情况，</w:t>
            </w:r>
            <w:r>
              <w:rPr>
                <w:rFonts w:hint="eastAsia" w:ascii="宋体" w:hAnsi="宋体" w:cs="宋体"/>
                <w:kern w:val="0"/>
                <w:szCs w:val="21"/>
                <w:highlight w:val="none"/>
              </w:rPr>
              <w:t>按要求提供相关证明材料，否则视为负偏离进行扣分。</w:t>
            </w:r>
            <w:r>
              <w:rPr>
                <w:rFonts w:ascii="宋体" w:hAnsi="宋体" w:cs="宋体"/>
                <w:kern w:val="0"/>
                <w:szCs w:val="21"/>
                <w:highlight w:val="none"/>
              </w:rPr>
              <w:t xml:space="preserve"> </w:t>
            </w:r>
          </w:p>
        </w:tc>
        <w:tc>
          <w:tcPr>
            <w:tcW w:w="1048" w:type="dxa"/>
            <w:vAlign w:val="center"/>
          </w:tcPr>
          <w:p>
            <w:pPr>
              <w:spacing w:line="360" w:lineRule="exact"/>
              <w:jc w:val="center"/>
              <w:rPr>
                <w:rFonts w:ascii="宋体" w:hAnsi="宋体" w:cs="宋体"/>
                <w:kern w:val="0"/>
                <w:szCs w:val="21"/>
                <w:highlight w:val="none"/>
              </w:rPr>
            </w:pPr>
          </w:p>
          <w:p>
            <w:pPr>
              <w:spacing w:line="360" w:lineRule="exact"/>
              <w:jc w:val="center"/>
              <w:rPr>
                <w:rFonts w:ascii="宋体" w:hAnsi="宋体" w:cs="宋体"/>
                <w:kern w:val="0"/>
                <w:szCs w:val="21"/>
                <w:highlight w:val="none"/>
              </w:rPr>
            </w:pPr>
            <w:r>
              <w:rPr>
                <w:rFonts w:hint="eastAsia" w:ascii="宋体" w:hAnsi="宋体" w:cs="宋体"/>
                <w:kern w:val="0"/>
                <w:szCs w:val="21"/>
                <w:highlight w:val="none"/>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04" w:type="dxa"/>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2.2</w:t>
            </w:r>
          </w:p>
        </w:tc>
        <w:tc>
          <w:tcPr>
            <w:tcW w:w="1276" w:type="dxa"/>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投标人/供应商实力</w:t>
            </w:r>
          </w:p>
        </w:tc>
        <w:tc>
          <w:tcPr>
            <w:tcW w:w="5103" w:type="dxa"/>
          </w:tcPr>
          <w:p>
            <w:pPr>
              <w:rPr>
                <w:highlight w:val="none"/>
              </w:rPr>
            </w:pPr>
            <w:r>
              <w:rPr>
                <w:rFonts w:hint="eastAsia" w:asciiTheme="minorEastAsia" w:hAnsiTheme="minorEastAsia" w:eastAsiaTheme="minorEastAsia"/>
                <w:sz w:val="22"/>
                <w:szCs w:val="21"/>
                <w:highlight w:val="none"/>
              </w:rPr>
              <w:t>1、</w:t>
            </w:r>
            <w:r>
              <w:rPr>
                <w:rFonts w:hint="eastAsia"/>
                <w:highlight w:val="none"/>
              </w:rPr>
              <w:t>投标人或所投摄像机产品厂商获得中国信息安全测评中心颁发的国家信息安全漏洞库（CNNVD）技术支撑单位等级证书的，一级得2分，二级得1分，提供相关证明材料复印件</w:t>
            </w:r>
            <w:r>
              <w:rPr>
                <w:rStyle w:val="28"/>
                <w:rFonts w:hint="eastAsia"/>
                <w:szCs w:val="20"/>
                <w:highlight w:val="none"/>
                <w:lang w:val="en-US" w:eastAsia="zh-CN"/>
              </w:rPr>
              <w:t>并加盖投标单位公章</w:t>
            </w:r>
            <w:r>
              <w:rPr>
                <w:rFonts w:hint="eastAsia"/>
                <w:highlight w:val="none"/>
              </w:rPr>
              <w:t>，不提供不得分。</w:t>
            </w:r>
          </w:p>
          <w:p>
            <w:pPr>
              <w:rPr>
                <w:highlight w:val="none"/>
              </w:rPr>
            </w:pPr>
            <w:r>
              <w:rPr>
                <w:rFonts w:hint="eastAsia" w:asciiTheme="minorEastAsia" w:hAnsiTheme="minorEastAsia" w:eastAsiaTheme="minorEastAsia"/>
                <w:sz w:val="22"/>
                <w:szCs w:val="21"/>
                <w:highlight w:val="none"/>
              </w:rPr>
              <w:t>2、</w:t>
            </w:r>
            <w:r>
              <w:rPr>
                <w:rFonts w:hint="eastAsia"/>
                <w:highlight w:val="none"/>
              </w:rPr>
              <w:t>投标人或所投人脸识别结构化服务器的产品制造商应具有完善的工业信息安全应急体系、良好的安全应急能力，具备工业信息安全应急服务支撑单位证书的，得2分，提供</w:t>
            </w:r>
            <w:r>
              <w:rPr>
                <w:rFonts w:hint="eastAsia"/>
                <w:highlight w:val="none"/>
              </w:rPr>
              <w:t>相关证明</w:t>
            </w:r>
            <w:r>
              <w:rPr>
                <w:rFonts w:hint="eastAsia"/>
                <w:highlight w:val="none"/>
                <w:lang w:val="en-US" w:eastAsia="zh-CN"/>
              </w:rPr>
              <w:t>材料</w:t>
            </w:r>
            <w:r>
              <w:rPr>
                <w:rFonts w:hint="eastAsia"/>
                <w:highlight w:val="none"/>
              </w:rPr>
              <w:t>复印</w:t>
            </w:r>
            <w:r>
              <w:rPr>
                <w:rFonts w:hint="eastAsia"/>
                <w:highlight w:val="none"/>
              </w:rPr>
              <w:t>件</w:t>
            </w:r>
            <w:r>
              <w:rPr>
                <w:rStyle w:val="28"/>
                <w:rFonts w:hint="eastAsia"/>
                <w:szCs w:val="20"/>
                <w:highlight w:val="none"/>
                <w:lang w:val="en-US" w:eastAsia="zh-CN"/>
              </w:rPr>
              <w:t>并加盖投标单位公章</w:t>
            </w:r>
            <w:r>
              <w:rPr>
                <w:rFonts w:hint="eastAsia"/>
                <w:highlight w:val="none"/>
              </w:rPr>
              <w:t>，不提供不得分。</w:t>
            </w:r>
          </w:p>
          <w:p>
            <w:pPr>
              <w:rPr>
                <w:highlight w:val="none"/>
              </w:rPr>
            </w:pPr>
            <w:r>
              <w:rPr>
                <w:rFonts w:hint="eastAsia" w:asciiTheme="minorEastAsia" w:hAnsiTheme="minorEastAsia" w:eastAsiaTheme="minorEastAsia"/>
                <w:sz w:val="22"/>
                <w:szCs w:val="21"/>
                <w:highlight w:val="none"/>
              </w:rPr>
              <w:t>3、</w:t>
            </w:r>
            <w:r>
              <w:rPr>
                <w:rFonts w:hint="eastAsia"/>
                <w:highlight w:val="none"/>
              </w:rPr>
              <w:t>投标人或所投交换机制造商应具备完善的供应链管理能力，提供ISO28000供应链安全管理体系认证证书，提供相关证明材料复印件</w:t>
            </w:r>
            <w:r>
              <w:rPr>
                <w:rStyle w:val="28"/>
                <w:rFonts w:hint="eastAsia"/>
                <w:szCs w:val="20"/>
                <w:highlight w:val="none"/>
                <w:lang w:val="en-US" w:eastAsia="zh-CN"/>
              </w:rPr>
              <w:t>并加盖投标单位公章</w:t>
            </w:r>
            <w:r>
              <w:rPr>
                <w:rFonts w:hint="eastAsia"/>
                <w:highlight w:val="none"/>
              </w:rPr>
              <w:t>；满足得1分，不满足不得分。</w:t>
            </w:r>
          </w:p>
          <w:p>
            <w:pPr>
              <w:rPr>
                <w:highlight w:val="none"/>
              </w:rPr>
            </w:pPr>
            <w:r>
              <w:rPr>
                <w:rFonts w:hint="eastAsia" w:asciiTheme="minorEastAsia" w:hAnsiTheme="minorEastAsia" w:eastAsiaTheme="minorEastAsia"/>
                <w:sz w:val="22"/>
                <w:szCs w:val="21"/>
                <w:highlight w:val="none"/>
              </w:rPr>
              <w:t>4、</w:t>
            </w:r>
            <w:r>
              <w:rPr>
                <w:rFonts w:hint="eastAsia"/>
                <w:highlight w:val="none"/>
              </w:rPr>
              <w:t>为保证设备良好的节能环保性，体现节能环保工作的积极推进态度，响应国家关于节能环保工作落实的要求，投标人或所投交换机产品制造商获得过生态环境部环境发展中心颁发的中国环境标志优秀企业奖项的，得2分，提供相关证明材料复印件</w:t>
            </w:r>
            <w:r>
              <w:rPr>
                <w:rStyle w:val="28"/>
                <w:rFonts w:hint="eastAsia"/>
                <w:szCs w:val="20"/>
                <w:highlight w:val="none"/>
                <w:lang w:val="en-US" w:eastAsia="zh-CN"/>
              </w:rPr>
              <w:t>并加盖投标单位公章</w:t>
            </w:r>
            <w:r>
              <w:rPr>
                <w:rFonts w:hint="eastAsia"/>
                <w:highlight w:val="none"/>
              </w:rPr>
              <w:t>，不提供不得分。</w:t>
            </w:r>
          </w:p>
          <w:p>
            <w:pPr>
              <w:pStyle w:val="18"/>
              <w:ind w:firstLine="0" w:firstLineChars="0"/>
              <w:rPr>
                <w:rFonts w:eastAsiaTheme="minorEastAsia"/>
                <w:highlight w:val="none"/>
              </w:rPr>
            </w:pPr>
            <w:r>
              <w:rPr>
                <w:rFonts w:hint="eastAsia" w:ascii="Times New Roman" w:eastAsia="宋体"/>
                <w:sz w:val="21"/>
                <w:szCs w:val="24"/>
                <w:highlight w:val="none"/>
              </w:rPr>
              <w:t>5、投标人或所投实验室人员准入智能防控软件产品制造商应具备软件研发能力，提供软件能力成熟度证书复印件并加盖投标单位公章，证书为CMMI5级得3分，CMMI4级得2分，CMMI3级得1分，其他不得分。</w:t>
            </w:r>
          </w:p>
        </w:tc>
        <w:tc>
          <w:tcPr>
            <w:tcW w:w="1048"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9131" w:type="dxa"/>
            <w:gridSpan w:val="4"/>
          </w:tcPr>
          <w:p>
            <w:pPr>
              <w:kinsoku w:val="0"/>
              <w:overflowPunct w:val="0"/>
              <w:spacing w:before="88" w:after="120" w:line="360" w:lineRule="exact"/>
              <w:rPr>
                <w:rFonts w:ascii="宋体" w:hAnsi="宋体" w:cs="宋体"/>
                <w:szCs w:val="21"/>
                <w:highlight w:val="none"/>
              </w:rPr>
            </w:pPr>
            <w:r>
              <w:rPr>
                <w:rFonts w:hint="eastAsia" w:ascii="宋体" w:hAnsi="宋体" w:cs="宋体"/>
                <w:szCs w:val="21"/>
                <w:highlight w:val="none"/>
              </w:rPr>
              <w:t>3、服务部分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3" w:hRule="atLeast"/>
          <w:jc w:val="center"/>
        </w:trPr>
        <w:tc>
          <w:tcPr>
            <w:tcW w:w="1704" w:type="dxa"/>
            <w:vAlign w:val="center"/>
          </w:tcPr>
          <w:p>
            <w:pPr>
              <w:kinsoku w:val="0"/>
              <w:overflowPunct w:val="0"/>
              <w:spacing w:after="120" w:line="360" w:lineRule="exact"/>
              <w:ind w:left="213"/>
              <w:jc w:val="center"/>
              <w:rPr>
                <w:rFonts w:ascii="宋体" w:hAnsi="宋体" w:cs="宋体"/>
                <w:szCs w:val="21"/>
                <w:highlight w:val="none"/>
              </w:rPr>
            </w:pPr>
          </w:p>
          <w:p>
            <w:pPr>
              <w:kinsoku w:val="0"/>
              <w:overflowPunct w:val="0"/>
              <w:spacing w:after="120" w:line="360" w:lineRule="exact"/>
              <w:jc w:val="center"/>
              <w:rPr>
                <w:rFonts w:ascii="宋体" w:hAnsi="宋体" w:cs="宋体"/>
                <w:szCs w:val="21"/>
                <w:highlight w:val="none"/>
              </w:rPr>
            </w:pPr>
            <w:r>
              <w:rPr>
                <w:rFonts w:hint="eastAsia" w:ascii="宋体" w:hAnsi="宋体" w:cs="宋体"/>
                <w:szCs w:val="21"/>
                <w:highlight w:val="none"/>
              </w:rPr>
              <w:t>3.1</w:t>
            </w:r>
          </w:p>
          <w:p>
            <w:pPr>
              <w:spacing w:line="360" w:lineRule="exact"/>
              <w:jc w:val="center"/>
              <w:rPr>
                <w:rFonts w:ascii="宋体" w:hAnsi="宋体" w:cs="宋体"/>
                <w:kern w:val="0"/>
                <w:szCs w:val="21"/>
                <w:highlight w:val="none"/>
              </w:rPr>
            </w:pPr>
          </w:p>
        </w:tc>
        <w:tc>
          <w:tcPr>
            <w:tcW w:w="1276" w:type="dxa"/>
            <w:vAlign w:val="center"/>
          </w:tcPr>
          <w:p>
            <w:pPr>
              <w:kinsoku w:val="0"/>
              <w:overflowPunct w:val="0"/>
              <w:spacing w:after="120" w:line="360" w:lineRule="exact"/>
              <w:jc w:val="center"/>
              <w:rPr>
                <w:rFonts w:ascii="宋体" w:hAnsi="宋体" w:cs="宋体"/>
                <w:szCs w:val="21"/>
                <w:highlight w:val="none"/>
              </w:rPr>
            </w:pPr>
            <w:r>
              <w:rPr>
                <w:rFonts w:hint="eastAsia" w:ascii="宋体" w:hAnsi="宋体" w:cs="宋体"/>
                <w:szCs w:val="21"/>
                <w:highlight w:val="none"/>
              </w:rPr>
              <w:t>技术方案</w:t>
            </w:r>
          </w:p>
        </w:tc>
        <w:tc>
          <w:tcPr>
            <w:tcW w:w="5103" w:type="dxa"/>
            <w:vAlign w:val="center"/>
          </w:tcPr>
          <w:p>
            <w:pPr>
              <w:kinsoku w:val="0"/>
              <w:overflowPunct w:val="0"/>
              <w:spacing w:before="88" w:after="120" w:line="360" w:lineRule="exact"/>
              <w:ind w:right="245"/>
              <w:jc w:val="left"/>
              <w:rPr>
                <w:rFonts w:ascii="宋体" w:hAnsi="宋体" w:cs="宋体"/>
                <w:szCs w:val="21"/>
                <w:highlight w:val="none"/>
              </w:rPr>
            </w:pPr>
            <w:r>
              <w:rPr>
                <w:rFonts w:hint="eastAsia" w:ascii="宋体" w:hAnsi="宋体" w:cs="宋体"/>
                <w:szCs w:val="21"/>
                <w:highlight w:val="none"/>
              </w:rPr>
              <w:t>为保证投标人对项目充分了解，项目投标人应</w:t>
            </w:r>
            <w:r>
              <w:rPr>
                <w:rFonts w:hint="eastAsia" w:asciiTheme="minorEastAsia" w:hAnsiTheme="minorEastAsia" w:eastAsiaTheme="minorEastAsia"/>
                <w:szCs w:val="21"/>
                <w:highlight w:val="none"/>
              </w:rPr>
              <w:t>提供针对本项目的技术方案进行综合评分。技术方案符合采购人需求，方案内容详细全面、针对性强得7分；方案内容具有较强针对性和可操作性的得4分；方案内容一般的得2分。未提供不得分。</w:t>
            </w:r>
          </w:p>
        </w:tc>
        <w:tc>
          <w:tcPr>
            <w:tcW w:w="1048"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3" w:hRule="atLeast"/>
          <w:jc w:val="center"/>
        </w:trPr>
        <w:tc>
          <w:tcPr>
            <w:tcW w:w="1704"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3.2</w:t>
            </w:r>
          </w:p>
        </w:tc>
        <w:tc>
          <w:tcPr>
            <w:tcW w:w="1276" w:type="dxa"/>
            <w:vAlign w:val="center"/>
          </w:tcPr>
          <w:p>
            <w:pPr>
              <w:kinsoku w:val="0"/>
              <w:overflowPunct w:val="0"/>
              <w:spacing w:after="120" w:line="360" w:lineRule="exact"/>
              <w:jc w:val="center"/>
              <w:rPr>
                <w:rFonts w:ascii="宋体" w:hAnsi="宋体" w:cs="宋体"/>
                <w:szCs w:val="21"/>
                <w:highlight w:val="none"/>
              </w:rPr>
            </w:pPr>
            <w:r>
              <w:rPr>
                <w:rFonts w:hint="eastAsia" w:ascii="宋体" w:hAnsi="宋体" w:cs="宋体"/>
                <w:szCs w:val="21"/>
                <w:highlight w:val="none"/>
              </w:rPr>
              <w:t>实施方案</w:t>
            </w:r>
          </w:p>
        </w:tc>
        <w:tc>
          <w:tcPr>
            <w:tcW w:w="5103" w:type="dxa"/>
            <w:vAlign w:val="center"/>
          </w:tcPr>
          <w:p>
            <w:pPr>
              <w:kinsoku w:val="0"/>
              <w:overflowPunct w:val="0"/>
              <w:spacing w:before="88" w:after="120" w:line="360" w:lineRule="exact"/>
              <w:ind w:right="245"/>
              <w:jc w:val="left"/>
              <w:rPr>
                <w:rFonts w:ascii="宋体" w:hAnsi="宋体" w:cs="宋体"/>
                <w:szCs w:val="21"/>
                <w:highlight w:val="none"/>
              </w:rPr>
            </w:pPr>
            <w:r>
              <w:rPr>
                <w:rFonts w:hint="eastAsia" w:asciiTheme="minorEastAsia" w:hAnsiTheme="minorEastAsia" w:eastAsiaTheme="minorEastAsia"/>
                <w:szCs w:val="21"/>
                <w:highlight w:val="none"/>
              </w:rPr>
              <w:t>评委根据投标人提供的项目实施方案进行综合评分。项目实施方案包括：总体概述，实施进度计划和各阶段进度的保证措施，质量保证措施，文明实施措施，安全生产实施措施、项目系统拓扑图等。方案内容贴合采购人需求，详尽合理、针对性强的得10分；内容基本贴合采购人需求、具备较强的针对性和可操作性的得6分；内容一般，针对性和可操作性一般的得2分。未提供不得分。</w:t>
            </w:r>
          </w:p>
        </w:tc>
        <w:tc>
          <w:tcPr>
            <w:tcW w:w="1048"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1" w:hRule="atLeast"/>
          <w:jc w:val="center"/>
        </w:trPr>
        <w:tc>
          <w:tcPr>
            <w:tcW w:w="1704"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3.3</w:t>
            </w:r>
          </w:p>
        </w:tc>
        <w:tc>
          <w:tcPr>
            <w:tcW w:w="1276" w:type="dxa"/>
            <w:vAlign w:val="center"/>
          </w:tcPr>
          <w:p>
            <w:pPr>
              <w:spacing w:line="360" w:lineRule="exact"/>
              <w:jc w:val="center"/>
              <w:rPr>
                <w:rFonts w:ascii="宋体" w:hAnsi="宋体" w:cs="宋体"/>
                <w:kern w:val="0"/>
                <w:szCs w:val="21"/>
                <w:highlight w:val="none"/>
              </w:rPr>
            </w:pPr>
            <w:r>
              <w:rPr>
                <w:rFonts w:hint="eastAsia" w:ascii="宋体" w:hAnsi="宋体" w:cs="宋体"/>
                <w:szCs w:val="21"/>
                <w:highlight w:val="none"/>
              </w:rPr>
              <w:t>售后服务方案</w:t>
            </w:r>
          </w:p>
        </w:tc>
        <w:tc>
          <w:tcPr>
            <w:tcW w:w="5103" w:type="dxa"/>
            <w:vAlign w:val="center"/>
          </w:tcPr>
          <w:p>
            <w:pPr>
              <w:kinsoku w:val="0"/>
              <w:overflowPunct w:val="0"/>
              <w:spacing w:before="88" w:after="120" w:line="360" w:lineRule="exact"/>
              <w:jc w:val="left"/>
              <w:rPr>
                <w:rFonts w:ascii="宋体" w:hAnsi="宋体" w:cs="宋体"/>
                <w:szCs w:val="21"/>
                <w:highlight w:val="none"/>
              </w:rPr>
            </w:pPr>
            <w:r>
              <w:rPr>
                <w:rFonts w:hint="eastAsia" w:asciiTheme="minorEastAsia" w:hAnsiTheme="minorEastAsia" w:eastAsiaTheme="minorEastAsia"/>
                <w:szCs w:val="21"/>
                <w:highlight w:val="none"/>
              </w:rPr>
              <w:t>评委根据投标人提供的售后服务方案（如服务体系、服务内容、故障解决方案、专业技术人员保障及服务电话等）综合评分。具备非常完善的服务体系，全面的服务内容、可行的故障解决方案、可靠的专业技术人员保障和服务电话的得4分；具有完善的服务体系，较全面的服务内容、较可行的故障解决方案、较可靠的专业技术人员保障和服务电话的得2分；具备有服务体系，服务内容一般、故障解决方案针对性和专业技术人员业务能力一般的得1分；未提供不得分。</w:t>
            </w:r>
          </w:p>
        </w:tc>
        <w:tc>
          <w:tcPr>
            <w:tcW w:w="1048"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3" w:hRule="atLeast"/>
          <w:jc w:val="center"/>
        </w:trPr>
        <w:tc>
          <w:tcPr>
            <w:tcW w:w="1704"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3.4</w:t>
            </w:r>
          </w:p>
        </w:tc>
        <w:tc>
          <w:tcPr>
            <w:tcW w:w="1276"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培训方案</w:t>
            </w:r>
          </w:p>
        </w:tc>
        <w:tc>
          <w:tcPr>
            <w:tcW w:w="5103" w:type="dxa"/>
            <w:vAlign w:val="center"/>
          </w:tcPr>
          <w:p>
            <w:pPr>
              <w:kinsoku w:val="0"/>
              <w:overflowPunct w:val="0"/>
              <w:spacing w:before="88" w:after="120" w:line="360" w:lineRule="exact"/>
              <w:jc w:val="left"/>
              <w:rPr>
                <w:rFonts w:ascii="宋体" w:hAnsi="宋体" w:cs="宋体"/>
                <w:szCs w:val="21"/>
                <w:highlight w:val="none"/>
              </w:rPr>
            </w:pPr>
            <w:r>
              <w:rPr>
                <w:rFonts w:hint="eastAsia" w:asciiTheme="minorEastAsia" w:hAnsiTheme="minorEastAsia" w:eastAsiaTheme="minorEastAsia"/>
                <w:szCs w:val="21"/>
                <w:highlight w:val="none"/>
              </w:rPr>
              <w:t>评委根据投标人提供的培训方案进行综合评分。培训方案详细且针对性强，培训计划合理、培训内容全面、培训形式多样化的得4分；有培训方案且有较强的针对性，培训计划较合理、培训内容较全面的得2分；有培训方案、培训内容，培训计划合理性一般的得1分；未提供不得分。</w:t>
            </w:r>
          </w:p>
        </w:tc>
        <w:tc>
          <w:tcPr>
            <w:tcW w:w="1048"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9131" w:type="dxa"/>
            <w:gridSpan w:val="4"/>
            <w:vAlign w:val="center"/>
          </w:tcPr>
          <w:p>
            <w:pPr>
              <w:jc w:val="left"/>
              <w:rPr>
                <w:rFonts w:ascii="宋体" w:hAnsi="宋体"/>
                <w:szCs w:val="21"/>
                <w:highlight w:val="none"/>
              </w:rPr>
            </w:pPr>
            <w:r>
              <w:rPr>
                <w:rFonts w:hint="eastAsia" w:ascii="宋体" w:hAnsi="宋体"/>
                <w:szCs w:val="21"/>
                <w:highlight w:val="none"/>
              </w:rPr>
              <w:t>4、投标文件制作分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9" w:hRule="atLeast"/>
          <w:jc w:val="center"/>
        </w:trPr>
        <w:tc>
          <w:tcPr>
            <w:tcW w:w="1704" w:type="dxa"/>
            <w:vAlign w:val="center"/>
          </w:tcPr>
          <w:p>
            <w:pPr>
              <w:jc w:val="center"/>
              <w:rPr>
                <w:rFonts w:ascii="宋体" w:hAnsi="宋体"/>
                <w:szCs w:val="21"/>
                <w:highlight w:val="none"/>
              </w:rPr>
            </w:pPr>
            <w:r>
              <w:rPr>
                <w:rFonts w:hint="eastAsia" w:ascii="宋体" w:hAnsi="宋体"/>
                <w:szCs w:val="21"/>
                <w:highlight w:val="none"/>
              </w:rPr>
              <w:t>4.1</w:t>
            </w:r>
          </w:p>
        </w:tc>
        <w:tc>
          <w:tcPr>
            <w:tcW w:w="1276" w:type="dxa"/>
            <w:vAlign w:val="center"/>
          </w:tcPr>
          <w:p>
            <w:pPr>
              <w:jc w:val="center"/>
              <w:rPr>
                <w:rFonts w:ascii="宋体" w:hAnsi="宋体"/>
                <w:szCs w:val="21"/>
                <w:highlight w:val="none"/>
              </w:rPr>
            </w:pPr>
            <w:r>
              <w:rPr>
                <w:rFonts w:hint="eastAsia" w:ascii="宋体" w:hAnsi="宋体"/>
                <w:szCs w:val="21"/>
                <w:highlight w:val="none"/>
              </w:rPr>
              <w:t>投标文件便于评审</w:t>
            </w:r>
          </w:p>
        </w:tc>
        <w:tc>
          <w:tcPr>
            <w:tcW w:w="5103" w:type="dxa"/>
            <w:vAlign w:val="center"/>
          </w:tcPr>
          <w:p>
            <w:pPr>
              <w:spacing w:line="360" w:lineRule="auto"/>
              <w:rPr>
                <w:rFonts w:ascii="宋体" w:hAnsi="宋体"/>
                <w:szCs w:val="21"/>
                <w:highlight w:val="none"/>
              </w:rPr>
            </w:pPr>
            <w:r>
              <w:rPr>
                <w:rFonts w:hint="eastAsia" w:asciiTheme="minorEastAsia" w:hAnsiTheme="minorEastAsia" w:eastAsiaTheme="minorEastAsia"/>
                <w:szCs w:val="21"/>
                <w:highlight w:val="none"/>
              </w:rPr>
              <w:t>文件内容完备，格式规范，封装整齐，满足招标文件要求得2分。未经胶封（如文件夹或订书机等）此项不得分。</w:t>
            </w:r>
          </w:p>
        </w:tc>
        <w:tc>
          <w:tcPr>
            <w:tcW w:w="1048" w:type="dxa"/>
            <w:vAlign w:val="center"/>
          </w:tcPr>
          <w:p>
            <w:pPr>
              <w:jc w:val="center"/>
              <w:rPr>
                <w:rFonts w:ascii="宋体" w:hAnsi="宋体"/>
                <w:szCs w:val="21"/>
                <w:highlight w:val="none"/>
              </w:rPr>
            </w:pPr>
            <w:r>
              <w:rPr>
                <w:rFonts w:hint="eastAsia" w:ascii="宋体" w:hAnsi="宋体"/>
                <w:szCs w:val="21"/>
                <w:highlight w:val="none"/>
              </w:rPr>
              <w:t>2</w:t>
            </w:r>
          </w:p>
        </w:tc>
      </w:tr>
    </w:tbl>
    <w:p>
      <w:pPr>
        <w:pStyle w:val="2"/>
        <w:spacing w:before="0" w:after="0" w:line="240" w:lineRule="auto"/>
        <w:ind w:firstLine="422" w:firstLineChars="200"/>
        <w:rPr>
          <w:sz w:val="21"/>
          <w:szCs w:val="21"/>
          <w:highlight w:val="none"/>
          <w:lang w:val="zh-CN"/>
        </w:rPr>
      </w:pPr>
      <w:r>
        <w:rPr>
          <w:rFonts w:hint="eastAsia" w:ascii="宋体" w:eastAsia="宋体"/>
          <w:bCs/>
          <w:sz w:val="21"/>
          <w:szCs w:val="21"/>
          <w:highlight w:val="none"/>
        </w:rPr>
        <w:t>（本部分内容由南京信息工程大学</w:t>
      </w:r>
      <w:r>
        <w:rPr>
          <w:rFonts w:hint="default" w:ascii="宋体" w:eastAsia="宋体"/>
          <w:bCs/>
          <w:sz w:val="21"/>
          <w:szCs w:val="21"/>
          <w:highlight w:val="none"/>
          <w:lang w:val="en-US"/>
        </w:rPr>
        <w:t>实验室与设备管理</w:t>
      </w:r>
      <w:r>
        <w:rPr>
          <w:rFonts w:hint="eastAsia" w:ascii="宋体" w:eastAsia="宋体"/>
          <w:bCs/>
          <w:sz w:val="21"/>
          <w:szCs w:val="21"/>
          <w:highlight w:val="none"/>
        </w:rPr>
        <w:t>处提供并负责）</w:t>
      </w:r>
    </w:p>
    <w:p>
      <w:pPr>
        <w:spacing w:line="360" w:lineRule="auto"/>
        <w:rPr>
          <w:b/>
          <w:sz w:val="28"/>
          <w:szCs w:val="28"/>
          <w:highlight w:val="none"/>
        </w:rPr>
      </w:pPr>
    </w:p>
    <w:p>
      <w:pPr>
        <w:spacing w:line="360" w:lineRule="auto"/>
        <w:rPr>
          <w:b/>
          <w:sz w:val="28"/>
          <w:szCs w:val="28"/>
          <w:highlight w:val="none"/>
        </w:rPr>
      </w:pPr>
      <w:r>
        <w:rPr>
          <w:rFonts w:hint="eastAsia"/>
          <w:b/>
          <w:sz w:val="28"/>
          <w:szCs w:val="28"/>
          <w:highlight w:val="none"/>
        </w:rPr>
        <w:t>附件</w:t>
      </w:r>
      <w:r>
        <w:rPr>
          <w:b/>
          <w:sz w:val="28"/>
          <w:szCs w:val="28"/>
          <w:highlight w:val="none"/>
        </w:rPr>
        <w:t>6</w:t>
      </w:r>
      <w:r>
        <w:rPr>
          <w:rFonts w:hint="eastAsia"/>
          <w:b/>
          <w:sz w:val="28"/>
          <w:szCs w:val="28"/>
          <w:highlight w:val="none"/>
        </w:rPr>
        <w:t>：</w:t>
      </w:r>
    </w:p>
    <w:p>
      <w:pPr>
        <w:adjustRightInd w:val="0"/>
        <w:snapToGrid w:val="0"/>
        <w:spacing w:before="156" w:beforeLines="50" w:after="156" w:afterLines="50" w:line="360" w:lineRule="auto"/>
        <w:jc w:val="center"/>
        <w:outlineLvl w:val="0"/>
        <w:rPr>
          <w:rFonts w:ascii="黑体" w:hAnsi="黑体" w:eastAsia="黑体"/>
          <w:b/>
          <w:bCs/>
          <w:sz w:val="34"/>
          <w:highlight w:val="none"/>
        </w:rPr>
      </w:pPr>
      <w:r>
        <w:rPr>
          <w:rFonts w:hint="eastAsia" w:ascii="黑体" w:hAnsi="黑体" w:eastAsia="黑体"/>
          <w:b/>
          <w:sz w:val="34"/>
          <w:highlight w:val="none"/>
        </w:rPr>
        <w:t>采购合同</w:t>
      </w:r>
    </w:p>
    <w:p>
      <w:pPr>
        <w:pStyle w:val="11"/>
        <w:adjustRightInd w:val="0"/>
        <w:snapToGrid w:val="0"/>
        <w:spacing w:before="120" w:after="120" w:line="360" w:lineRule="auto"/>
        <w:ind w:firstLine="658"/>
        <w:rPr>
          <w:rFonts w:hAnsi="宋体"/>
          <w:sz w:val="24"/>
          <w:szCs w:val="24"/>
          <w:highlight w:val="none"/>
        </w:rPr>
      </w:pPr>
      <w:r>
        <w:rPr>
          <w:rFonts w:hint="eastAsia" w:hAnsi="宋体"/>
          <w:sz w:val="24"/>
          <w:szCs w:val="24"/>
          <w:highlight w:val="none"/>
        </w:rPr>
        <w:t>项目名称：</w:t>
      </w:r>
    </w:p>
    <w:p>
      <w:pPr>
        <w:pStyle w:val="11"/>
        <w:adjustRightInd w:val="0"/>
        <w:snapToGrid w:val="0"/>
        <w:spacing w:before="120" w:after="120" w:line="360" w:lineRule="auto"/>
        <w:ind w:firstLine="658"/>
        <w:rPr>
          <w:rFonts w:hAnsi="宋体"/>
          <w:sz w:val="24"/>
          <w:szCs w:val="24"/>
          <w:highlight w:val="none"/>
        </w:rPr>
      </w:pPr>
      <w:r>
        <w:rPr>
          <w:rFonts w:hint="eastAsia" w:hAnsi="宋体"/>
          <w:sz w:val="24"/>
          <w:szCs w:val="24"/>
          <w:highlight w:val="none"/>
        </w:rPr>
        <w:t>项目编号：</w:t>
      </w:r>
    </w:p>
    <w:p>
      <w:pPr>
        <w:pStyle w:val="11"/>
        <w:adjustRightInd w:val="0"/>
        <w:snapToGrid w:val="0"/>
        <w:spacing w:before="120" w:after="120" w:line="360" w:lineRule="auto"/>
        <w:ind w:firstLine="658"/>
        <w:rPr>
          <w:rFonts w:hAnsi="宋体"/>
          <w:sz w:val="24"/>
          <w:szCs w:val="24"/>
          <w:highlight w:val="none"/>
          <w:u w:val="single"/>
        </w:rPr>
      </w:pPr>
      <w:r>
        <w:rPr>
          <w:rFonts w:hint="eastAsia" w:hAnsi="宋体"/>
          <w:sz w:val="24"/>
          <w:szCs w:val="24"/>
          <w:highlight w:val="none"/>
        </w:rPr>
        <w:t>甲方：（买方）</w:t>
      </w:r>
      <w:r>
        <w:rPr>
          <w:rFonts w:hAnsi="宋体"/>
          <w:sz w:val="24"/>
          <w:szCs w:val="24"/>
          <w:highlight w:val="none"/>
        </w:rPr>
        <w:t>__________________</w:t>
      </w:r>
    </w:p>
    <w:p>
      <w:pPr>
        <w:pStyle w:val="11"/>
        <w:adjustRightInd w:val="0"/>
        <w:snapToGrid w:val="0"/>
        <w:spacing w:before="120" w:after="120" w:line="360" w:lineRule="auto"/>
        <w:ind w:firstLine="658"/>
        <w:rPr>
          <w:rFonts w:hAnsi="宋体"/>
          <w:sz w:val="24"/>
          <w:szCs w:val="24"/>
          <w:highlight w:val="none"/>
        </w:rPr>
      </w:pPr>
      <w:r>
        <w:rPr>
          <w:rFonts w:hint="eastAsia" w:hAnsi="宋体"/>
          <w:sz w:val="24"/>
          <w:szCs w:val="24"/>
          <w:highlight w:val="none"/>
        </w:rPr>
        <w:t>乙方：（卖方）</w:t>
      </w:r>
      <w:r>
        <w:rPr>
          <w:rFonts w:hAnsi="宋体"/>
          <w:sz w:val="24"/>
          <w:szCs w:val="24"/>
          <w:highlight w:val="none"/>
        </w:rPr>
        <w:t>__________________</w:t>
      </w:r>
    </w:p>
    <w:p>
      <w:pPr>
        <w:pStyle w:val="11"/>
        <w:adjustRightInd w:val="0"/>
        <w:snapToGrid w:val="0"/>
        <w:spacing w:before="120" w:after="120" w:line="360" w:lineRule="auto"/>
        <w:ind w:firstLine="658"/>
        <w:rPr>
          <w:rFonts w:hAnsi="宋体"/>
          <w:b/>
          <w:sz w:val="24"/>
          <w:szCs w:val="24"/>
          <w:highlight w:val="none"/>
        </w:rPr>
      </w:pPr>
      <w:r>
        <w:rPr>
          <w:rFonts w:hint="eastAsia" w:hAnsi="宋体"/>
          <w:sz w:val="24"/>
          <w:szCs w:val="24"/>
          <w:highlight w:val="none"/>
        </w:rPr>
        <w:t>甲、乙双方根据甲方项目采购谈判的结果，签署本合同。</w:t>
      </w:r>
    </w:p>
    <w:p>
      <w:pPr>
        <w:pStyle w:val="11"/>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一、货物内容</w:t>
      </w:r>
    </w:p>
    <w:tbl>
      <w:tblPr>
        <w:tblStyle w:val="19"/>
        <w:tblW w:w="10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165"/>
        <w:gridCol w:w="1115"/>
        <w:gridCol w:w="1160"/>
        <w:gridCol w:w="1160"/>
        <w:gridCol w:w="1160"/>
        <w:gridCol w:w="1160"/>
        <w:gridCol w:w="116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b/>
                <w:sz w:val="24"/>
                <w:highlight w:val="none"/>
              </w:rPr>
            </w:pPr>
            <w:r>
              <w:rPr>
                <w:rFonts w:hint="eastAsia" w:ascii="宋体" w:hAnsi="宋体"/>
                <w:b/>
                <w:sz w:val="24"/>
                <w:highlight w:val="none"/>
              </w:rPr>
              <w:t>分包号</w:t>
            </w:r>
          </w:p>
        </w:tc>
        <w:tc>
          <w:tcPr>
            <w:tcW w:w="1165" w:type="dxa"/>
            <w:vAlign w:val="center"/>
          </w:tcPr>
          <w:p>
            <w:pPr>
              <w:spacing w:line="360" w:lineRule="auto"/>
              <w:jc w:val="center"/>
              <w:rPr>
                <w:rFonts w:ascii="宋体"/>
                <w:b/>
                <w:sz w:val="24"/>
                <w:highlight w:val="none"/>
              </w:rPr>
            </w:pPr>
            <w:r>
              <w:rPr>
                <w:rFonts w:hint="eastAsia" w:ascii="宋体" w:hAnsi="宋体"/>
                <w:b/>
                <w:sz w:val="24"/>
                <w:highlight w:val="none"/>
              </w:rPr>
              <w:t>货物</w:t>
            </w:r>
          </w:p>
          <w:p>
            <w:pPr>
              <w:spacing w:line="360" w:lineRule="auto"/>
              <w:jc w:val="center"/>
              <w:rPr>
                <w:rFonts w:ascii="宋体"/>
                <w:b/>
                <w:sz w:val="24"/>
                <w:highlight w:val="none"/>
              </w:rPr>
            </w:pPr>
            <w:r>
              <w:rPr>
                <w:rFonts w:hint="eastAsia" w:ascii="宋体" w:hAnsi="宋体"/>
                <w:b/>
                <w:sz w:val="24"/>
                <w:highlight w:val="none"/>
              </w:rPr>
              <w:t>名称</w:t>
            </w:r>
          </w:p>
        </w:tc>
        <w:tc>
          <w:tcPr>
            <w:tcW w:w="1115" w:type="dxa"/>
            <w:vAlign w:val="center"/>
          </w:tcPr>
          <w:p>
            <w:pPr>
              <w:spacing w:line="360" w:lineRule="auto"/>
              <w:jc w:val="center"/>
              <w:rPr>
                <w:rFonts w:ascii="宋体"/>
                <w:b/>
                <w:sz w:val="24"/>
                <w:highlight w:val="none"/>
              </w:rPr>
            </w:pPr>
            <w:r>
              <w:rPr>
                <w:rFonts w:hint="eastAsia" w:ascii="宋体" w:hAnsi="宋体"/>
                <w:b/>
                <w:sz w:val="24"/>
                <w:highlight w:val="none"/>
              </w:rPr>
              <w:t>型号</w:t>
            </w:r>
            <w:r>
              <w:rPr>
                <w:rFonts w:ascii="宋体" w:hAnsi="宋体"/>
                <w:b/>
                <w:sz w:val="24"/>
                <w:highlight w:val="none"/>
              </w:rPr>
              <w:t>/</w:t>
            </w:r>
          </w:p>
          <w:p>
            <w:pPr>
              <w:spacing w:line="360" w:lineRule="auto"/>
              <w:jc w:val="center"/>
              <w:rPr>
                <w:rFonts w:ascii="宋体"/>
                <w:b/>
                <w:sz w:val="24"/>
                <w:highlight w:val="none"/>
              </w:rPr>
            </w:pPr>
            <w:r>
              <w:rPr>
                <w:rFonts w:hint="eastAsia" w:ascii="宋体" w:hAnsi="宋体"/>
                <w:b/>
                <w:sz w:val="24"/>
                <w:highlight w:val="none"/>
              </w:rPr>
              <w:t>规格</w:t>
            </w:r>
          </w:p>
        </w:tc>
        <w:tc>
          <w:tcPr>
            <w:tcW w:w="1160" w:type="dxa"/>
            <w:vAlign w:val="center"/>
          </w:tcPr>
          <w:p>
            <w:pPr>
              <w:spacing w:line="360" w:lineRule="auto"/>
              <w:jc w:val="center"/>
              <w:rPr>
                <w:rFonts w:ascii="宋体"/>
                <w:b/>
                <w:sz w:val="24"/>
                <w:highlight w:val="none"/>
              </w:rPr>
            </w:pPr>
            <w:r>
              <w:rPr>
                <w:rFonts w:hint="eastAsia" w:ascii="宋体" w:hAnsi="宋体"/>
                <w:b/>
                <w:sz w:val="24"/>
                <w:highlight w:val="none"/>
              </w:rPr>
              <w:t>品牌</w:t>
            </w:r>
            <w:r>
              <w:rPr>
                <w:rFonts w:ascii="宋体" w:hAnsi="宋体"/>
                <w:b/>
                <w:sz w:val="24"/>
                <w:highlight w:val="none"/>
              </w:rPr>
              <w:t>/</w:t>
            </w:r>
            <w:r>
              <w:rPr>
                <w:rFonts w:hint="eastAsia" w:ascii="宋体" w:hAnsi="宋体"/>
                <w:b/>
                <w:sz w:val="24"/>
                <w:highlight w:val="none"/>
              </w:rPr>
              <w:t>生产厂家</w:t>
            </w:r>
            <w:r>
              <w:rPr>
                <w:rFonts w:ascii="宋体" w:hAnsi="宋体"/>
                <w:b/>
                <w:sz w:val="24"/>
                <w:highlight w:val="none"/>
              </w:rPr>
              <w:t>/</w:t>
            </w:r>
            <w:r>
              <w:rPr>
                <w:rFonts w:hint="eastAsia" w:ascii="宋体" w:hAnsi="宋体"/>
                <w:b/>
                <w:sz w:val="24"/>
                <w:highlight w:val="none"/>
              </w:rPr>
              <w:t>国别</w:t>
            </w:r>
          </w:p>
        </w:tc>
        <w:tc>
          <w:tcPr>
            <w:tcW w:w="1160" w:type="dxa"/>
            <w:vAlign w:val="center"/>
          </w:tcPr>
          <w:p>
            <w:pPr>
              <w:spacing w:line="360" w:lineRule="auto"/>
              <w:jc w:val="center"/>
              <w:rPr>
                <w:rFonts w:ascii="宋体"/>
                <w:b/>
                <w:sz w:val="24"/>
                <w:highlight w:val="none"/>
              </w:rPr>
            </w:pPr>
            <w:r>
              <w:rPr>
                <w:rFonts w:hint="eastAsia" w:ascii="宋体" w:hAnsi="宋体"/>
                <w:b/>
                <w:sz w:val="24"/>
                <w:highlight w:val="none"/>
              </w:rPr>
              <w:t>计量</w:t>
            </w:r>
          </w:p>
          <w:p>
            <w:pPr>
              <w:spacing w:line="360" w:lineRule="auto"/>
              <w:jc w:val="center"/>
              <w:rPr>
                <w:rFonts w:ascii="宋体"/>
                <w:b/>
                <w:sz w:val="24"/>
                <w:highlight w:val="none"/>
              </w:rPr>
            </w:pPr>
            <w:r>
              <w:rPr>
                <w:rFonts w:hint="eastAsia" w:ascii="宋体" w:hAnsi="宋体"/>
                <w:b/>
                <w:sz w:val="24"/>
                <w:highlight w:val="none"/>
              </w:rPr>
              <w:t>单位</w:t>
            </w:r>
          </w:p>
        </w:tc>
        <w:tc>
          <w:tcPr>
            <w:tcW w:w="1160" w:type="dxa"/>
            <w:vAlign w:val="center"/>
          </w:tcPr>
          <w:p>
            <w:pPr>
              <w:spacing w:line="360" w:lineRule="auto"/>
              <w:jc w:val="center"/>
              <w:rPr>
                <w:rFonts w:ascii="宋体"/>
                <w:b/>
                <w:sz w:val="24"/>
                <w:highlight w:val="none"/>
              </w:rPr>
            </w:pPr>
            <w:r>
              <w:rPr>
                <w:rFonts w:hint="eastAsia" w:ascii="宋体" w:hAnsi="宋体"/>
                <w:b/>
                <w:sz w:val="24"/>
                <w:highlight w:val="none"/>
              </w:rPr>
              <w:t>数量</w:t>
            </w:r>
          </w:p>
        </w:tc>
        <w:tc>
          <w:tcPr>
            <w:tcW w:w="1160" w:type="dxa"/>
            <w:vAlign w:val="center"/>
          </w:tcPr>
          <w:p>
            <w:pPr>
              <w:spacing w:line="360" w:lineRule="auto"/>
              <w:jc w:val="center"/>
              <w:rPr>
                <w:rFonts w:ascii="宋体"/>
                <w:b/>
                <w:sz w:val="24"/>
                <w:highlight w:val="none"/>
              </w:rPr>
            </w:pPr>
            <w:r>
              <w:rPr>
                <w:rFonts w:hint="eastAsia" w:ascii="宋体" w:hAnsi="宋体"/>
                <w:b/>
                <w:sz w:val="24"/>
                <w:highlight w:val="none"/>
              </w:rPr>
              <w:t>单价</w:t>
            </w:r>
          </w:p>
        </w:tc>
        <w:tc>
          <w:tcPr>
            <w:tcW w:w="1162" w:type="dxa"/>
            <w:vAlign w:val="center"/>
          </w:tcPr>
          <w:p>
            <w:pPr>
              <w:spacing w:line="360" w:lineRule="auto"/>
              <w:jc w:val="center"/>
              <w:rPr>
                <w:rFonts w:ascii="宋体"/>
                <w:b/>
                <w:sz w:val="24"/>
                <w:highlight w:val="none"/>
              </w:rPr>
            </w:pPr>
            <w:r>
              <w:rPr>
                <w:rFonts w:hint="eastAsia" w:ascii="宋体" w:hAnsi="宋体"/>
                <w:b/>
                <w:sz w:val="24"/>
                <w:highlight w:val="none"/>
              </w:rPr>
              <w:t>每项</w:t>
            </w:r>
          </w:p>
          <w:p>
            <w:pPr>
              <w:spacing w:line="360" w:lineRule="auto"/>
              <w:jc w:val="center"/>
              <w:rPr>
                <w:rFonts w:ascii="宋体"/>
                <w:b/>
                <w:sz w:val="24"/>
                <w:highlight w:val="none"/>
              </w:rPr>
            </w:pPr>
            <w:r>
              <w:rPr>
                <w:rFonts w:hint="eastAsia" w:ascii="宋体" w:hAnsi="宋体"/>
                <w:b/>
                <w:sz w:val="24"/>
                <w:highlight w:val="none"/>
              </w:rPr>
              <w:t>总价</w:t>
            </w:r>
          </w:p>
        </w:tc>
        <w:tc>
          <w:tcPr>
            <w:tcW w:w="1171" w:type="dxa"/>
            <w:vAlign w:val="center"/>
          </w:tcPr>
          <w:p>
            <w:pPr>
              <w:spacing w:line="360" w:lineRule="auto"/>
              <w:jc w:val="center"/>
              <w:rPr>
                <w:rFonts w:ascii="宋体"/>
                <w:b/>
                <w:sz w:val="24"/>
                <w:highlight w:val="none"/>
              </w:rPr>
            </w:pPr>
            <w:r>
              <w:rPr>
                <w:rFonts w:hint="eastAsia" w:ascii="宋体" w:hAnsi="宋体"/>
                <w:b/>
                <w:sz w:val="24"/>
                <w:highlight w:val="none"/>
              </w:rPr>
              <w:t>质保时间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sz w:val="24"/>
                <w:highlight w:val="none"/>
              </w:rPr>
            </w:pPr>
          </w:p>
        </w:tc>
        <w:tc>
          <w:tcPr>
            <w:tcW w:w="1165" w:type="dxa"/>
            <w:vAlign w:val="center"/>
          </w:tcPr>
          <w:p>
            <w:pPr>
              <w:spacing w:line="360" w:lineRule="auto"/>
              <w:jc w:val="center"/>
              <w:rPr>
                <w:rFonts w:ascii="宋体"/>
                <w:sz w:val="24"/>
                <w:highlight w:val="none"/>
              </w:rPr>
            </w:pPr>
          </w:p>
        </w:tc>
        <w:tc>
          <w:tcPr>
            <w:tcW w:w="1115" w:type="dxa"/>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2" w:type="dxa"/>
            <w:vAlign w:val="center"/>
          </w:tcPr>
          <w:p>
            <w:pPr>
              <w:spacing w:line="360" w:lineRule="auto"/>
              <w:jc w:val="center"/>
              <w:rPr>
                <w:rFonts w:ascii="宋体"/>
                <w:sz w:val="24"/>
                <w:highlight w:val="none"/>
              </w:rPr>
            </w:pPr>
          </w:p>
        </w:tc>
        <w:tc>
          <w:tcPr>
            <w:tcW w:w="1171" w:type="dxa"/>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sz w:val="24"/>
                <w:highlight w:val="none"/>
              </w:rPr>
            </w:pPr>
          </w:p>
        </w:tc>
        <w:tc>
          <w:tcPr>
            <w:tcW w:w="1165" w:type="dxa"/>
            <w:vAlign w:val="center"/>
          </w:tcPr>
          <w:p>
            <w:pPr>
              <w:spacing w:line="360" w:lineRule="auto"/>
              <w:jc w:val="center"/>
              <w:rPr>
                <w:rFonts w:ascii="宋体"/>
                <w:sz w:val="24"/>
                <w:highlight w:val="none"/>
              </w:rPr>
            </w:pPr>
          </w:p>
        </w:tc>
        <w:tc>
          <w:tcPr>
            <w:tcW w:w="1115" w:type="dxa"/>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2" w:type="dxa"/>
            <w:vAlign w:val="center"/>
          </w:tcPr>
          <w:p>
            <w:pPr>
              <w:spacing w:line="360" w:lineRule="auto"/>
              <w:jc w:val="center"/>
              <w:rPr>
                <w:rFonts w:ascii="宋体"/>
                <w:sz w:val="24"/>
                <w:highlight w:val="none"/>
              </w:rPr>
            </w:pPr>
          </w:p>
        </w:tc>
        <w:tc>
          <w:tcPr>
            <w:tcW w:w="1171" w:type="dxa"/>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sz w:val="24"/>
                <w:highlight w:val="none"/>
              </w:rPr>
            </w:pPr>
          </w:p>
        </w:tc>
        <w:tc>
          <w:tcPr>
            <w:tcW w:w="1165" w:type="dxa"/>
            <w:vAlign w:val="center"/>
          </w:tcPr>
          <w:p>
            <w:pPr>
              <w:spacing w:line="360" w:lineRule="auto"/>
              <w:jc w:val="center"/>
              <w:rPr>
                <w:rFonts w:ascii="宋体"/>
                <w:sz w:val="24"/>
                <w:highlight w:val="none"/>
              </w:rPr>
            </w:pPr>
          </w:p>
        </w:tc>
        <w:tc>
          <w:tcPr>
            <w:tcW w:w="1115" w:type="dxa"/>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2" w:type="dxa"/>
            <w:vAlign w:val="center"/>
          </w:tcPr>
          <w:p>
            <w:pPr>
              <w:spacing w:line="360" w:lineRule="auto"/>
              <w:jc w:val="center"/>
              <w:rPr>
                <w:rFonts w:ascii="宋体"/>
                <w:sz w:val="24"/>
                <w:highlight w:val="none"/>
              </w:rPr>
            </w:pPr>
          </w:p>
        </w:tc>
        <w:tc>
          <w:tcPr>
            <w:tcW w:w="1171" w:type="dxa"/>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sz w:val="24"/>
                <w:highlight w:val="none"/>
              </w:rPr>
            </w:pPr>
          </w:p>
        </w:tc>
        <w:tc>
          <w:tcPr>
            <w:tcW w:w="1165" w:type="dxa"/>
            <w:vAlign w:val="center"/>
          </w:tcPr>
          <w:p>
            <w:pPr>
              <w:spacing w:line="360" w:lineRule="auto"/>
              <w:jc w:val="center"/>
              <w:rPr>
                <w:rFonts w:ascii="宋体"/>
                <w:sz w:val="24"/>
                <w:highlight w:val="none"/>
              </w:rPr>
            </w:pPr>
          </w:p>
        </w:tc>
        <w:tc>
          <w:tcPr>
            <w:tcW w:w="1115" w:type="dxa"/>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2" w:type="dxa"/>
            <w:vAlign w:val="center"/>
          </w:tcPr>
          <w:p>
            <w:pPr>
              <w:spacing w:line="360" w:lineRule="auto"/>
              <w:jc w:val="center"/>
              <w:rPr>
                <w:rFonts w:ascii="宋体"/>
                <w:sz w:val="24"/>
                <w:highlight w:val="none"/>
              </w:rPr>
            </w:pPr>
          </w:p>
        </w:tc>
        <w:tc>
          <w:tcPr>
            <w:tcW w:w="1171" w:type="dxa"/>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sz w:val="24"/>
                <w:highlight w:val="none"/>
              </w:rPr>
            </w:pPr>
          </w:p>
        </w:tc>
        <w:tc>
          <w:tcPr>
            <w:tcW w:w="1165" w:type="dxa"/>
            <w:vAlign w:val="center"/>
          </w:tcPr>
          <w:p>
            <w:pPr>
              <w:spacing w:line="360" w:lineRule="auto"/>
              <w:jc w:val="center"/>
              <w:rPr>
                <w:rFonts w:ascii="宋体"/>
                <w:sz w:val="24"/>
                <w:highlight w:val="none"/>
              </w:rPr>
            </w:pPr>
          </w:p>
        </w:tc>
        <w:tc>
          <w:tcPr>
            <w:tcW w:w="1115" w:type="dxa"/>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2" w:type="dxa"/>
            <w:vAlign w:val="center"/>
          </w:tcPr>
          <w:p>
            <w:pPr>
              <w:spacing w:line="360" w:lineRule="auto"/>
              <w:jc w:val="center"/>
              <w:rPr>
                <w:rFonts w:ascii="宋体"/>
                <w:sz w:val="24"/>
                <w:highlight w:val="none"/>
              </w:rPr>
            </w:pPr>
          </w:p>
        </w:tc>
        <w:tc>
          <w:tcPr>
            <w:tcW w:w="1171" w:type="dxa"/>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8" w:type="dxa"/>
            <w:gridSpan w:val="2"/>
            <w:vAlign w:val="center"/>
          </w:tcPr>
          <w:p>
            <w:pPr>
              <w:spacing w:line="360" w:lineRule="auto"/>
              <w:jc w:val="center"/>
              <w:rPr>
                <w:rFonts w:ascii="宋体"/>
                <w:sz w:val="24"/>
                <w:highlight w:val="none"/>
              </w:rPr>
            </w:pPr>
            <w:r>
              <w:rPr>
                <w:rFonts w:hint="eastAsia" w:ascii="宋体" w:hAnsi="宋体"/>
                <w:sz w:val="24"/>
                <w:highlight w:val="none"/>
              </w:rPr>
              <w:t>合计总价</w:t>
            </w:r>
          </w:p>
        </w:tc>
        <w:tc>
          <w:tcPr>
            <w:tcW w:w="8088" w:type="dxa"/>
            <w:gridSpan w:val="7"/>
            <w:vAlign w:val="center"/>
          </w:tcPr>
          <w:p>
            <w:pPr>
              <w:spacing w:line="360" w:lineRule="auto"/>
              <w:rPr>
                <w:rFonts w:ascii="宋体"/>
                <w:sz w:val="24"/>
                <w:highlight w:val="none"/>
                <w:u w:val="single"/>
              </w:rPr>
            </w:pPr>
            <w:r>
              <w:rPr>
                <w:rFonts w:hint="eastAsia" w:ascii="宋体" w:hAnsi="宋体"/>
                <w:sz w:val="24"/>
                <w:highlight w:val="none"/>
              </w:rPr>
              <w:t>大写：      小写：      元</w:t>
            </w:r>
          </w:p>
        </w:tc>
      </w:tr>
    </w:tbl>
    <w:p>
      <w:pPr>
        <w:pStyle w:val="11"/>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二、合同金额</w:t>
      </w:r>
    </w:p>
    <w:p>
      <w:pPr>
        <w:tabs>
          <w:tab w:val="left" w:pos="7122"/>
        </w:tabs>
        <w:spacing w:before="1" w:line="364" w:lineRule="auto"/>
        <w:ind w:right="385" w:firstLine="720" w:firstLineChars="300"/>
        <w:jc w:val="both"/>
        <w:rPr>
          <w:sz w:val="24"/>
          <w:highlight w:val="none"/>
        </w:rPr>
      </w:pPr>
      <w:r>
        <w:rPr>
          <w:rFonts w:hAnsi="宋体"/>
          <w:sz w:val="24"/>
          <w:szCs w:val="24"/>
          <w:highlight w:val="none"/>
        </w:rPr>
        <w:t xml:space="preserve">2.1 </w:t>
      </w:r>
      <w:r>
        <w:rPr>
          <w:rFonts w:hint="eastAsia" w:hAnsi="宋体"/>
          <w:sz w:val="24"/>
          <w:szCs w:val="24"/>
          <w:highlight w:val="none"/>
        </w:rPr>
        <w:t>本合同金额为（大写）：</w:t>
      </w:r>
      <w:r>
        <w:rPr>
          <w:rFonts w:hAnsi="宋体"/>
          <w:sz w:val="24"/>
          <w:szCs w:val="24"/>
          <w:highlight w:val="none"/>
        </w:rPr>
        <w:t>________________________</w:t>
      </w:r>
      <w:r>
        <w:rPr>
          <w:rFonts w:hint="eastAsia" w:hAnsi="宋体"/>
          <w:sz w:val="24"/>
          <w:szCs w:val="24"/>
          <w:highlight w:val="none"/>
        </w:rPr>
        <w:t>元人民币。</w:t>
      </w:r>
      <w:r>
        <w:rPr>
          <w:rFonts w:hint="eastAsia" w:ascii="宋体" w:hAnsi="宋体" w:eastAsia="宋体" w:cs="Times New Roman"/>
          <w:kern w:val="2"/>
          <w:sz w:val="24"/>
          <w:szCs w:val="24"/>
          <w:highlight w:val="none"/>
          <w:lang w:val="en-US" w:eastAsia="zh-CN" w:bidi="ar-SA"/>
        </w:rPr>
        <w:t xml:space="preserve">合同金额为实现本项目所需的一切费用，包括但不限于货款、软件、装卸、运输、安装调试、税金、售后等。除此之外，甲方不再承担其他任何费用支付义务。 </w:t>
      </w:r>
    </w:p>
    <w:p>
      <w:pPr>
        <w:pStyle w:val="11"/>
        <w:adjustRightInd w:val="0"/>
        <w:snapToGrid w:val="0"/>
        <w:spacing w:before="120" w:after="120" w:line="360" w:lineRule="auto"/>
        <w:ind w:left="48" w:firstLine="658"/>
        <w:rPr>
          <w:rFonts w:hAnsi="宋体"/>
          <w:sz w:val="24"/>
          <w:szCs w:val="24"/>
          <w:highlight w:val="none"/>
        </w:rPr>
      </w:pPr>
    </w:p>
    <w:p>
      <w:pPr>
        <w:pStyle w:val="11"/>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三、技术资料</w:t>
      </w:r>
    </w:p>
    <w:p>
      <w:pPr>
        <w:pStyle w:val="11"/>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3.1</w:t>
      </w:r>
      <w:r>
        <w:rPr>
          <w:rFonts w:hint="eastAsia" w:hAnsi="宋体"/>
          <w:sz w:val="24"/>
          <w:szCs w:val="24"/>
          <w:highlight w:val="none"/>
        </w:rPr>
        <w:t>乙方应按采购文件规定的时间向甲方提供使用货物的有关技术资料。</w:t>
      </w:r>
    </w:p>
    <w:p>
      <w:pPr>
        <w:pStyle w:val="11"/>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 xml:space="preserve">3.2 </w:t>
      </w:r>
      <w:r>
        <w:rPr>
          <w:rFonts w:hint="eastAsia" w:hAnsi="宋体"/>
          <w:sz w:val="24"/>
          <w:szCs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adjustRightInd w:val="0"/>
        <w:snapToGrid w:val="0"/>
        <w:spacing w:before="120" w:after="120" w:line="360" w:lineRule="auto"/>
        <w:ind w:left="50" w:firstLine="660"/>
        <w:rPr>
          <w:rFonts w:hAnsi="宋体"/>
          <w:b/>
          <w:sz w:val="24"/>
          <w:szCs w:val="24"/>
          <w:highlight w:val="none"/>
        </w:rPr>
      </w:pPr>
      <w:r>
        <w:rPr>
          <w:rFonts w:hint="eastAsia" w:hAnsi="宋体"/>
          <w:b/>
          <w:sz w:val="24"/>
          <w:szCs w:val="24"/>
          <w:highlight w:val="none"/>
        </w:rPr>
        <w:t>四、知识产权</w:t>
      </w:r>
    </w:p>
    <w:p>
      <w:pPr>
        <w:pStyle w:val="11"/>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4.1</w:t>
      </w:r>
      <w:r>
        <w:rPr>
          <w:rFonts w:hint="eastAsia" w:hAnsi="宋体"/>
          <w:sz w:val="24"/>
          <w:szCs w:val="24"/>
          <w:highlight w:val="none"/>
        </w:rPr>
        <w:t>乙方应保证甲方在使用、接受本合同货物和服务或其任何一部分时不受第三方提出侵犯其专利权、版权、商标权和工业设计权等知识产权的起诉。一旦出现侵权，由乙方负全部责任。</w:t>
      </w:r>
    </w:p>
    <w:p>
      <w:pPr>
        <w:pStyle w:val="11"/>
        <w:adjustRightInd w:val="0"/>
        <w:snapToGrid w:val="0"/>
        <w:spacing w:before="120" w:after="120" w:line="360" w:lineRule="auto"/>
        <w:ind w:firstLine="660"/>
        <w:rPr>
          <w:rFonts w:hAnsi="宋体"/>
          <w:sz w:val="24"/>
          <w:szCs w:val="24"/>
          <w:highlight w:val="none"/>
          <w:u w:val="single"/>
        </w:rPr>
      </w:pPr>
      <w:r>
        <w:rPr>
          <w:rFonts w:hint="eastAsia" w:hAnsi="宋体"/>
          <w:b/>
          <w:sz w:val="24"/>
          <w:szCs w:val="24"/>
          <w:highlight w:val="none"/>
        </w:rPr>
        <w:t>五、产权担保</w:t>
      </w:r>
    </w:p>
    <w:p>
      <w:pPr>
        <w:pStyle w:val="11"/>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 xml:space="preserve">5.1 </w:t>
      </w:r>
      <w:r>
        <w:rPr>
          <w:rFonts w:hint="eastAsia" w:hAnsi="宋体"/>
          <w:sz w:val="24"/>
          <w:szCs w:val="24"/>
          <w:highlight w:val="none"/>
        </w:rPr>
        <w:t>乙方保证所交付的货物的所有权完全属于乙方且无任何抵押、查封等产权瑕疵。</w:t>
      </w:r>
    </w:p>
    <w:p>
      <w:pPr>
        <w:pStyle w:val="11"/>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六、履约保证金</w:t>
      </w:r>
    </w:p>
    <w:p>
      <w:pPr>
        <w:pStyle w:val="11"/>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 xml:space="preserve">6.1 </w:t>
      </w:r>
      <w:r>
        <w:rPr>
          <w:rFonts w:hint="eastAsia" w:hAnsi="宋体"/>
          <w:sz w:val="24"/>
          <w:szCs w:val="24"/>
          <w:highlight w:val="none"/>
        </w:rPr>
        <w:t>乙方交纳人民币</w:t>
      </w:r>
      <w:r>
        <w:rPr>
          <w:rFonts w:hAnsi="宋体"/>
          <w:sz w:val="24"/>
          <w:szCs w:val="24"/>
          <w:highlight w:val="none"/>
        </w:rPr>
        <w:t>_____</w:t>
      </w:r>
      <w:r>
        <w:rPr>
          <w:rFonts w:hint="eastAsia" w:hAnsi="宋体"/>
          <w:sz w:val="24"/>
          <w:szCs w:val="24"/>
          <w:highlight w:val="none"/>
        </w:rPr>
        <w:t>元作为本合同的履约保证金。</w:t>
      </w:r>
    </w:p>
    <w:p>
      <w:pPr>
        <w:adjustRightInd w:val="0"/>
        <w:snapToGrid w:val="0"/>
        <w:spacing w:before="156" w:beforeLines="50" w:after="156" w:afterLines="50" w:line="360" w:lineRule="auto"/>
        <w:ind w:firstLine="480"/>
        <w:rPr>
          <w:rFonts w:ascii="宋体" w:cs="Courier New"/>
          <w:b/>
          <w:sz w:val="24"/>
          <w:highlight w:val="none"/>
        </w:rPr>
      </w:pPr>
      <w:r>
        <w:rPr>
          <w:rFonts w:hint="eastAsia" w:ascii="宋体" w:hAnsi="宋体" w:cs="Courier New"/>
          <w:b/>
          <w:sz w:val="24"/>
          <w:highlight w:val="none"/>
        </w:rPr>
        <w:t>七</w:t>
      </w:r>
      <w:r>
        <w:rPr>
          <w:rFonts w:ascii="宋体" w:cs="Courier New"/>
          <w:b/>
          <w:sz w:val="24"/>
          <w:highlight w:val="none"/>
        </w:rPr>
        <w:t>.</w:t>
      </w:r>
      <w:r>
        <w:rPr>
          <w:rFonts w:hint="eastAsia" w:ascii="宋体" w:hAnsi="宋体" w:cs="Courier New"/>
          <w:b/>
          <w:sz w:val="24"/>
          <w:highlight w:val="none"/>
        </w:rPr>
        <w:t>转包或分包</w:t>
      </w:r>
    </w:p>
    <w:p>
      <w:pPr>
        <w:pStyle w:val="11"/>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7.1</w:t>
      </w:r>
      <w:r>
        <w:rPr>
          <w:rFonts w:hint="eastAsia" w:hAnsi="宋体"/>
          <w:sz w:val="24"/>
          <w:szCs w:val="24"/>
          <w:highlight w:val="none"/>
        </w:rPr>
        <w:t>本合同范围的货物，应由乙方直接供应，不得转让他人供应；</w:t>
      </w:r>
    </w:p>
    <w:p>
      <w:pPr>
        <w:pStyle w:val="11"/>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7.2</w:t>
      </w:r>
      <w:r>
        <w:rPr>
          <w:rFonts w:hint="eastAsia" w:hAnsi="宋体"/>
          <w:sz w:val="24"/>
          <w:szCs w:val="24"/>
          <w:highlight w:val="none"/>
        </w:rPr>
        <w:t>除非得到甲方的书面同意，乙方不得部分分包给他人供应。</w:t>
      </w:r>
    </w:p>
    <w:p>
      <w:pPr>
        <w:pStyle w:val="11"/>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7.3</w:t>
      </w:r>
      <w:r>
        <w:rPr>
          <w:rFonts w:hint="eastAsia" w:hAnsi="宋体"/>
          <w:sz w:val="24"/>
          <w:szCs w:val="24"/>
          <w:highlight w:val="none"/>
        </w:rPr>
        <w:t>如有转让和未经甲方同意的分包行为，甲方有权给予终止合同。</w:t>
      </w:r>
    </w:p>
    <w:p>
      <w:pPr>
        <w:pStyle w:val="11"/>
        <w:adjustRightInd w:val="0"/>
        <w:snapToGrid w:val="0"/>
        <w:spacing w:before="120" w:after="120" w:line="360" w:lineRule="auto"/>
        <w:ind w:firstLine="660"/>
        <w:rPr>
          <w:rFonts w:hAnsi="宋体"/>
          <w:sz w:val="24"/>
          <w:szCs w:val="24"/>
          <w:highlight w:val="none"/>
        </w:rPr>
      </w:pPr>
      <w:r>
        <w:rPr>
          <w:rFonts w:hint="eastAsia" w:hAnsi="宋体"/>
          <w:b/>
          <w:sz w:val="24"/>
          <w:szCs w:val="24"/>
          <w:highlight w:val="none"/>
        </w:rPr>
        <w:t>八、质保期</w:t>
      </w:r>
    </w:p>
    <w:p>
      <w:pPr>
        <w:pStyle w:val="11"/>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8.1</w:t>
      </w:r>
      <w:r>
        <w:rPr>
          <w:rFonts w:hint="eastAsia" w:hAnsi="宋体"/>
          <w:sz w:val="24"/>
          <w:szCs w:val="24"/>
          <w:highlight w:val="none"/>
        </w:rPr>
        <w:t>质保期：36个月。（自交货验收合格之日起计）</w:t>
      </w:r>
    </w:p>
    <w:p>
      <w:pPr>
        <w:pStyle w:val="11"/>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九、交货期、交货方式及交货地点</w:t>
      </w:r>
    </w:p>
    <w:p>
      <w:pPr>
        <w:pStyle w:val="11"/>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 xml:space="preserve">9.1 </w:t>
      </w:r>
      <w:r>
        <w:rPr>
          <w:rFonts w:hint="eastAsia" w:hAnsi="宋体"/>
          <w:sz w:val="24"/>
          <w:szCs w:val="24"/>
          <w:highlight w:val="none"/>
        </w:rPr>
        <w:t>交货期：</w:t>
      </w:r>
      <w:r>
        <w:rPr>
          <w:rFonts w:hAnsi="宋体"/>
          <w:sz w:val="24"/>
          <w:szCs w:val="24"/>
          <w:highlight w:val="none"/>
        </w:rPr>
        <w:t>_________</w:t>
      </w:r>
    </w:p>
    <w:p>
      <w:pPr>
        <w:pStyle w:val="11"/>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 xml:space="preserve">9.2 </w:t>
      </w:r>
      <w:r>
        <w:rPr>
          <w:rFonts w:hint="eastAsia" w:hAnsi="宋体"/>
          <w:sz w:val="24"/>
          <w:szCs w:val="24"/>
          <w:highlight w:val="none"/>
        </w:rPr>
        <w:t>交货方式：</w:t>
      </w:r>
      <w:r>
        <w:rPr>
          <w:rFonts w:hAnsi="宋体"/>
          <w:sz w:val="24"/>
          <w:szCs w:val="24"/>
          <w:highlight w:val="none"/>
        </w:rPr>
        <w:t>_________</w:t>
      </w:r>
    </w:p>
    <w:p>
      <w:pPr>
        <w:pStyle w:val="11"/>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 xml:space="preserve">9.3 </w:t>
      </w:r>
      <w:r>
        <w:rPr>
          <w:rFonts w:hint="eastAsia" w:hAnsi="宋体"/>
          <w:sz w:val="24"/>
          <w:szCs w:val="24"/>
          <w:highlight w:val="none"/>
        </w:rPr>
        <w:t>交货地点：用户单位地点或用户指定地点。</w:t>
      </w:r>
    </w:p>
    <w:p>
      <w:pPr>
        <w:pStyle w:val="11"/>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十、货款支付</w:t>
      </w:r>
    </w:p>
    <w:p>
      <w:pPr>
        <w:pStyle w:val="11"/>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10.1</w:t>
      </w:r>
      <w:r>
        <w:rPr>
          <w:rFonts w:hint="eastAsia" w:hAnsi="宋体"/>
          <w:sz w:val="24"/>
          <w:szCs w:val="24"/>
          <w:highlight w:val="none"/>
        </w:rPr>
        <w:t>付款方式：针对国内供应货物，签订合同后，20日内预付合同金额的30%，全部货物交货并</w:t>
      </w:r>
      <w:r>
        <w:rPr>
          <w:rFonts w:hint="eastAsia" w:hAnsi="宋体"/>
          <w:sz w:val="24"/>
          <w:szCs w:val="24"/>
          <w:highlight w:val="none"/>
          <w:lang w:val="en-US" w:eastAsia="zh-CN"/>
        </w:rPr>
        <w:t>最终</w:t>
      </w:r>
      <w:r>
        <w:rPr>
          <w:rFonts w:hint="eastAsia" w:hAnsi="宋体"/>
          <w:sz w:val="24"/>
          <w:szCs w:val="24"/>
          <w:highlight w:val="none"/>
        </w:rPr>
        <w:t>验收合格后，凭验收凭证和货物验收合格等文件20日内支付至合同金额的</w:t>
      </w:r>
      <w:r>
        <w:rPr>
          <w:rFonts w:hint="eastAsia" w:hAnsi="宋体"/>
          <w:sz w:val="24"/>
          <w:szCs w:val="24"/>
          <w:highlight w:val="none"/>
          <w:lang w:val="en-US" w:eastAsia="zh-CN"/>
        </w:rPr>
        <w:t>95</w:t>
      </w:r>
      <w:r>
        <w:rPr>
          <w:rFonts w:hint="eastAsia" w:hAnsi="宋体"/>
          <w:sz w:val="24"/>
          <w:szCs w:val="24"/>
          <w:highlight w:val="none"/>
        </w:rPr>
        <w:t>%，</w:t>
      </w:r>
      <w:r>
        <w:rPr>
          <w:rFonts w:hint="eastAsia" w:hAnsi="宋体"/>
          <w:sz w:val="24"/>
          <w:szCs w:val="24"/>
          <w:highlight w:val="none"/>
          <w:lang w:val="en-US" w:eastAsia="zh-CN"/>
        </w:rPr>
        <w:t>剩余5%转换为</w:t>
      </w:r>
      <w:r>
        <w:rPr>
          <w:rFonts w:hint="eastAsia" w:hAnsi="宋体"/>
          <w:sz w:val="24"/>
          <w:szCs w:val="24"/>
          <w:highlight w:val="none"/>
        </w:rPr>
        <w:t>质量保证金</w:t>
      </w:r>
      <w:r>
        <w:rPr>
          <w:rFonts w:hint="eastAsia" w:hAnsi="宋体"/>
          <w:sz w:val="24"/>
          <w:szCs w:val="24"/>
          <w:highlight w:val="none"/>
          <w:lang w:eastAsia="zh-CN"/>
        </w:rPr>
        <w:t>，</w:t>
      </w:r>
      <w:r>
        <w:rPr>
          <w:rFonts w:hint="eastAsia" w:hAnsi="宋体"/>
          <w:sz w:val="24"/>
          <w:szCs w:val="24"/>
          <w:highlight w:val="none"/>
          <w:lang w:val="en-US" w:eastAsia="zh-CN"/>
        </w:rPr>
        <w:t>在</w:t>
      </w:r>
      <w:r>
        <w:rPr>
          <w:rFonts w:hint="eastAsia" w:hAnsi="宋体"/>
          <w:sz w:val="24"/>
          <w:szCs w:val="24"/>
          <w:highlight w:val="none"/>
        </w:rPr>
        <w:t>质保期满后，</w:t>
      </w:r>
      <w:r>
        <w:rPr>
          <w:rFonts w:hAnsi="宋体"/>
          <w:sz w:val="24"/>
          <w:szCs w:val="24"/>
          <w:highlight w:val="none"/>
        </w:rPr>
        <w:t>经有关单位确认无质量问题后，一次性</w:t>
      </w:r>
      <w:r>
        <w:rPr>
          <w:rFonts w:hint="eastAsia" w:hAnsi="宋体"/>
          <w:sz w:val="24"/>
          <w:szCs w:val="24"/>
          <w:highlight w:val="none"/>
        </w:rPr>
        <w:t>无息付清</w:t>
      </w:r>
      <w:r>
        <w:rPr>
          <w:rFonts w:hAnsi="宋体"/>
          <w:sz w:val="24"/>
          <w:szCs w:val="24"/>
          <w:highlight w:val="none"/>
        </w:rPr>
        <w:t>。具体内容以最终签署的合同约定为准。</w:t>
      </w:r>
    </w:p>
    <w:p>
      <w:pPr>
        <w:pStyle w:val="11"/>
        <w:adjustRightInd w:val="0"/>
        <w:snapToGrid w:val="0"/>
        <w:spacing w:before="120" w:after="120" w:line="360" w:lineRule="auto"/>
        <w:ind w:left="1" w:firstLine="658"/>
        <w:rPr>
          <w:rFonts w:hAnsi="宋体"/>
          <w:sz w:val="24"/>
          <w:szCs w:val="24"/>
          <w:highlight w:val="none"/>
        </w:rPr>
      </w:pPr>
      <w:r>
        <w:rPr>
          <w:rFonts w:hAnsi="宋体"/>
          <w:sz w:val="24"/>
          <w:szCs w:val="24"/>
          <w:highlight w:val="none"/>
        </w:rPr>
        <w:t>针对国外供应货物（进口货物），由外贸公司开具全额发票，外贸合同中采用100%信用证，90%见单即付，10%凭最终用户方签字和盖章的验收报告支付。</w:t>
      </w:r>
    </w:p>
    <w:p>
      <w:pPr>
        <w:ind w:firstLine="482" w:firstLineChars="200"/>
        <w:rPr>
          <w:rFonts w:ascii="宋体"/>
          <w:b/>
          <w:sz w:val="24"/>
          <w:highlight w:val="none"/>
        </w:rPr>
      </w:pPr>
      <w:r>
        <w:rPr>
          <w:rFonts w:hint="eastAsia" w:ascii="宋体" w:hAnsi="宋体"/>
          <w:b/>
          <w:sz w:val="24"/>
          <w:highlight w:val="none"/>
        </w:rPr>
        <w:t>十一、税</w:t>
      </w:r>
    </w:p>
    <w:p>
      <w:pPr>
        <w:pStyle w:val="11"/>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11.1</w:t>
      </w:r>
      <w:r>
        <w:rPr>
          <w:rFonts w:hint="eastAsia" w:hAnsi="宋体"/>
          <w:sz w:val="24"/>
          <w:szCs w:val="24"/>
          <w:highlight w:val="none"/>
        </w:rPr>
        <w:t>发票要求：针对国内供货的货物，乙方开具合同全额“增值税专用发票”。</w:t>
      </w:r>
    </w:p>
    <w:p>
      <w:pPr>
        <w:pStyle w:val="11"/>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11.2</w:t>
      </w:r>
      <w:r>
        <w:rPr>
          <w:rFonts w:hint="eastAsia" w:hAnsi="宋体"/>
          <w:sz w:val="24"/>
          <w:szCs w:val="24"/>
          <w:highlight w:val="none"/>
        </w:rPr>
        <w:t>本合同执行中相关的一切税费均由乙方负担。</w:t>
      </w:r>
    </w:p>
    <w:p>
      <w:pPr>
        <w:pStyle w:val="11"/>
        <w:adjustRightInd w:val="0"/>
        <w:snapToGrid w:val="0"/>
        <w:spacing w:before="120" w:after="120" w:line="360" w:lineRule="auto"/>
        <w:ind w:left="1" w:firstLine="660"/>
        <w:rPr>
          <w:rFonts w:hAnsi="宋体"/>
          <w:sz w:val="24"/>
          <w:szCs w:val="24"/>
          <w:highlight w:val="none"/>
        </w:rPr>
      </w:pPr>
      <w:r>
        <w:rPr>
          <w:rFonts w:hint="eastAsia" w:hAnsi="宋体"/>
          <w:b/>
          <w:sz w:val="24"/>
          <w:szCs w:val="24"/>
          <w:highlight w:val="none"/>
        </w:rPr>
        <w:t>十二、质量保证及售后服务</w:t>
      </w:r>
    </w:p>
    <w:p>
      <w:pPr>
        <w:pStyle w:val="11"/>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 xml:space="preserve">12.1 </w:t>
      </w:r>
      <w:r>
        <w:rPr>
          <w:rFonts w:hint="eastAsia" w:hAnsi="宋体"/>
          <w:sz w:val="24"/>
          <w:szCs w:val="24"/>
          <w:highlight w:val="none"/>
        </w:rPr>
        <w:t>乙方应按采购文件规定的货物性能、技术要求、质量标准向甲方提供未经使用的全新产品。</w:t>
      </w:r>
      <w:ins w:id="0" w:author="nuist_smy" w:date="2020-07-31T09:45:00Z">
        <w:r>
          <w:rPr>
            <w:rFonts w:hint="eastAsia" w:hAnsi="宋体"/>
            <w:sz w:val="24"/>
            <w:szCs w:val="24"/>
            <w:highlight w:val="none"/>
          </w:rPr>
          <w:t>针对国外供应货物（进口货物），乙方须提供原产地证明。</w:t>
        </w:r>
      </w:ins>
    </w:p>
    <w:p>
      <w:pPr>
        <w:pStyle w:val="11"/>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 xml:space="preserve">12.2 </w:t>
      </w:r>
      <w:r>
        <w:rPr>
          <w:rFonts w:hint="eastAsia" w:hAnsi="宋体"/>
          <w:sz w:val="24"/>
          <w:szCs w:val="24"/>
          <w:highlight w:val="none"/>
        </w:rPr>
        <w:t>乙方提供的货物在质量期内因货物本身的质量问题发生故障，乙方应负责免费更换。对达不到技术要求者，根据实际情况，经双方协商，可按以下办法处理：</w:t>
      </w:r>
    </w:p>
    <w:p>
      <w:pPr>
        <w:adjustRightInd w:val="0"/>
        <w:snapToGrid w:val="0"/>
        <w:spacing w:line="360" w:lineRule="auto"/>
        <w:ind w:firstLine="360" w:firstLineChars="150"/>
        <w:rPr>
          <w:sz w:val="24"/>
          <w:highlight w:val="none"/>
        </w:rPr>
      </w:pPr>
      <w:r>
        <w:rPr>
          <w:rFonts w:hint="eastAsia"/>
          <w:sz w:val="24"/>
          <w:highlight w:val="none"/>
        </w:rPr>
        <w:t>（</w:t>
      </w:r>
      <w:r>
        <w:rPr>
          <w:sz w:val="24"/>
          <w:highlight w:val="none"/>
        </w:rPr>
        <w:t>1</w:t>
      </w:r>
      <w:r>
        <w:rPr>
          <w:rFonts w:hint="eastAsia"/>
          <w:sz w:val="24"/>
          <w:highlight w:val="none"/>
        </w:rPr>
        <w:t>）更换：由乙方承担所发生的全部费用。</w:t>
      </w:r>
    </w:p>
    <w:p>
      <w:pPr>
        <w:adjustRightInd w:val="0"/>
        <w:snapToGrid w:val="0"/>
        <w:spacing w:line="360" w:lineRule="auto"/>
        <w:ind w:firstLine="360" w:firstLineChars="150"/>
        <w:rPr>
          <w:sz w:val="24"/>
          <w:highlight w:val="none"/>
        </w:rPr>
      </w:pPr>
      <w:r>
        <w:rPr>
          <w:rFonts w:hint="eastAsia"/>
          <w:sz w:val="24"/>
          <w:highlight w:val="none"/>
        </w:rPr>
        <w:t>（</w:t>
      </w:r>
      <w:r>
        <w:rPr>
          <w:sz w:val="24"/>
          <w:highlight w:val="none"/>
        </w:rPr>
        <w:t>2</w:t>
      </w:r>
      <w:r>
        <w:rPr>
          <w:rFonts w:hint="eastAsia"/>
          <w:sz w:val="24"/>
          <w:highlight w:val="none"/>
        </w:rPr>
        <w:t>）贬值处理：由甲乙双方合议定价。</w:t>
      </w:r>
    </w:p>
    <w:p>
      <w:pPr>
        <w:adjustRightInd w:val="0"/>
        <w:snapToGrid w:val="0"/>
        <w:spacing w:line="360" w:lineRule="auto"/>
        <w:ind w:firstLine="360" w:firstLineChars="150"/>
        <w:rPr>
          <w:sz w:val="24"/>
          <w:highlight w:val="none"/>
        </w:rPr>
      </w:pPr>
      <w:r>
        <w:rPr>
          <w:rFonts w:hint="eastAsia"/>
          <w:sz w:val="24"/>
          <w:highlight w:val="none"/>
        </w:rPr>
        <w:t>（</w:t>
      </w:r>
      <w:r>
        <w:rPr>
          <w:sz w:val="24"/>
          <w:highlight w:val="none"/>
        </w:rPr>
        <w:t>3</w:t>
      </w:r>
      <w:r>
        <w:rPr>
          <w:rFonts w:hint="eastAsia"/>
          <w:sz w:val="24"/>
          <w:highlight w:val="none"/>
        </w:rPr>
        <w:t>）退货处理：乙方应退还甲方支付的合同款，同时应承担该货物的直接费用（运输、保险、检验、货款利息及银行手续费等）。</w:t>
      </w:r>
    </w:p>
    <w:p>
      <w:pPr>
        <w:pStyle w:val="11"/>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12.3 </w:t>
      </w:r>
      <w:r>
        <w:rPr>
          <w:rFonts w:hint="eastAsia" w:hAnsi="宋体"/>
          <w:sz w:val="24"/>
          <w:szCs w:val="24"/>
          <w:highlight w:val="none"/>
        </w:rPr>
        <w:t>如在使用过程中发生质量问题，乙方在接到甲方通知后在小时内到达甲方现场。</w:t>
      </w:r>
    </w:p>
    <w:p>
      <w:pPr>
        <w:pStyle w:val="11"/>
        <w:adjustRightInd w:val="0"/>
        <w:snapToGrid w:val="0"/>
        <w:spacing w:before="120" w:after="120" w:line="360" w:lineRule="auto"/>
        <w:ind w:left="1" w:firstLine="566"/>
        <w:rPr>
          <w:rFonts w:hint="eastAsia" w:hAnsi="宋体"/>
          <w:sz w:val="24"/>
          <w:szCs w:val="24"/>
          <w:highlight w:val="none"/>
        </w:rPr>
      </w:pPr>
      <w:r>
        <w:rPr>
          <w:rFonts w:hAnsi="宋体"/>
          <w:sz w:val="24"/>
          <w:szCs w:val="24"/>
          <w:highlight w:val="none"/>
        </w:rPr>
        <w:t xml:space="preserve">12.4 </w:t>
      </w:r>
      <w:r>
        <w:rPr>
          <w:rFonts w:hint="eastAsia" w:hAnsi="宋体"/>
          <w:sz w:val="24"/>
          <w:szCs w:val="24"/>
          <w:highlight w:val="none"/>
        </w:rPr>
        <w:t>在质保期内，乙方应对货物出现的质量及安全问题负责处理解决并承担一切费用。</w:t>
      </w:r>
    </w:p>
    <w:p>
      <w:pPr>
        <w:pStyle w:val="11"/>
        <w:adjustRightInd w:val="0"/>
        <w:snapToGrid w:val="0"/>
        <w:spacing w:before="120" w:after="120" w:line="360" w:lineRule="auto"/>
        <w:ind w:left="1" w:firstLine="566"/>
        <w:rPr>
          <w:rFonts w:hint="eastAsia" w:hAnsi="宋体"/>
          <w:sz w:val="24"/>
          <w:szCs w:val="24"/>
          <w:highlight w:val="none"/>
        </w:rPr>
      </w:pPr>
      <w:r>
        <w:rPr>
          <w:rFonts w:hAnsi="宋体"/>
          <w:sz w:val="24"/>
          <w:szCs w:val="24"/>
          <w:highlight w:val="none"/>
        </w:rPr>
        <w:t>12.5</w:t>
      </w:r>
      <w:r>
        <w:rPr>
          <w:rFonts w:hint="eastAsia" w:hAnsi="宋体"/>
          <w:sz w:val="24"/>
          <w:szCs w:val="24"/>
          <w:highlight w:val="none"/>
        </w:rPr>
        <w:t>上述的货物免费保修期为</w:t>
      </w:r>
      <w:r>
        <w:rPr>
          <w:rFonts w:hint="eastAsia" w:hAnsi="宋体"/>
          <w:sz w:val="24"/>
          <w:szCs w:val="24"/>
          <w:highlight w:val="none"/>
          <w:u w:val="single"/>
        </w:rPr>
        <w:t xml:space="preserve">   </w:t>
      </w:r>
      <w:r>
        <w:rPr>
          <w:rFonts w:hint="eastAsia" w:hAnsi="宋体"/>
          <w:sz w:val="24"/>
          <w:szCs w:val="24"/>
          <w:highlight w:val="none"/>
        </w:rPr>
        <w:t>年，因人为因素出现的故障不在免费保修范围内。超过保修期的机器设备，终生维修，维修时只收部件成本费。</w:t>
      </w:r>
    </w:p>
    <w:p>
      <w:pPr>
        <w:pStyle w:val="11"/>
        <w:adjustRightInd w:val="0"/>
        <w:snapToGrid w:val="0"/>
        <w:spacing w:before="120" w:after="120" w:line="360" w:lineRule="auto"/>
        <w:ind w:left="1" w:firstLine="566"/>
        <w:rPr>
          <w:rFonts w:hint="eastAsia" w:ascii="宋体" w:hAnsi="宋体" w:eastAsia="宋体" w:cs="Times New Roman"/>
          <w:kern w:val="2"/>
          <w:sz w:val="24"/>
          <w:szCs w:val="24"/>
          <w:highlight w:val="none"/>
          <w:lang w:val="en-US" w:eastAsia="zh-CN" w:bidi="ar-SA"/>
        </w:rPr>
      </w:pPr>
      <w:r>
        <w:rPr>
          <w:rFonts w:hint="eastAsia" w:hAnsi="宋体" w:cs="Times New Roman"/>
          <w:kern w:val="2"/>
          <w:sz w:val="24"/>
          <w:szCs w:val="24"/>
          <w:highlight w:val="none"/>
          <w:lang w:val="en-US" w:eastAsia="zh-CN" w:bidi="ar-SA"/>
        </w:rPr>
        <w:t>12.6</w:t>
      </w:r>
      <w:r>
        <w:rPr>
          <w:rFonts w:hint="eastAsia" w:ascii="宋体" w:hAnsi="宋体" w:eastAsia="宋体" w:cs="Times New Roman"/>
          <w:kern w:val="2"/>
          <w:sz w:val="24"/>
          <w:szCs w:val="24"/>
          <w:highlight w:val="none"/>
          <w:lang w:val="en-US" w:eastAsia="zh-CN" w:bidi="ar-SA"/>
        </w:rPr>
        <w:t xml:space="preserve">无论是质量保证期内还是质量保证期外，乙方应在设备发生故障时,保修期内在工作日4 小时內明确回复；如果未能解決问题,工程师在工作日 24 时内到达现场,遇到重大故障时,在工作日 8 小时内到达现场。在质量保证期内，免费维修更换有缺陷的货物或部件，质量保证期外，乙方继续提供维修服务及零部件更换。 </w:t>
      </w:r>
    </w:p>
    <w:p>
      <w:pPr>
        <w:pStyle w:val="11"/>
        <w:adjustRightInd w:val="0"/>
        <w:snapToGrid w:val="0"/>
        <w:spacing w:before="120" w:after="120" w:line="360" w:lineRule="auto"/>
        <w:ind w:left="1" w:firstLine="566"/>
        <w:rPr>
          <w:rFonts w:hint="eastAsia" w:ascii="宋体" w:hAnsi="宋体" w:eastAsia="宋体" w:cs="Times New Roman"/>
          <w:kern w:val="2"/>
          <w:sz w:val="24"/>
          <w:szCs w:val="24"/>
          <w:highlight w:val="none"/>
          <w:lang w:val="en-US" w:eastAsia="zh-CN" w:bidi="ar-SA"/>
        </w:rPr>
      </w:pPr>
      <w:r>
        <w:rPr>
          <w:rFonts w:hint="eastAsia" w:hAnsi="宋体" w:cs="Times New Roman"/>
          <w:kern w:val="2"/>
          <w:sz w:val="24"/>
          <w:szCs w:val="24"/>
          <w:highlight w:val="none"/>
          <w:lang w:val="en-US" w:eastAsia="zh-CN" w:bidi="ar-SA"/>
        </w:rPr>
        <w:t>12.7</w:t>
      </w:r>
      <w:r>
        <w:rPr>
          <w:rFonts w:hint="eastAsia" w:ascii="宋体" w:hAnsi="宋体" w:eastAsia="宋体" w:cs="Times New Roman"/>
          <w:kern w:val="2"/>
          <w:sz w:val="24"/>
          <w:szCs w:val="24"/>
          <w:highlight w:val="none"/>
          <w:lang w:val="en-US" w:eastAsia="zh-CN" w:bidi="ar-SA"/>
        </w:rPr>
        <w:t xml:space="preserve">保修期内及保修期外的服务收费标准：乙方保证提供的货物在正确安装、正常使用和保养条件下，在其使用寿命期内运转良好。乙方对由于设计、工艺或材料的缺陷而造成的任何设备缺陷   和故障负责；乙方终身提供广泛优惠的技术支持及备件供应，免费质保期满后，只收取适当的服务   费和零件费。零备件、备品库，能终身提供广泛优惠的技术支持及配件供应。 </w:t>
      </w:r>
    </w:p>
    <w:p>
      <w:pPr>
        <w:pStyle w:val="11"/>
        <w:adjustRightInd w:val="0"/>
        <w:snapToGrid w:val="0"/>
        <w:spacing w:before="120" w:after="120" w:line="360" w:lineRule="auto"/>
        <w:ind w:left="1" w:firstLine="566"/>
        <w:rPr>
          <w:rFonts w:hint="eastAsia" w:ascii="宋体" w:hAnsi="宋体" w:eastAsia="宋体" w:cs="Times New Roman"/>
          <w:kern w:val="2"/>
          <w:sz w:val="24"/>
          <w:szCs w:val="24"/>
          <w:highlight w:val="none"/>
          <w:lang w:val="en-US" w:eastAsia="zh-CN" w:bidi="ar-SA"/>
        </w:rPr>
      </w:pPr>
      <w:r>
        <w:rPr>
          <w:rFonts w:hint="eastAsia" w:hAnsi="宋体" w:cs="Times New Roman"/>
          <w:kern w:val="2"/>
          <w:sz w:val="24"/>
          <w:szCs w:val="24"/>
          <w:highlight w:val="none"/>
          <w:lang w:val="en-US" w:eastAsia="zh-CN" w:bidi="ar-SA"/>
        </w:rPr>
        <w:t>12.8</w:t>
      </w:r>
      <w:r>
        <w:rPr>
          <w:rFonts w:hint="eastAsia" w:ascii="宋体" w:hAnsi="宋体" w:eastAsia="宋体" w:cs="Times New Roman"/>
          <w:kern w:val="2"/>
          <w:sz w:val="24"/>
          <w:szCs w:val="24"/>
          <w:highlight w:val="none"/>
          <w:lang w:val="en-US" w:eastAsia="zh-CN" w:bidi="ar-SA"/>
        </w:rPr>
        <w:t xml:space="preserve">其他的服务内容：乙方根据合同规定提供设备安装调试所需的资料, 并在保证安全和质量的前提下提供技术支持, 包括技术咨询、现场服务等。 </w:t>
      </w:r>
    </w:p>
    <w:p>
      <w:pPr>
        <w:pStyle w:val="11"/>
        <w:adjustRightInd w:val="0"/>
        <w:snapToGrid w:val="0"/>
        <w:spacing w:before="120" w:after="120" w:line="360" w:lineRule="auto"/>
        <w:ind w:left="1" w:firstLine="566"/>
        <w:rPr>
          <w:rFonts w:hAnsi="宋体"/>
          <w:sz w:val="24"/>
          <w:szCs w:val="24"/>
          <w:highlight w:val="none"/>
        </w:rPr>
      </w:pPr>
      <w:r>
        <w:rPr>
          <w:rFonts w:hint="eastAsia" w:hAnsi="宋体" w:cs="Times New Roman"/>
          <w:kern w:val="2"/>
          <w:sz w:val="24"/>
          <w:szCs w:val="24"/>
          <w:highlight w:val="none"/>
          <w:lang w:val="en-US" w:eastAsia="zh-CN" w:bidi="ar-SA"/>
        </w:rPr>
        <w:t>12.9</w:t>
      </w:r>
      <w:r>
        <w:rPr>
          <w:rFonts w:hint="eastAsia" w:ascii="宋体" w:hAnsi="宋体" w:eastAsia="宋体" w:cs="Times New Roman"/>
          <w:kern w:val="2"/>
          <w:sz w:val="24"/>
          <w:szCs w:val="24"/>
          <w:highlight w:val="none"/>
          <w:lang w:val="en-US" w:eastAsia="zh-CN" w:bidi="ar-SA"/>
        </w:rPr>
        <w:t>乙方应设有技术支持中心，提供专业的技术支持和维修服务，在所提供设备的寿命期内保证设备终身技术支持。</w:t>
      </w:r>
    </w:p>
    <w:p>
      <w:pPr>
        <w:pStyle w:val="11"/>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十三、调试和验收</w:t>
      </w:r>
    </w:p>
    <w:p>
      <w:pPr>
        <w:pStyle w:val="11"/>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13.1 </w:t>
      </w:r>
      <w:r>
        <w:rPr>
          <w:rFonts w:hint="eastAsia" w:hAnsi="宋体"/>
          <w:sz w:val="24"/>
          <w:szCs w:val="24"/>
          <w:highlight w:val="none"/>
        </w:rPr>
        <w:t>甲方对乙方提交的货物依据采购文件上的技术规格要求和国家有关质量标准进行现场初步验收，外观、说明书符合采购文件技术要求的，给予签收，初步验收不合格的不予签收。</w:t>
      </w:r>
    </w:p>
    <w:p>
      <w:pPr>
        <w:pStyle w:val="11"/>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13.2 </w:t>
      </w:r>
      <w:r>
        <w:rPr>
          <w:rFonts w:hint="eastAsia" w:hAnsi="宋体"/>
          <w:sz w:val="24"/>
          <w:szCs w:val="24"/>
          <w:highlight w:val="none"/>
        </w:rPr>
        <w:t>乙方交货前应对产品作出全面检查和对验收文件进行整理，并列出清单，作为甲方收货验收和使用的技术条件依据，检验的结果应随货物交甲方。</w:t>
      </w:r>
    </w:p>
    <w:p>
      <w:pPr>
        <w:pStyle w:val="11"/>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13.3 </w:t>
      </w:r>
      <w:r>
        <w:rPr>
          <w:rFonts w:hint="eastAsia" w:hAnsi="宋体"/>
          <w:sz w:val="24"/>
          <w:szCs w:val="24"/>
          <w:highlight w:val="none"/>
        </w:rPr>
        <w:t>甲方对乙方提供的货物在使用前进行调试时，乙方需负责安装并培训甲方的使用操作人员，并协助甲方一起调试，直到符合技术要求，甲方才做最终验收。</w:t>
      </w:r>
    </w:p>
    <w:p>
      <w:pPr>
        <w:pStyle w:val="11"/>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13.4 </w:t>
      </w:r>
      <w:r>
        <w:rPr>
          <w:rFonts w:hint="eastAsia" w:hAnsi="宋体"/>
          <w:sz w:val="24"/>
          <w:szCs w:val="24"/>
          <w:highlight w:val="none"/>
        </w:rPr>
        <w:t>对技术复杂的货物，甲方可请国家认可的专业检测机构参与初步验收及最终验收，并由其出具质量检测报告。</w:t>
      </w:r>
    </w:p>
    <w:p>
      <w:pPr>
        <w:pStyle w:val="11"/>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13.5 </w:t>
      </w:r>
      <w:r>
        <w:rPr>
          <w:rFonts w:hint="eastAsia" w:hAnsi="宋体"/>
          <w:sz w:val="24"/>
          <w:szCs w:val="24"/>
          <w:highlight w:val="none"/>
        </w:rPr>
        <w:t>验收时乙方必须在现场，验收完毕后作出验收结果报告，验收报告须经甲方最终用户签字和部门盖章。</w:t>
      </w:r>
    </w:p>
    <w:p>
      <w:pPr>
        <w:pStyle w:val="11"/>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十四、货物包装、发运及运输</w:t>
      </w:r>
    </w:p>
    <w:p>
      <w:pPr>
        <w:pStyle w:val="11"/>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14.1 </w:t>
      </w:r>
      <w:r>
        <w:rPr>
          <w:rFonts w:hint="eastAsia" w:hAnsi="宋体"/>
          <w:sz w:val="24"/>
          <w:szCs w:val="24"/>
          <w:highlight w:val="none"/>
        </w:rPr>
        <w:t>乙方应在货物发运前对其进行满足运输距离、防潮、防震、防锈和防破损装卸等要求包装，以保证货物安全运达甲方指定地点。</w:t>
      </w:r>
    </w:p>
    <w:p>
      <w:pPr>
        <w:pStyle w:val="11"/>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14.2 </w:t>
      </w:r>
      <w:r>
        <w:rPr>
          <w:rFonts w:hint="eastAsia" w:hAnsi="宋体"/>
          <w:sz w:val="24"/>
          <w:szCs w:val="24"/>
          <w:highlight w:val="none"/>
        </w:rPr>
        <w:t>使用说明书、质量检验证明书、随配附件和工具以及清单一并附于货物内。</w:t>
      </w:r>
    </w:p>
    <w:p>
      <w:pPr>
        <w:pStyle w:val="11"/>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14.3 </w:t>
      </w:r>
      <w:r>
        <w:rPr>
          <w:rFonts w:hint="eastAsia" w:hAnsi="宋体"/>
          <w:sz w:val="24"/>
          <w:szCs w:val="24"/>
          <w:highlight w:val="none"/>
        </w:rPr>
        <w:t>乙方在货物发运手续办理完毕后</w:t>
      </w:r>
      <w:r>
        <w:rPr>
          <w:rFonts w:hAnsi="宋体"/>
          <w:sz w:val="24"/>
          <w:szCs w:val="24"/>
          <w:highlight w:val="none"/>
        </w:rPr>
        <w:t>24</w:t>
      </w:r>
      <w:r>
        <w:rPr>
          <w:rFonts w:hint="eastAsia" w:hAnsi="宋体"/>
          <w:sz w:val="24"/>
          <w:szCs w:val="24"/>
          <w:highlight w:val="none"/>
        </w:rPr>
        <w:t>小时内或货到甲方</w:t>
      </w:r>
      <w:r>
        <w:rPr>
          <w:rFonts w:hAnsi="宋体"/>
          <w:sz w:val="24"/>
          <w:szCs w:val="24"/>
          <w:highlight w:val="none"/>
        </w:rPr>
        <w:t>48</w:t>
      </w:r>
      <w:r>
        <w:rPr>
          <w:rFonts w:hint="eastAsia" w:hAnsi="宋体"/>
          <w:sz w:val="24"/>
          <w:szCs w:val="24"/>
          <w:highlight w:val="none"/>
        </w:rPr>
        <w:t>小时前通知甲方，以准备接货。</w:t>
      </w:r>
    </w:p>
    <w:p>
      <w:pPr>
        <w:pStyle w:val="11"/>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14.4 </w:t>
      </w:r>
      <w:r>
        <w:rPr>
          <w:rFonts w:hint="eastAsia" w:hAnsi="宋体"/>
          <w:sz w:val="24"/>
          <w:szCs w:val="24"/>
          <w:highlight w:val="none"/>
        </w:rPr>
        <w:t>货物在交付甲方前发生的风险均由乙方负责。</w:t>
      </w:r>
    </w:p>
    <w:p>
      <w:pPr>
        <w:pStyle w:val="11"/>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14.5 </w:t>
      </w:r>
      <w:r>
        <w:rPr>
          <w:rFonts w:hint="eastAsia" w:hAnsi="宋体"/>
          <w:sz w:val="24"/>
          <w:szCs w:val="24"/>
          <w:highlight w:val="none"/>
        </w:rPr>
        <w:t>货物</w:t>
      </w:r>
      <w:r>
        <w:rPr>
          <w:rFonts w:hint="eastAsia" w:hAnsi="宋体"/>
          <w:sz w:val="24"/>
          <w:szCs w:val="24"/>
          <w:highlight w:val="none"/>
          <w:lang w:eastAsia="zh-CN"/>
        </w:rPr>
        <w:t>、</w:t>
      </w:r>
      <w:r>
        <w:rPr>
          <w:rFonts w:hint="eastAsia" w:hAnsi="宋体"/>
          <w:sz w:val="24"/>
          <w:szCs w:val="24"/>
          <w:highlight w:val="none"/>
          <w:lang w:val="en-US" w:eastAsia="zh-CN"/>
        </w:rPr>
        <w:t>软件</w:t>
      </w:r>
      <w:r>
        <w:rPr>
          <w:rFonts w:hint="eastAsia" w:hAnsi="宋体"/>
          <w:sz w:val="24"/>
          <w:szCs w:val="24"/>
          <w:highlight w:val="none"/>
        </w:rPr>
        <w:t>在规定的交付期限内由乙方送达甲方指定的地点</w:t>
      </w:r>
      <w:r>
        <w:rPr>
          <w:rFonts w:hint="eastAsia" w:hAnsi="宋体"/>
          <w:sz w:val="24"/>
          <w:szCs w:val="24"/>
          <w:highlight w:val="none"/>
          <w:lang w:eastAsia="zh-CN"/>
        </w:rPr>
        <w:t>，</w:t>
      </w:r>
      <w:r>
        <w:rPr>
          <w:rFonts w:hint="eastAsia" w:hAnsi="宋体"/>
          <w:sz w:val="24"/>
          <w:szCs w:val="24"/>
          <w:highlight w:val="none"/>
          <w:lang w:val="en-US" w:eastAsia="zh-CN"/>
        </w:rPr>
        <w:t>安装调试</w:t>
      </w:r>
      <w:r>
        <w:rPr>
          <w:rFonts w:hint="eastAsia" w:hAnsi="宋体"/>
          <w:sz w:val="24"/>
          <w:szCs w:val="24"/>
          <w:highlight w:val="none"/>
        </w:rPr>
        <w:t>并经甲方验收合格视为交付，乙方同时需通知甲方货物已送达。</w:t>
      </w:r>
    </w:p>
    <w:p>
      <w:pPr>
        <w:pStyle w:val="11"/>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十五、违约责任</w:t>
      </w:r>
    </w:p>
    <w:p>
      <w:pPr>
        <w:pStyle w:val="11"/>
        <w:adjustRightInd w:val="0"/>
        <w:snapToGrid w:val="0"/>
        <w:spacing w:before="120" w:after="120" w:line="360" w:lineRule="auto"/>
        <w:ind w:left="1" w:firstLine="658"/>
        <w:rPr>
          <w:rFonts w:hAnsi="宋体"/>
          <w:sz w:val="24"/>
          <w:szCs w:val="24"/>
          <w:highlight w:val="none"/>
        </w:rPr>
      </w:pPr>
      <w:r>
        <w:rPr>
          <w:rFonts w:hAnsi="宋体"/>
          <w:sz w:val="24"/>
          <w:szCs w:val="24"/>
          <w:highlight w:val="none"/>
        </w:rPr>
        <w:t>15.1</w:t>
      </w:r>
      <w:r>
        <w:rPr>
          <w:rFonts w:hint="eastAsia" w:hAnsi="宋体"/>
          <w:sz w:val="24"/>
          <w:szCs w:val="24"/>
          <w:highlight w:val="none"/>
        </w:rPr>
        <w:t>乙方逾期交付货物的，乙方应按逾期交货总额每日千分之六向甲方支付违约金，由甲方从待付货款中扣除。逾期超过约定日期</w:t>
      </w:r>
      <w:r>
        <w:rPr>
          <w:rFonts w:hAnsi="宋体"/>
          <w:sz w:val="24"/>
          <w:szCs w:val="24"/>
          <w:highlight w:val="none"/>
        </w:rPr>
        <w:t>10</w:t>
      </w:r>
      <w:r>
        <w:rPr>
          <w:rFonts w:hint="eastAsia" w:hAnsi="宋体"/>
          <w:sz w:val="24"/>
          <w:szCs w:val="24"/>
          <w:highlight w:val="none"/>
        </w:rPr>
        <w:t>个工作日不能交货的，甲方可解除本合同。乙方因逾期交货或因其他违约行为导致甲方解除合同的，乙方应向甲方支付合同总值</w:t>
      </w:r>
      <w:r>
        <w:rPr>
          <w:rFonts w:hAnsi="宋体"/>
          <w:sz w:val="24"/>
          <w:szCs w:val="24"/>
          <w:highlight w:val="none"/>
        </w:rPr>
        <w:t>5%</w:t>
      </w:r>
      <w:r>
        <w:rPr>
          <w:rFonts w:hint="eastAsia" w:hAnsi="宋体"/>
          <w:sz w:val="24"/>
          <w:szCs w:val="24"/>
          <w:highlight w:val="none"/>
        </w:rPr>
        <w:t>的违约金，如造成甲方损失超过违约金的，超出部分由乙方继续承担赔偿责任。</w:t>
      </w:r>
    </w:p>
    <w:p>
      <w:pPr>
        <w:pStyle w:val="11"/>
        <w:adjustRightInd w:val="0"/>
        <w:snapToGrid w:val="0"/>
        <w:spacing w:before="120" w:after="120" w:line="360" w:lineRule="auto"/>
        <w:ind w:firstLine="658"/>
        <w:rPr>
          <w:rFonts w:hAnsi="宋体"/>
          <w:sz w:val="24"/>
          <w:szCs w:val="24"/>
          <w:highlight w:val="none"/>
        </w:rPr>
      </w:pPr>
      <w:r>
        <w:rPr>
          <w:rFonts w:hAnsi="宋体"/>
          <w:sz w:val="24"/>
          <w:szCs w:val="24"/>
          <w:highlight w:val="none"/>
        </w:rPr>
        <w:t>15.2</w:t>
      </w:r>
      <w:r>
        <w:rPr>
          <w:rFonts w:hint="eastAsia" w:hAnsi="宋体"/>
          <w:sz w:val="24"/>
          <w:szCs w:val="24"/>
          <w:highlight w:val="none"/>
        </w:rPr>
        <w:t>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11"/>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十六、廉政条款</w:t>
      </w:r>
    </w:p>
    <w:p>
      <w:pPr>
        <w:pStyle w:val="11"/>
        <w:adjustRightInd w:val="0"/>
        <w:snapToGrid w:val="0"/>
        <w:spacing w:before="120" w:after="120" w:line="360" w:lineRule="auto"/>
        <w:ind w:left="1" w:firstLine="658"/>
        <w:rPr>
          <w:rFonts w:hAnsi="宋体"/>
          <w:sz w:val="24"/>
          <w:szCs w:val="24"/>
          <w:highlight w:val="none"/>
        </w:rPr>
      </w:pPr>
      <w:r>
        <w:rPr>
          <w:rFonts w:hAnsi="宋体"/>
          <w:sz w:val="24"/>
          <w:szCs w:val="24"/>
          <w:highlight w:val="none"/>
        </w:rPr>
        <w:t>16.1</w:t>
      </w:r>
      <w:r>
        <w:rPr>
          <w:rFonts w:hint="eastAsia" w:hAnsi="宋体"/>
          <w:sz w:val="24"/>
          <w:szCs w:val="24"/>
          <w:highlight w:val="none"/>
        </w:rPr>
        <w:t>乙方必须支持甲方的廉政建设，不得向甲方相关人员提供金钱和物质上的好处，一经发现处以合同金额</w:t>
      </w:r>
      <w:r>
        <w:rPr>
          <w:rFonts w:hAnsi="宋体"/>
          <w:sz w:val="24"/>
          <w:szCs w:val="24"/>
          <w:highlight w:val="none"/>
        </w:rPr>
        <w:t>20%</w:t>
      </w:r>
      <w:r>
        <w:rPr>
          <w:rFonts w:hint="eastAsia" w:hAnsi="宋体"/>
          <w:sz w:val="24"/>
          <w:szCs w:val="24"/>
          <w:highlight w:val="none"/>
        </w:rPr>
        <w:t>的罚款。</w:t>
      </w:r>
    </w:p>
    <w:p>
      <w:pPr>
        <w:pStyle w:val="11"/>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十七、不可抗力事件处理</w:t>
      </w:r>
    </w:p>
    <w:p>
      <w:pPr>
        <w:pStyle w:val="11"/>
        <w:adjustRightInd w:val="0"/>
        <w:snapToGrid w:val="0"/>
        <w:spacing w:before="120" w:after="120" w:line="360" w:lineRule="auto"/>
        <w:ind w:left="1" w:firstLine="658"/>
        <w:rPr>
          <w:rFonts w:hAnsi="宋体"/>
          <w:sz w:val="24"/>
          <w:szCs w:val="24"/>
          <w:highlight w:val="none"/>
        </w:rPr>
      </w:pPr>
      <w:r>
        <w:rPr>
          <w:rFonts w:hAnsi="宋体"/>
          <w:sz w:val="24"/>
          <w:szCs w:val="24"/>
          <w:highlight w:val="none"/>
        </w:rPr>
        <w:t xml:space="preserve">17.1 </w:t>
      </w:r>
      <w:r>
        <w:rPr>
          <w:rFonts w:hint="eastAsia" w:hAnsi="宋体"/>
          <w:sz w:val="24"/>
          <w:szCs w:val="24"/>
          <w:highlight w:val="none"/>
        </w:rPr>
        <w:t>在合同有效期内，任何一方因不可抗力事件导致不能履行合同，则合同履行期可延长，其延长期与不可抗力影响期相同。</w:t>
      </w:r>
    </w:p>
    <w:p>
      <w:pPr>
        <w:pStyle w:val="11"/>
        <w:adjustRightInd w:val="0"/>
        <w:snapToGrid w:val="0"/>
        <w:spacing w:before="120" w:after="120" w:line="360" w:lineRule="auto"/>
        <w:ind w:firstLine="658"/>
        <w:rPr>
          <w:rFonts w:hAnsi="宋体"/>
          <w:sz w:val="24"/>
          <w:szCs w:val="24"/>
          <w:highlight w:val="none"/>
        </w:rPr>
      </w:pPr>
      <w:r>
        <w:rPr>
          <w:rFonts w:hAnsi="宋体"/>
          <w:sz w:val="24"/>
          <w:szCs w:val="24"/>
          <w:highlight w:val="none"/>
        </w:rPr>
        <w:t xml:space="preserve">17.2 </w:t>
      </w:r>
      <w:r>
        <w:rPr>
          <w:rFonts w:hint="eastAsia" w:hAnsi="宋体"/>
          <w:sz w:val="24"/>
          <w:szCs w:val="24"/>
          <w:highlight w:val="none"/>
        </w:rPr>
        <w:t>不可抗力事件发生后，应立即通知对方，并寄送有关权威机构出具的证明。</w:t>
      </w:r>
    </w:p>
    <w:p>
      <w:pPr>
        <w:pStyle w:val="11"/>
        <w:adjustRightInd w:val="0"/>
        <w:snapToGrid w:val="0"/>
        <w:spacing w:before="120" w:after="120" w:line="360" w:lineRule="auto"/>
        <w:ind w:firstLine="658"/>
        <w:rPr>
          <w:rFonts w:hAnsi="宋体"/>
          <w:sz w:val="24"/>
          <w:szCs w:val="24"/>
          <w:highlight w:val="none"/>
        </w:rPr>
      </w:pPr>
      <w:r>
        <w:rPr>
          <w:rFonts w:hAnsi="宋体"/>
          <w:sz w:val="24"/>
          <w:szCs w:val="24"/>
          <w:highlight w:val="none"/>
        </w:rPr>
        <w:t xml:space="preserve">17.3 </w:t>
      </w:r>
      <w:r>
        <w:rPr>
          <w:rFonts w:hint="eastAsia" w:hAnsi="宋体"/>
          <w:sz w:val="24"/>
          <w:szCs w:val="24"/>
          <w:highlight w:val="none"/>
        </w:rPr>
        <w:t>不可抗力事件延续</w:t>
      </w:r>
      <w:r>
        <w:rPr>
          <w:rFonts w:hAnsi="宋体"/>
          <w:sz w:val="24"/>
          <w:szCs w:val="24"/>
          <w:highlight w:val="none"/>
        </w:rPr>
        <w:t>30</w:t>
      </w:r>
      <w:r>
        <w:rPr>
          <w:rFonts w:hint="eastAsia" w:hAnsi="宋体"/>
          <w:sz w:val="24"/>
          <w:szCs w:val="24"/>
          <w:highlight w:val="none"/>
        </w:rPr>
        <w:t>天以上，双方应通过友好协商，确定是否继续履行合同。</w:t>
      </w:r>
    </w:p>
    <w:p>
      <w:pPr>
        <w:pStyle w:val="11"/>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十八、诉讼</w:t>
      </w:r>
    </w:p>
    <w:p>
      <w:pPr>
        <w:pStyle w:val="11"/>
        <w:adjustRightInd w:val="0"/>
        <w:snapToGrid w:val="0"/>
        <w:spacing w:before="120" w:after="120" w:line="360" w:lineRule="auto"/>
        <w:ind w:left="1" w:firstLine="658"/>
        <w:rPr>
          <w:rFonts w:hAnsi="宋体"/>
          <w:sz w:val="24"/>
          <w:szCs w:val="24"/>
          <w:highlight w:val="none"/>
        </w:rPr>
      </w:pPr>
      <w:r>
        <w:rPr>
          <w:rFonts w:hAnsi="宋体"/>
          <w:sz w:val="24"/>
          <w:szCs w:val="24"/>
          <w:highlight w:val="none"/>
        </w:rPr>
        <w:t xml:space="preserve">18.1 </w:t>
      </w:r>
      <w:r>
        <w:rPr>
          <w:rFonts w:hint="eastAsia" w:hAnsi="宋体"/>
          <w:sz w:val="24"/>
          <w:szCs w:val="24"/>
          <w:highlight w:val="none"/>
        </w:rPr>
        <w:t>双方在执行合同中所发生的一切争议，应通过协商解决。如协商不成，可向合同签订地法院起诉，合同签订地在此约定为南京市。</w:t>
      </w:r>
      <w:ins w:id="1" w:author="nuist_smy" w:date="2020-07-31T09:46:00Z">
        <w:r>
          <w:rPr>
            <w:rFonts w:hint="eastAsia" w:hAnsi="宋体"/>
            <w:sz w:val="24"/>
            <w:szCs w:val="24"/>
            <w:highlight w:val="none"/>
          </w:rPr>
          <w:t>如因合同履行发生纠纷，</w:t>
        </w:r>
      </w:ins>
      <w:ins w:id="2" w:author="nuist_smy" w:date="2020-07-31T09:47:00Z">
        <w:r>
          <w:rPr>
            <w:rFonts w:hint="eastAsia" w:hAnsi="宋体"/>
            <w:sz w:val="24"/>
            <w:szCs w:val="24"/>
            <w:highlight w:val="none"/>
          </w:rPr>
          <w:t>适用中国法律。</w:t>
        </w:r>
      </w:ins>
    </w:p>
    <w:p>
      <w:pPr>
        <w:pStyle w:val="11"/>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十九、合同文件的优先顺序</w:t>
      </w:r>
      <w:r>
        <w:rPr>
          <w:rFonts w:hint="eastAsia" w:hAnsi="宋体"/>
          <w:sz w:val="24"/>
          <w:szCs w:val="24"/>
          <w:highlight w:val="none"/>
        </w:rPr>
        <w:t xml:space="preserve"> </w:t>
      </w:r>
    </w:p>
    <w:p>
      <w:pPr>
        <w:pStyle w:val="11"/>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 xml:space="preserve">组成合同的各项文件应互相解释，互为说明。除专用合同条款另有约定外，解释合同文件的优先顺序如下： </w:t>
      </w:r>
    </w:p>
    <w:p>
      <w:pPr>
        <w:pStyle w:val="11"/>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 xml:space="preserve">（1）合同协议书； </w:t>
      </w:r>
    </w:p>
    <w:p>
      <w:pPr>
        <w:pStyle w:val="11"/>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（2）中标通知书；</w:t>
      </w:r>
    </w:p>
    <w:p>
      <w:pPr>
        <w:pStyle w:val="11"/>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（3）招标文件；</w:t>
      </w:r>
    </w:p>
    <w:p>
      <w:pPr>
        <w:pStyle w:val="11"/>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（4）投标函及其附录（如果有）；</w:t>
      </w:r>
    </w:p>
    <w:p>
      <w:pPr>
        <w:pStyle w:val="11"/>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（5）专用合同条款及其附件；</w:t>
      </w:r>
    </w:p>
    <w:p>
      <w:pPr>
        <w:pStyle w:val="11"/>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 xml:space="preserve">（6）通用合同条款； </w:t>
      </w:r>
    </w:p>
    <w:p>
      <w:pPr>
        <w:pStyle w:val="11"/>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（7）技术标准和要求；</w:t>
      </w:r>
    </w:p>
    <w:p>
      <w:pPr>
        <w:pStyle w:val="11"/>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（8）其他合同文件。</w:t>
      </w:r>
    </w:p>
    <w:p>
      <w:pPr>
        <w:pStyle w:val="11"/>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二十、合同生效及其它</w:t>
      </w:r>
    </w:p>
    <w:p>
      <w:pPr>
        <w:pStyle w:val="11"/>
        <w:adjustRightInd w:val="0"/>
        <w:snapToGrid w:val="0"/>
        <w:spacing w:before="120" w:after="120" w:line="360" w:lineRule="auto"/>
        <w:ind w:firstLine="658"/>
        <w:rPr>
          <w:rFonts w:hAnsi="宋体"/>
          <w:sz w:val="24"/>
          <w:szCs w:val="24"/>
          <w:highlight w:val="none"/>
        </w:rPr>
      </w:pPr>
      <w:r>
        <w:rPr>
          <w:rFonts w:hAnsi="宋体"/>
          <w:sz w:val="24"/>
          <w:szCs w:val="24"/>
          <w:highlight w:val="none"/>
        </w:rPr>
        <w:t xml:space="preserve">19.1 </w:t>
      </w:r>
      <w:r>
        <w:rPr>
          <w:rFonts w:hint="eastAsia" w:hAnsi="宋体"/>
          <w:sz w:val="24"/>
          <w:szCs w:val="24"/>
          <w:highlight w:val="none"/>
        </w:rPr>
        <w:t>合同经双方法定代表人或授权委托代表人签字并加盖单位公章后生效。</w:t>
      </w:r>
    </w:p>
    <w:p>
      <w:pPr>
        <w:pStyle w:val="11"/>
        <w:adjustRightInd w:val="0"/>
        <w:snapToGrid w:val="0"/>
        <w:spacing w:before="120" w:after="120" w:line="360" w:lineRule="auto"/>
        <w:ind w:firstLine="658"/>
        <w:rPr>
          <w:rFonts w:hAnsi="宋体"/>
          <w:sz w:val="24"/>
          <w:szCs w:val="24"/>
          <w:highlight w:val="none"/>
        </w:rPr>
      </w:pPr>
      <w:r>
        <w:rPr>
          <w:rFonts w:hAnsi="宋体"/>
          <w:sz w:val="24"/>
          <w:szCs w:val="24"/>
          <w:highlight w:val="none"/>
        </w:rPr>
        <w:t>19.2</w:t>
      </w:r>
      <w:r>
        <w:rPr>
          <w:rFonts w:hint="eastAsia" w:hAnsi="宋体"/>
          <w:sz w:val="24"/>
          <w:szCs w:val="24"/>
          <w:highlight w:val="none"/>
        </w:rPr>
        <w:t>本合同未尽事宜，遵照《合同法》有关条文执行。</w:t>
      </w:r>
    </w:p>
    <w:p>
      <w:pPr>
        <w:pStyle w:val="11"/>
        <w:adjustRightInd w:val="0"/>
        <w:snapToGrid w:val="0"/>
        <w:spacing w:before="120" w:after="120" w:line="360" w:lineRule="auto"/>
        <w:ind w:left="1" w:firstLine="658"/>
        <w:rPr>
          <w:rFonts w:hint="eastAsia" w:hAnsi="宋体"/>
          <w:sz w:val="24"/>
          <w:szCs w:val="24"/>
          <w:highlight w:val="none"/>
        </w:rPr>
      </w:pPr>
      <w:r>
        <w:rPr>
          <w:rFonts w:hAnsi="宋体"/>
          <w:sz w:val="24"/>
          <w:szCs w:val="24"/>
          <w:highlight w:val="none"/>
        </w:rPr>
        <w:t xml:space="preserve">19.3 </w:t>
      </w:r>
      <w:r>
        <w:rPr>
          <w:rFonts w:hint="eastAsia" w:hAnsi="宋体"/>
          <w:sz w:val="24"/>
          <w:szCs w:val="24"/>
          <w:highlight w:val="none"/>
        </w:rPr>
        <w:t>本合同正本一式四份，具有同等法律效力，甲方、乙方各执两份。</w:t>
      </w:r>
    </w:p>
    <w:p>
      <w:pPr>
        <w:pStyle w:val="11"/>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lang w:val="en-US" w:eastAsia="zh-CN"/>
        </w:rPr>
        <w:t xml:space="preserve">19.4 </w:t>
      </w:r>
      <w:r>
        <w:rPr>
          <w:rFonts w:hAnsi="宋体"/>
          <w:sz w:val="24"/>
          <w:szCs w:val="24"/>
          <w:highlight w:val="none"/>
        </w:rPr>
        <w:t>乙方提供的软件平台须通过甲方的网络安全测试。未通过测试的，验收不得通过。</w:t>
      </w:r>
    </w:p>
    <w:p>
      <w:pPr>
        <w:pStyle w:val="11"/>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lang w:val="en-US" w:eastAsia="zh-CN"/>
        </w:rPr>
        <w:t xml:space="preserve">19.5 </w:t>
      </w:r>
      <w:r>
        <w:rPr>
          <w:rFonts w:hAnsi="宋体"/>
          <w:sz w:val="24"/>
          <w:szCs w:val="24"/>
          <w:highlight w:val="none"/>
        </w:rPr>
        <w:t xml:space="preserve">乙方对货物安装调试过程中的安全文明施工负责。因乙方原因，在安装调试施工过程中发生的安全事故、消防事故、用水用电事故等由乙方自行承担法律及赔偿责任。造成甲方损失的，乙方应承担全部赔偿责任。 </w:t>
      </w:r>
    </w:p>
    <w:p>
      <w:pPr>
        <w:pStyle w:val="11"/>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lang w:val="en-US" w:eastAsia="zh-CN"/>
        </w:rPr>
        <w:t>19.6</w:t>
      </w:r>
      <w:r>
        <w:rPr>
          <w:rFonts w:hAnsi="宋体"/>
          <w:sz w:val="24"/>
          <w:szCs w:val="24"/>
          <w:highlight w:val="none"/>
        </w:rPr>
        <w:t xml:space="preserve">乙方在安装调试施工过程中产生的垃圾应及时清运出校园并合法处置，费用由乙方自行承担。 </w:t>
      </w:r>
    </w:p>
    <w:p>
      <w:pPr>
        <w:pStyle w:val="11"/>
        <w:adjustRightInd w:val="0"/>
        <w:snapToGrid w:val="0"/>
        <w:spacing w:before="120" w:after="120" w:line="360" w:lineRule="auto"/>
        <w:ind w:left="1" w:firstLine="658"/>
        <w:rPr>
          <w:rFonts w:hint="eastAsia"/>
          <w:color w:val="D13438"/>
          <w:sz w:val="24"/>
          <w:highlight w:val="none"/>
          <w:u w:val="single" w:color="D13438"/>
        </w:rPr>
      </w:pPr>
    </w:p>
    <w:p>
      <w:pPr>
        <w:pStyle w:val="11"/>
        <w:adjustRightInd w:val="0"/>
        <w:snapToGrid w:val="0"/>
        <w:spacing w:before="120" w:after="120" w:line="360" w:lineRule="auto"/>
        <w:ind w:left="420" w:leftChars="200" w:firstLine="240" w:firstLineChars="100"/>
        <w:rPr>
          <w:rFonts w:hAnsi="宋体"/>
          <w:sz w:val="24"/>
          <w:szCs w:val="24"/>
          <w:highlight w:val="none"/>
        </w:rPr>
      </w:pPr>
      <w:r>
        <w:rPr>
          <w:rFonts w:hint="eastAsia" w:hAnsi="宋体"/>
          <w:sz w:val="24"/>
          <w:szCs w:val="24"/>
          <w:highlight w:val="none"/>
        </w:rPr>
        <w:t>甲方：乙方：</w:t>
      </w:r>
    </w:p>
    <w:p>
      <w:pPr>
        <w:pStyle w:val="11"/>
        <w:adjustRightInd w:val="0"/>
        <w:snapToGrid w:val="0"/>
        <w:spacing w:before="120" w:after="120" w:line="360" w:lineRule="auto"/>
        <w:ind w:firstLine="658"/>
        <w:rPr>
          <w:rFonts w:hAnsi="宋体"/>
          <w:sz w:val="24"/>
          <w:szCs w:val="24"/>
          <w:highlight w:val="none"/>
        </w:rPr>
      </w:pPr>
      <w:r>
        <w:rPr>
          <w:rFonts w:hint="eastAsia" w:hAnsi="宋体"/>
          <w:sz w:val="24"/>
          <w:szCs w:val="24"/>
          <w:highlight w:val="none"/>
        </w:rPr>
        <w:t>地址：地址：</w:t>
      </w:r>
    </w:p>
    <w:p>
      <w:pPr>
        <w:pStyle w:val="11"/>
        <w:adjustRightInd w:val="0"/>
        <w:snapToGrid w:val="0"/>
        <w:spacing w:before="120" w:after="120" w:line="360" w:lineRule="auto"/>
        <w:ind w:firstLine="658"/>
        <w:rPr>
          <w:rFonts w:hAnsi="宋体"/>
          <w:sz w:val="24"/>
          <w:szCs w:val="24"/>
          <w:highlight w:val="none"/>
        </w:rPr>
      </w:pPr>
      <w:r>
        <w:rPr>
          <w:rFonts w:hint="eastAsia" w:hAnsi="宋体"/>
          <w:sz w:val="24"/>
          <w:szCs w:val="24"/>
          <w:highlight w:val="none"/>
        </w:rPr>
        <w:t>法定代表人或授权代表：</w:t>
      </w:r>
    </w:p>
    <w:p>
      <w:pPr>
        <w:pStyle w:val="11"/>
        <w:adjustRightInd w:val="0"/>
        <w:snapToGrid w:val="0"/>
        <w:spacing w:before="120" w:after="120" w:line="360" w:lineRule="auto"/>
        <w:ind w:firstLine="658"/>
        <w:rPr>
          <w:rFonts w:hAnsi="宋体"/>
          <w:sz w:val="24"/>
          <w:szCs w:val="24"/>
          <w:highlight w:val="none"/>
        </w:rPr>
      </w:pPr>
      <w:r>
        <w:rPr>
          <w:rFonts w:hint="eastAsia" w:hAnsi="宋体"/>
          <w:sz w:val="24"/>
          <w:szCs w:val="24"/>
          <w:highlight w:val="none"/>
        </w:rPr>
        <w:t>项目负责人</w:t>
      </w:r>
      <w:r>
        <w:rPr>
          <w:rFonts w:hAnsi="宋体"/>
          <w:sz w:val="24"/>
          <w:szCs w:val="24"/>
          <w:highlight w:val="none"/>
        </w:rPr>
        <w:t xml:space="preserve">:                              </w:t>
      </w:r>
      <w:r>
        <w:rPr>
          <w:rFonts w:hint="eastAsia" w:hAnsi="宋体"/>
          <w:sz w:val="24"/>
          <w:szCs w:val="24"/>
          <w:highlight w:val="none"/>
        </w:rPr>
        <w:t>法定代表人或授权代表：</w:t>
      </w:r>
    </w:p>
    <w:p>
      <w:pPr>
        <w:pStyle w:val="11"/>
        <w:adjustRightInd w:val="0"/>
        <w:snapToGrid w:val="0"/>
        <w:spacing w:before="120" w:after="120" w:line="360" w:lineRule="auto"/>
        <w:ind w:firstLine="658"/>
        <w:rPr>
          <w:rFonts w:hAnsi="宋体"/>
          <w:sz w:val="24"/>
          <w:szCs w:val="24"/>
          <w:highlight w:val="none"/>
        </w:rPr>
      </w:pPr>
      <w:r>
        <w:rPr>
          <w:rFonts w:hint="eastAsia" w:hAnsi="宋体"/>
          <w:sz w:val="24"/>
          <w:szCs w:val="24"/>
          <w:highlight w:val="none"/>
        </w:rPr>
        <w:t>项目联系人</w:t>
      </w:r>
      <w:r>
        <w:rPr>
          <w:rFonts w:hAnsi="宋体"/>
          <w:sz w:val="24"/>
          <w:szCs w:val="24"/>
          <w:highlight w:val="none"/>
        </w:rPr>
        <w:t>:</w:t>
      </w:r>
    </w:p>
    <w:p>
      <w:pPr>
        <w:pStyle w:val="11"/>
        <w:adjustRightInd w:val="0"/>
        <w:snapToGrid w:val="0"/>
        <w:spacing w:before="120" w:after="120" w:line="360" w:lineRule="auto"/>
        <w:ind w:firstLine="658"/>
        <w:rPr>
          <w:rFonts w:hAnsi="宋体"/>
          <w:sz w:val="24"/>
          <w:szCs w:val="24"/>
          <w:highlight w:val="none"/>
        </w:rPr>
      </w:pPr>
      <w:r>
        <w:rPr>
          <w:rFonts w:hint="eastAsia" w:hAnsi="宋体"/>
          <w:sz w:val="24"/>
          <w:szCs w:val="24"/>
          <w:highlight w:val="none"/>
        </w:rPr>
        <w:t>联系电话：联系电话：</w:t>
      </w:r>
    </w:p>
    <w:p>
      <w:pPr>
        <w:pStyle w:val="11"/>
        <w:adjustRightInd w:val="0"/>
        <w:snapToGrid w:val="0"/>
        <w:spacing w:before="120" w:after="120" w:line="360" w:lineRule="auto"/>
        <w:ind w:firstLine="767"/>
        <w:rPr>
          <w:rFonts w:cs="仿宋"/>
          <w:sz w:val="24"/>
          <w:highlight w:val="none"/>
        </w:rPr>
      </w:pPr>
      <w:r>
        <w:rPr>
          <w:rFonts w:hint="eastAsia"/>
          <w:sz w:val="28"/>
          <w:szCs w:val="28"/>
          <w:highlight w:val="none"/>
        </w:rPr>
        <w:t>签订日期：      年   月   日</w:t>
      </w:r>
    </w:p>
    <w:bookmarkEnd w:id="9"/>
    <w:sectPr>
      <w:headerReference r:id="rId3" w:type="default"/>
      <w:footerReference r:id="rId4" w:type="default"/>
      <w:pgSz w:w="11906" w:h="16838"/>
      <w:pgMar w:top="1191" w:right="850" w:bottom="1191"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Consolas">
    <w:panose1 w:val="020B0609020204030204"/>
    <w:charset w:val="00"/>
    <w:family w:val="auto"/>
    <w:pitch w:val="default"/>
    <w:sig w:usb0="E00006FF" w:usb1="0000FCFF" w:usb2="00000001" w:usb3="00000000" w:csb0="6000019F" w:csb1="DFD70000"/>
  </w:font>
  <w:font w:name="Arial Unicode MS">
    <w:panose1 w:val="020B0604020202020204"/>
    <w:charset w:val="86"/>
    <w:family w:val="swiss"/>
    <w:pitch w:val="default"/>
    <w:sig w:usb0="FFFFFFFF" w:usb1="E9FFFFFF" w:usb2="0000003F" w:usb3="00000000" w:csb0="603F01FF" w:csb1="FFFF0000"/>
  </w:font>
  <w:font w:name="MPBMSN+StoneSans-Semibold">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SFEIH+StoneSans">
    <w:altName w:val="新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Open Sans Light">
    <w:altName w:val="Segoe Print"/>
    <w:panose1 w:val="00000000000000000000"/>
    <w:charset w:val="00"/>
    <w:family w:val="swiss"/>
    <w:pitch w:val="default"/>
    <w:sig w:usb0="00000000" w:usb1="00000000" w:usb2="00000028" w:usb3="00000000" w:csb0="000001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b/>
      </w:rPr>
      <w:fldChar w:fldCharType="begin"/>
    </w:r>
    <w:r>
      <w:rPr>
        <w:b/>
      </w:rPr>
      <w:instrText xml:space="preserve">PAGE  \* Arabic  \* MERGEFORMAT</w:instrText>
    </w:r>
    <w:r>
      <w:rPr>
        <w:b/>
      </w:rPr>
      <w:fldChar w:fldCharType="separate"/>
    </w:r>
    <w:r>
      <w:rPr>
        <w:b/>
        <w:lang w:val="zh-CN"/>
      </w:rPr>
      <w:t>25</w:t>
    </w:r>
    <w:r>
      <w:rPr>
        <w:b/>
      </w:rPr>
      <w:fldChar w:fldCharType="end"/>
    </w:r>
    <w:r>
      <w:rPr>
        <w:lang w:val="zh-CN"/>
      </w:rPr>
      <w:t xml:space="preserve"> / </w:t>
    </w:r>
    <w:r>
      <w:fldChar w:fldCharType="begin"/>
    </w:r>
    <w:r>
      <w:instrText xml:space="preserve">NUMPAGES  \* Arabic  \* MERGEFORMAT</w:instrText>
    </w:r>
    <w:r>
      <w:fldChar w:fldCharType="separate"/>
    </w:r>
    <w:r>
      <w:rPr>
        <w:b/>
        <w:lang w:val="zh-CN"/>
      </w:rPr>
      <w:t>26</w:t>
    </w:r>
    <w:r>
      <w:rPr>
        <w:b/>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cs="宋体"/>
        <w:b/>
        <w:bCs/>
        <w:kern w:val="0"/>
        <w:sz w:val="15"/>
        <w:szCs w:val="15"/>
      </w:rPr>
    </w:pPr>
    <w:r>
      <w:rPr>
        <w:rFonts w:hint="eastAsia" w:ascii="宋体" w:hAnsi="宋体" w:cs="宋体"/>
        <w:b/>
        <w:bCs/>
        <w:kern w:val="0"/>
        <w:sz w:val="15"/>
        <w:szCs w:val="15"/>
      </w:rPr>
      <w:t>南京信息工程大学招标办20</w:t>
    </w:r>
    <w:r>
      <w:rPr>
        <w:rFonts w:ascii="宋体" w:hAnsi="宋体" w:cs="宋体"/>
        <w:b/>
        <w:bCs/>
        <w:kern w:val="0"/>
        <w:sz w:val="15"/>
        <w:szCs w:val="15"/>
      </w:rPr>
      <w:t>2</w:t>
    </w:r>
    <w:r>
      <w:rPr>
        <w:rFonts w:hint="eastAsia" w:ascii="宋体" w:hAnsi="宋体" w:cs="宋体"/>
        <w:b/>
        <w:bCs/>
        <w:kern w:val="0"/>
        <w:sz w:val="15"/>
        <w:szCs w:val="15"/>
      </w:rPr>
      <w:t>2年招标文件</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uist_smy">
    <w15:presenceInfo w15:providerId="None" w15:userId="nuist_sm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2OTFlZWRhZmJkM2UzYzMxN2RmMjBlYmJiZmVkMjIifQ=="/>
  </w:docVars>
  <w:rsids>
    <w:rsidRoot w:val="00201076"/>
    <w:rsid w:val="0000144D"/>
    <w:rsid w:val="00002B2D"/>
    <w:rsid w:val="00003305"/>
    <w:rsid w:val="00003606"/>
    <w:rsid w:val="000054CA"/>
    <w:rsid w:val="0000571D"/>
    <w:rsid w:val="00022B05"/>
    <w:rsid w:val="00023D12"/>
    <w:rsid w:val="00026E76"/>
    <w:rsid w:val="0002772F"/>
    <w:rsid w:val="00030600"/>
    <w:rsid w:val="00030DF4"/>
    <w:rsid w:val="000317FC"/>
    <w:rsid w:val="000319F3"/>
    <w:rsid w:val="00034A15"/>
    <w:rsid w:val="000430D6"/>
    <w:rsid w:val="00043DC9"/>
    <w:rsid w:val="00043F02"/>
    <w:rsid w:val="000441D9"/>
    <w:rsid w:val="0004587C"/>
    <w:rsid w:val="00051F2D"/>
    <w:rsid w:val="000527A0"/>
    <w:rsid w:val="000531E7"/>
    <w:rsid w:val="00054A22"/>
    <w:rsid w:val="00054EE4"/>
    <w:rsid w:val="0005500B"/>
    <w:rsid w:val="00055F2F"/>
    <w:rsid w:val="0006055A"/>
    <w:rsid w:val="00065C53"/>
    <w:rsid w:val="00066441"/>
    <w:rsid w:val="00066583"/>
    <w:rsid w:val="000667C1"/>
    <w:rsid w:val="0007020F"/>
    <w:rsid w:val="00070DC7"/>
    <w:rsid w:val="00070F0A"/>
    <w:rsid w:val="000716D4"/>
    <w:rsid w:val="000774F2"/>
    <w:rsid w:val="00080B5E"/>
    <w:rsid w:val="00081175"/>
    <w:rsid w:val="000819A3"/>
    <w:rsid w:val="00083DFA"/>
    <w:rsid w:val="00085E3F"/>
    <w:rsid w:val="00087D92"/>
    <w:rsid w:val="00087F42"/>
    <w:rsid w:val="0009319D"/>
    <w:rsid w:val="000933AE"/>
    <w:rsid w:val="00094479"/>
    <w:rsid w:val="00094B8E"/>
    <w:rsid w:val="000960BE"/>
    <w:rsid w:val="00096894"/>
    <w:rsid w:val="000968A9"/>
    <w:rsid w:val="00096F0C"/>
    <w:rsid w:val="000976BF"/>
    <w:rsid w:val="0009778F"/>
    <w:rsid w:val="000A1315"/>
    <w:rsid w:val="000A31F8"/>
    <w:rsid w:val="000A3663"/>
    <w:rsid w:val="000A387C"/>
    <w:rsid w:val="000A5005"/>
    <w:rsid w:val="000A57C1"/>
    <w:rsid w:val="000A649C"/>
    <w:rsid w:val="000B1E2F"/>
    <w:rsid w:val="000B4953"/>
    <w:rsid w:val="000B5806"/>
    <w:rsid w:val="000B5F77"/>
    <w:rsid w:val="000B6607"/>
    <w:rsid w:val="000C0356"/>
    <w:rsid w:val="000C03E3"/>
    <w:rsid w:val="000C05BE"/>
    <w:rsid w:val="000C35BE"/>
    <w:rsid w:val="000C3706"/>
    <w:rsid w:val="000C3E19"/>
    <w:rsid w:val="000C5121"/>
    <w:rsid w:val="000C7AC8"/>
    <w:rsid w:val="000D26E7"/>
    <w:rsid w:val="000D2CE1"/>
    <w:rsid w:val="000D4B6E"/>
    <w:rsid w:val="000D641A"/>
    <w:rsid w:val="000D6B77"/>
    <w:rsid w:val="000D7AE0"/>
    <w:rsid w:val="000D7B55"/>
    <w:rsid w:val="000E1026"/>
    <w:rsid w:val="000E12A9"/>
    <w:rsid w:val="000E37D8"/>
    <w:rsid w:val="000E490E"/>
    <w:rsid w:val="000E4DD3"/>
    <w:rsid w:val="000E62D8"/>
    <w:rsid w:val="000E794A"/>
    <w:rsid w:val="000E7B1F"/>
    <w:rsid w:val="000E7E73"/>
    <w:rsid w:val="000F0A5B"/>
    <w:rsid w:val="000F1E4F"/>
    <w:rsid w:val="000F2EDC"/>
    <w:rsid w:val="000F33C3"/>
    <w:rsid w:val="000F7C08"/>
    <w:rsid w:val="001007BA"/>
    <w:rsid w:val="00100F2E"/>
    <w:rsid w:val="00101774"/>
    <w:rsid w:val="0010216E"/>
    <w:rsid w:val="001028D1"/>
    <w:rsid w:val="001031DE"/>
    <w:rsid w:val="001032F0"/>
    <w:rsid w:val="00103CBC"/>
    <w:rsid w:val="00104554"/>
    <w:rsid w:val="0010485E"/>
    <w:rsid w:val="00104CAE"/>
    <w:rsid w:val="00106DC3"/>
    <w:rsid w:val="00107357"/>
    <w:rsid w:val="00107759"/>
    <w:rsid w:val="001105C0"/>
    <w:rsid w:val="00110C58"/>
    <w:rsid w:val="00111060"/>
    <w:rsid w:val="00111C55"/>
    <w:rsid w:val="00111E38"/>
    <w:rsid w:val="00112955"/>
    <w:rsid w:val="00112D27"/>
    <w:rsid w:val="001135BC"/>
    <w:rsid w:val="00113E79"/>
    <w:rsid w:val="00116930"/>
    <w:rsid w:val="00121365"/>
    <w:rsid w:val="00122E50"/>
    <w:rsid w:val="001238AF"/>
    <w:rsid w:val="001246CA"/>
    <w:rsid w:val="00124A77"/>
    <w:rsid w:val="00124B44"/>
    <w:rsid w:val="00124CA1"/>
    <w:rsid w:val="00125991"/>
    <w:rsid w:val="00125C94"/>
    <w:rsid w:val="00126E86"/>
    <w:rsid w:val="001272EE"/>
    <w:rsid w:val="00127BC3"/>
    <w:rsid w:val="00130B50"/>
    <w:rsid w:val="001320B9"/>
    <w:rsid w:val="0013492F"/>
    <w:rsid w:val="00136DE7"/>
    <w:rsid w:val="00137542"/>
    <w:rsid w:val="00143684"/>
    <w:rsid w:val="001448F3"/>
    <w:rsid w:val="0014591D"/>
    <w:rsid w:val="00146508"/>
    <w:rsid w:val="00147BB6"/>
    <w:rsid w:val="001502CF"/>
    <w:rsid w:val="00151817"/>
    <w:rsid w:val="0015214C"/>
    <w:rsid w:val="0015225B"/>
    <w:rsid w:val="00152BCB"/>
    <w:rsid w:val="00153196"/>
    <w:rsid w:val="0015430F"/>
    <w:rsid w:val="001559FB"/>
    <w:rsid w:val="0016003D"/>
    <w:rsid w:val="0016077E"/>
    <w:rsid w:val="0016145E"/>
    <w:rsid w:val="0016395E"/>
    <w:rsid w:val="00163CFF"/>
    <w:rsid w:val="0016465F"/>
    <w:rsid w:val="0016658A"/>
    <w:rsid w:val="00166DEB"/>
    <w:rsid w:val="001679D2"/>
    <w:rsid w:val="00170356"/>
    <w:rsid w:val="00171002"/>
    <w:rsid w:val="00171C84"/>
    <w:rsid w:val="0017451F"/>
    <w:rsid w:val="00175E61"/>
    <w:rsid w:val="00175F6E"/>
    <w:rsid w:val="00176B5A"/>
    <w:rsid w:val="001770B9"/>
    <w:rsid w:val="0018161B"/>
    <w:rsid w:val="00181FC1"/>
    <w:rsid w:val="00183C53"/>
    <w:rsid w:val="00184165"/>
    <w:rsid w:val="001847AB"/>
    <w:rsid w:val="001863B0"/>
    <w:rsid w:val="001908D8"/>
    <w:rsid w:val="00191C82"/>
    <w:rsid w:val="00191DB6"/>
    <w:rsid w:val="00191E7A"/>
    <w:rsid w:val="00192A7F"/>
    <w:rsid w:val="0019347E"/>
    <w:rsid w:val="00193B07"/>
    <w:rsid w:val="0019510E"/>
    <w:rsid w:val="00195E66"/>
    <w:rsid w:val="00196607"/>
    <w:rsid w:val="00196DB1"/>
    <w:rsid w:val="001973B6"/>
    <w:rsid w:val="001A1969"/>
    <w:rsid w:val="001A200D"/>
    <w:rsid w:val="001A4524"/>
    <w:rsid w:val="001B0715"/>
    <w:rsid w:val="001B2A65"/>
    <w:rsid w:val="001B5895"/>
    <w:rsid w:val="001B6E3C"/>
    <w:rsid w:val="001C0244"/>
    <w:rsid w:val="001C0588"/>
    <w:rsid w:val="001C12A6"/>
    <w:rsid w:val="001C1966"/>
    <w:rsid w:val="001C2414"/>
    <w:rsid w:val="001C6C16"/>
    <w:rsid w:val="001D10DD"/>
    <w:rsid w:val="001D237E"/>
    <w:rsid w:val="001D2D6F"/>
    <w:rsid w:val="001D30BA"/>
    <w:rsid w:val="001D3FC2"/>
    <w:rsid w:val="001D7657"/>
    <w:rsid w:val="001D76D4"/>
    <w:rsid w:val="001E2C9F"/>
    <w:rsid w:val="001E47A8"/>
    <w:rsid w:val="001E4E6B"/>
    <w:rsid w:val="001E611D"/>
    <w:rsid w:val="001E672D"/>
    <w:rsid w:val="001F09A0"/>
    <w:rsid w:val="001F11F5"/>
    <w:rsid w:val="001F1F69"/>
    <w:rsid w:val="001F2B01"/>
    <w:rsid w:val="001F314F"/>
    <w:rsid w:val="001F328C"/>
    <w:rsid w:val="001F4242"/>
    <w:rsid w:val="001F52B7"/>
    <w:rsid w:val="001F5384"/>
    <w:rsid w:val="001F6E39"/>
    <w:rsid w:val="001F7923"/>
    <w:rsid w:val="00200A99"/>
    <w:rsid w:val="00201076"/>
    <w:rsid w:val="002023F0"/>
    <w:rsid w:val="00204A89"/>
    <w:rsid w:val="00205651"/>
    <w:rsid w:val="00205E83"/>
    <w:rsid w:val="0021174A"/>
    <w:rsid w:val="002122A3"/>
    <w:rsid w:val="00213000"/>
    <w:rsid w:val="00213651"/>
    <w:rsid w:val="002144B5"/>
    <w:rsid w:val="00214EF4"/>
    <w:rsid w:val="00217A6D"/>
    <w:rsid w:val="00221DE6"/>
    <w:rsid w:val="002228CD"/>
    <w:rsid w:val="002238C0"/>
    <w:rsid w:val="0022420E"/>
    <w:rsid w:val="00224A3E"/>
    <w:rsid w:val="00225151"/>
    <w:rsid w:val="00226609"/>
    <w:rsid w:val="002270A5"/>
    <w:rsid w:val="002274A2"/>
    <w:rsid w:val="00230145"/>
    <w:rsid w:val="00230940"/>
    <w:rsid w:val="0023249E"/>
    <w:rsid w:val="002346F4"/>
    <w:rsid w:val="00235A05"/>
    <w:rsid w:val="00237A59"/>
    <w:rsid w:val="002408A3"/>
    <w:rsid w:val="00240E59"/>
    <w:rsid w:val="00241921"/>
    <w:rsid w:val="002423F2"/>
    <w:rsid w:val="002430D7"/>
    <w:rsid w:val="00243632"/>
    <w:rsid w:val="00243E27"/>
    <w:rsid w:val="0024517A"/>
    <w:rsid w:val="00247603"/>
    <w:rsid w:val="00250805"/>
    <w:rsid w:val="00250B49"/>
    <w:rsid w:val="00250C11"/>
    <w:rsid w:val="00251A77"/>
    <w:rsid w:val="0025266B"/>
    <w:rsid w:val="002526D9"/>
    <w:rsid w:val="0025396A"/>
    <w:rsid w:val="002540DE"/>
    <w:rsid w:val="00255B7B"/>
    <w:rsid w:val="00256A61"/>
    <w:rsid w:val="00257FB1"/>
    <w:rsid w:val="00260F2D"/>
    <w:rsid w:val="00262153"/>
    <w:rsid w:val="00263046"/>
    <w:rsid w:val="00263444"/>
    <w:rsid w:val="0026451A"/>
    <w:rsid w:val="00264F91"/>
    <w:rsid w:val="00270488"/>
    <w:rsid w:val="00271C38"/>
    <w:rsid w:val="00274EBD"/>
    <w:rsid w:val="00281343"/>
    <w:rsid w:val="0028272C"/>
    <w:rsid w:val="002832EA"/>
    <w:rsid w:val="002838CB"/>
    <w:rsid w:val="00283C8F"/>
    <w:rsid w:val="00285A3E"/>
    <w:rsid w:val="00291A34"/>
    <w:rsid w:val="00292A1F"/>
    <w:rsid w:val="00294451"/>
    <w:rsid w:val="00294E71"/>
    <w:rsid w:val="00296169"/>
    <w:rsid w:val="00297351"/>
    <w:rsid w:val="00297829"/>
    <w:rsid w:val="00297C60"/>
    <w:rsid w:val="00297CA2"/>
    <w:rsid w:val="002A1998"/>
    <w:rsid w:val="002A1B13"/>
    <w:rsid w:val="002A1C37"/>
    <w:rsid w:val="002A2377"/>
    <w:rsid w:val="002A23A5"/>
    <w:rsid w:val="002B0435"/>
    <w:rsid w:val="002B0445"/>
    <w:rsid w:val="002B0C9E"/>
    <w:rsid w:val="002B0F18"/>
    <w:rsid w:val="002B13F6"/>
    <w:rsid w:val="002B247E"/>
    <w:rsid w:val="002B3512"/>
    <w:rsid w:val="002B5309"/>
    <w:rsid w:val="002B5FF1"/>
    <w:rsid w:val="002B656C"/>
    <w:rsid w:val="002B6969"/>
    <w:rsid w:val="002C016C"/>
    <w:rsid w:val="002C0D56"/>
    <w:rsid w:val="002C3038"/>
    <w:rsid w:val="002C3D8F"/>
    <w:rsid w:val="002C6A0C"/>
    <w:rsid w:val="002C6B1B"/>
    <w:rsid w:val="002C724E"/>
    <w:rsid w:val="002D0833"/>
    <w:rsid w:val="002D16E8"/>
    <w:rsid w:val="002D247C"/>
    <w:rsid w:val="002D608B"/>
    <w:rsid w:val="002E0589"/>
    <w:rsid w:val="002E28AA"/>
    <w:rsid w:val="002E569D"/>
    <w:rsid w:val="002E6CB0"/>
    <w:rsid w:val="002E6E80"/>
    <w:rsid w:val="002E70DE"/>
    <w:rsid w:val="002E7D9A"/>
    <w:rsid w:val="002F0D2A"/>
    <w:rsid w:val="002F160A"/>
    <w:rsid w:val="002F1CF2"/>
    <w:rsid w:val="002F2B00"/>
    <w:rsid w:val="002F2F6C"/>
    <w:rsid w:val="002F36B1"/>
    <w:rsid w:val="002F44D8"/>
    <w:rsid w:val="002F4FFA"/>
    <w:rsid w:val="002F6BAD"/>
    <w:rsid w:val="002F7098"/>
    <w:rsid w:val="00300D50"/>
    <w:rsid w:val="00302F70"/>
    <w:rsid w:val="003034BA"/>
    <w:rsid w:val="00303EFB"/>
    <w:rsid w:val="003048F1"/>
    <w:rsid w:val="0030541B"/>
    <w:rsid w:val="003072D4"/>
    <w:rsid w:val="003076E5"/>
    <w:rsid w:val="00307F8E"/>
    <w:rsid w:val="00310DA0"/>
    <w:rsid w:val="00311CFE"/>
    <w:rsid w:val="00312896"/>
    <w:rsid w:val="00312CD2"/>
    <w:rsid w:val="00313155"/>
    <w:rsid w:val="003147BD"/>
    <w:rsid w:val="003163EE"/>
    <w:rsid w:val="00316AC1"/>
    <w:rsid w:val="00316C54"/>
    <w:rsid w:val="0032353A"/>
    <w:rsid w:val="00323939"/>
    <w:rsid w:val="00324588"/>
    <w:rsid w:val="00325728"/>
    <w:rsid w:val="00326B86"/>
    <w:rsid w:val="00327C2C"/>
    <w:rsid w:val="00330268"/>
    <w:rsid w:val="00331A66"/>
    <w:rsid w:val="00331B2F"/>
    <w:rsid w:val="00334E11"/>
    <w:rsid w:val="0033568A"/>
    <w:rsid w:val="00335D4D"/>
    <w:rsid w:val="0033689B"/>
    <w:rsid w:val="0034221F"/>
    <w:rsid w:val="00343F9F"/>
    <w:rsid w:val="00344EF7"/>
    <w:rsid w:val="00345610"/>
    <w:rsid w:val="00345928"/>
    <w:rsid w:val="00347496"/>
    <w:rsid w:val="00347889"/>
    <w:rsid w:val="00347F4C"/>
    <w:rsid w:val="00347F6E"/>
    <w:rsid w:val="00351ABC"/>
    <w:rsid w:val="003523E6"/>
    <w:rsid w:val="00355610"/>
    <w:rsid w:val="00355701"/>
    <w:rsid w:val="003569D7"/>
    <w:rsid w:val="003601DE"/>
    <w:rsid w:val="0036296D"/>
    <w:rsid w:val="00362A6A"/>
    <w:rsid w:val="00363B05"/>
    <w:rsid w:val="003649D6"/>
    <w:rsid w:val="00367F0F"/>
    <w:rsid w:val="00371A15"/>
    <w:rsid w:val="00372A01"/>
    <w:rsid w:val="00372D67"/>
    <w:rsid w:val="00373E38"/>
    <w:rsid w:val="003746B8"/>
    <w:rsid w:val="00376287"/>
    <w:rsid w:val="00377164"/>
    <w:rsid w:val="0038309B"/>
    <w:rsid w:val="00383BCB"/>
    <w:rsid w:val="00384882"/>
    <w:rsid w:val="003849F5"/>
    <w:rsid w:val="00387358"/>
    <w:rsid w:val="00387B63"/>
    <w:rsid w:val="00392E35"/>
    <w:rsid w:val="00392F4B"/>
    <w:rsid w:val="0039371E"/>
    <w:rsid w:val="00395091"/>
    <w:rsid w:val="003A0680"/>
    <w:rsid w:val="003A0A8F"/>
    <w:rsid w:val="003A1264"/>
    <w:rsid w:val="003A2009"/>
    <w:rsid w:val="003A2540"/>
    <w:rsid w:val="003A3723"/>
    <w:rsid w:val="003A3848"/>
    <w:rsid w:val="003A4023"/>
    <w:rsid w:val="003A4F53"/>
    <w:rsid w:val="003A6141"/>
    <w:rsid w:val="003A70D6"/>
    <w:rsid w:val="003A72CD"/>
    <w:rsid w:val="003B0471"/>
    <w:rsid w:val="003B0E4C"/>
    <w:rsid w:val="003B198E"/>
    <w:rsid w:val="003B4063"/>
    <w:rsid w:val="003B42A6"/>
    <w:rsid w:val="003B46FC"/>
    <w:rsid w:val="003C22BA"/>
    <w:rsid w:val="003C2407"/>
    <w:rsid w:val="003C3744"/>
    <w:rsid w:val="003C3DF2"/>
    <w:rsid w:val="003C4913"/>
    <w:rsid w:val="003C4BFF"/>
    <w:rsid w:val="003C4ECC"/>
    <w:rsid w:val="003C60AD"/>
    <w:rsid w:val="003C69C4"/>
    <w:rsid w:val="003D02DE"/>
    <w:rsid w:val="003D20EB"/>
    <w:rsid w:val="003D282D"/>
    <w:rsid w:val="003D6222"/>
    <w:rsid w:val="003D6FB8"/>
    <w:rsid w:val="003E1368"/>
    <w:rsid w:val="003E1A52"/>
    <w:rsid w:val="003E2217"/>
    <w:rsid w:val="003E4227"/>
    <w:rsid w:val="003E51F3"/>
    <w:rsid w:val="003E572A"/>
    <w:rsid w:val="003F073B"/>
    <w:rsid w:val="003F1151"/>
    <w:rsid w:val="003F16B6"/>
    <w:rsid w:val="003F1F76"/>
    <w:rsid w:val="003F24C4"/>
    <w:rsid w:val="003F2F23"/>
    <w:rsid w:val="003F3D76"/>
    <w:rsid w:val="003F413C"/>
    <w:rsid w:val="003F4609"/>
    <w:rsid w:val="003F49E1"/>
    <w:rsid w:val="003F6253"/>
    <w:rsid w:val="003F6DE8"/>
    <w:rsid w:val="003F79B2"/>
    <w:rsid w:val="00401623"/>
    <w:rsid w:val="004017C3"/>
    <w:rsid w:val="00402663"/>
    <w:rsid w:val="0040306E"/>
    <w:rsid w:val="0040333F"/>
    <w:rsid w:val="0040342F"/>
    <w:rsid w:val="00404C4A"/>
    <w:rsid w:val="0040541A"/>
    <w:rsid w:val="004057C2"/>
    <w:rsid w:val="00406376"/>
    <w:rsid w:val="00406A37"/>
    <w:rsid w:val="0041074E"/>
    <w:rsid w:val="0041179E"/>
    <w:rsid w:val="00411BAF"/>
    <w:rsid w:val="004129E0"/>
    <w:rsid w:val="0041308C"/>
    <w:rsid w:val="004140AB"/>
    <w:rsid w:val="004144E8"/>
    <w:rsid w:val="00415750"/>
    <w:rsid w:val="00415AAB"/>
    <w:rsid w:val="00415E30"/>
    <w:rsid w:val="00417661"/>
    <w:rsid w:val="004201A3"/>
    <w:rsid w:val="00420C3D"/>
    <w:rsid w:val="004220ED"/>
    <w:rsid w:val="00422573"/>
    <w:rsid w:val="00422B6A"/>
    <w:rsid w:val="004255E2"/>
    <w:rsid w:val="00425843"/>
    <w:rsid w:val="00425C30"/>
    <w:rsid w:val="0043026A"/>
    <w:rsid w:val="004311A5"/>
    <w:rsid w:val="004356B0"/>
    <w:rsid w:val="00435B13"/>
    <w:rsid w:val="00437796"/>
    <w:rsid w:val="00437C24"/>
    <w:rsid w:val="00437F7A"/>
    <w:rsid w:val="00441696"/>
    <w:rsid w:val="00441B79"/>
    <w:rsid w:val="00442423"/>
    <w:rsid w:val="00442E8D"/>
    <w:rsid w:val="00443437"/>
    <w:rsid w:val="00444741"/>
    <w:rsid w:val="0044640C"/>
    <w:rsid w:val="004472FA"/>
    <w:rsid w:val="00447C24"/>
    <w:rsid w:val="00450900"/>
    <w:rsid w:val="00452C84"/>
    <w:rsid w:val="00454BFD"/>
    <w:rsid w:val="004551EC"/>
    <w:rsid w:val="004578F1"/>
    <w:rsid w:val="00460A25"/>
    <w:rsid w:val="00461656"/>
    <w:rsid w:val="00463313"/>
    <w:rsid w:val="00463944"/>
    <w:rsid w:val="00464599"/>
    <w:rsid w:val="00465389"/>
    <w:rsid w:val="00466713"/>
    <w:rsid w:val="00467161"/>
    <w:rsid w:val="004703D3"/>
    <w:rsid w:val="00472664"/>
    <w:rsid w:val="004734A1"/>
    <w:rsid w:val="00474262"/>
    <w:rsid w:val="00477371"/>
    <w:rsid w:val="00477570"/>
    <w:rsid w:val="00477798"/>
    <w:rsid w:val="0048022E"/>
    <w:rsid w:val="00480665"/>
    <w:rsid w:val="00480DDA"/>
    <w:rsid w:val="00480FA7"/>
    <w:rsid w:val="00481A9A"/>
    <w:rsid w:val="00482645"/>
    <w:rsid w:val="00482DAC"/>
    <w:rsid w:val="00483286"/>
    <w:rsid w:val="004839B1"/>
    <w:rsid w:val="0048492E"/>
    <w:rsid w:val="0048551E"/>
    <w:rsid w:val="00485675"/>
    <w:rsid w:val="00485B5B"/>
    <w:rsid w:val="0048782A"/>
    <w:rsid w:val="004926E0"/>
    <w:rsid w:val="00493785"/>
    <w:rsid w:val="0049614E"/>
    <w:rsid w:val="0049785A"/>
    <w:rsid w:val="00497D4E"/>
    <w:rsid w:val="004A5555"/>
    <w:rsid w:val="004A5C8B"/>
    <w:rsid w:val="004A7B18"/>
    <w:rsid w:val="004A7D2B"/>
    <w:rsid w:val="004A7E23"/>
    <w:rsid w:val="004A7F50"/>
    <w:rsid w:val="004B001D"/>
    <w:rsid w:val="004B1B72"/>
    <w:rsid w:val="004B4A76"/>
    <w:rsid w:val="004B67DB"/>
    <w:rsid w:val="004B6A11"/>
    <w:rsid w:val="004B747F"/>
    <w:rsid w:val="004B7B1E"/>
    <w:rsid w:val="004C10BB"/>
    <w:rsid w:val="004C2E0A"/>
    <w:rsid w:val="004C3D0A"/>
    <w:rsid w:val="004C41F7"/>
    <w:rsid w:val="004C5241"/>
    <w:rsid w:val="004D0748"/>
    <w:rsid w:val="004D0EAC"/>
    <w:rsid w:val="004D1E93"/>
    <w:rsid w:val="004D64A5"/>
    <w:rsid w:val="004D65DA"/>
    <w:rsid w:val="004D6DBF"/>
    <w:rsid w:val="004D7557"/>
    <w:rsid w:val="004D765A"/>
    <w:rsid w:val="004E1C93"/>
    <w:rsid w:val="004E2588"/>
    <w:rsid w:val="004E390B"/>
    <w:rsid w:val="004E448F"/>
    <w:rsid w:val="004E608C"/>
    <w:rsid w:val="004E779C"/>
    <w:rsid w:val="004F0339"/>
    <w:rsid w:val="004F373E"/>
    <w:rsid w:val="004F4420"/>
    <w:rsid w:val="004F6B4B"/>
    <w:rsid w:val="004F763C"/>
    <w:rsid w:val="004F7A31"/>
    <w:rsid w:val="004F7D5E"/>
    <w:rsid w:val="00500476"/>
    <w:rsid w:val="0050066E"/>
    <w:rsid w:val="00500A8B"/>
    <w:rsid w:val="00501CD3"/>
    <w:rsid w:val="005038DC"/>
    <w:rsid w:val="00504207"/>
    <w:rsid w:val="00504E7D"/>
    <w:rsid w:val="0050554A"/>
    <w:rsid w:val="00505622"/>
    <w:rsid w:val="00507394"/>
    <w:rsid w:val="00507451"/>
    <w:rsid w:val="0051169E"/>
    <w:rsid w:val="005119C9"/>
    <w:rsid w:val="00511A0E"/>
    <w:rsid w:val="005143CD"/>
    <w:rsid w:val="00514476"/>
    <w:rsid w:val="0051635A"/>
    <w:rsid w:val="00517953"/>
    <w:rsid w:val="00520E29"/>
    <w:rsid w:val="0052262E"/>
    <w:rsid w:val="00522BF5"/>
    <w:rsid w:val="00522C1C"/>
    <w:rsid w:val="00523679"/>
    <w:rsid w:val="0053025C"/>
    <w:rsid w:val="005308B5"/>
    <w:rsid w:val="00531000"/>
    <w:rsid w:val="0053114F"/>
    <w:rsid w:val="00533377"/>
    <w:rsid w:val="00533F15"/>
    <w:rsid w:val="00537018"/>
    <w:rsid w:val="00540A3F"/>
    <w:rsid w:val="00541B97"/>
    <w:rsid w:val="00544BF1"/>
    <w:rsid w:val="00545F0F"/>
    <w:rsid w:val="00546198"/>
    <w:rsid w:val="00546EC9"/>
    <w:rsid w:val="00551573"/>
    <w:rsid w:val="00552143"/>
    <w:rsid w:val="00552355"/>
    <w:rsid w:val="005526FE"/>
    <w:rsid w:val="00552BE2"/>
    <w:rsid w:val="00552BF3"/>
    <w:rsid w:val="005554FE"/>
    <w:rsid w:val="00556203"/>
    <w:rsid w:val="0055742D"/>
    <w:rsid w:val="00557D90"/>
    <w:rsid w:val="005629FF"/>
    <w:rsid w:val="00562AF1"/>
    <w:rsid w:val="00564725"/>
    <w:rsid w:val="00565862"/>
    <w:rsid w:val="00566142"/>
    <w:rsid w:val="005662B0"/>
    <w:rsid w:val="00566710"/>
    <w:rsid w:val="00571649"/>
    <w:rsid w:val="00572CF3"/>
    <w:rsid w:val="00576728"/>
    <w:rsid w:val="00581C3E"/>
    <w:rsid w:val="00584C3B"/>
    <w:rsid w:val="00585BC1"/>
    <w:rsid w:val="00585C5F"/>
    <w:rsid w:val="00587E68"/>
    <w:rsid w:val="00592237"/>
    <w:rsid w:val="0059325E"/>
    <w:rsid w:val="005947A6"/>
    <w:rsid w:val="00595AEA"/>
    <w:rsid w:val="0059609E"/>
    <w:rsid w:val="00596240"/>
    <w:rsid w:val="00596D34"/>
    <w:rsid w:val="005A2886"/>
    <w:rsid w:val="005A5A31"/>
    <w:rsid w:val="005A6067"/>
    <w:rsid w:val="005A7D4D"/>
    <w:rsid w:val="005B023B"/>
    <w:rsid w:val="005B1DD8"/>
    <w:rsid w:val="005B2D13"/>
    <w:rsid w:val="005B3222"/>
    <w:rsid w:val="005B379E"/>
    <w:rsid w:val="005B4619"/>
    <w:rsid w:val="005B4CA2"/>
    <w:rsid w:val="005B4E50"/>
    <w:rsid w:val="005C241F"/>
    <w:rsid w:val="005C3B35"/>
    <w:rsid w:val="005C56AC"/>
    <w:rsid w:val="005D0548"/>
    <w:rsid w:val="005D1477"/>
    <w:rsid w:val="005D1562"/>
    <w:rsid w:val="005D2C46"/>
    <w:rsid w:val="005D2FC1"/>
    <w:rsid w:val="005D315A"/>
    <w:rsid w:val="005D3973"/>
    <w:rsid w:val="005D43FF"/>
    <w:rsid w:val="005D449E"/>
    <w:rsid w:val="005D6939"/>
    <w:rsid w:val="005D7650"/>
    <w:rsid w:val="005D7782"/>
    <w:rsid w:val="005E08D4"/>
    <w:rsid w:val="005E4524"/>
    <w:rsid w:val="005E576B"/>
    <w:rsid w:val="005E5CD4"/>
    <w:rsid w:val="005E7AEF"/>
    <w:rsid w:val="005F0057"/>
    <w:rsid w:val="005F31EF"/>
    <w:rsid w:val="005F3300"/>
    <w:rsid w:val="005F3568"/>
    <w:rsid w:val="005F392C"/>
    <w:rsid w:val="005F48D7"/>
    <w:rsid w:val="005F5A2C"/>
    <w:rsid w:val="005F624D"/>
    <w:rsid w:val="005F6275"/>
    <w:rsid w:val="005F75FC"/>
    <w:rsid w:val="00600132"/>
    <w:rsid w:val="006006F8"/>
    <w:rsid w:val="00603569"/>
    <w:rsid w:val="006040E9"/>
    <w:rsid w:val="00607DCF"/>
    <w:rsid w:val="00610391"/>
    <w:rsid w:val="006105EE"/>
    <w:rsid w:val="00610DA9"/>
    <w:rsid w:val="00613CC6"/>
    <w:rsid w:val="00613E75"/>
    <w:rsid w:val="006164F1"/>
    <w:rsid w:val="00616D46"/>
    <w:rsid w:val="00616F1D"/>
    <w:rsid w:val="00620509"/>
    <w:rsid w:val="00620D7E"/>
    <w:rsid w:val="00621A53"/>
    <w:rsid w:val="00621E49"/>
    <w:rsid w:val="00621E60"/>
    <w:rsid w:val="0062201F"/>
    <w:rsid w:val="00622CED"/>
    <w:rsid w:val="0062527C"/>
    <w:rsid w:val="00625A6F"/>
    <w:rsid w:val="00626542"/>
    <w:rsid w:val="00626C15"/>
    <w:rsid w:val="00627105"/>
    <w:rsid w:val="006277A3"/>
    <w:rsid w:val="00631332"/>
    <w:rsid w:val="006332B6"/>
    <w:rsid w:val="006340FC"/>
    <w:rsid w:val="00636729"/>
    <w:rsid w:val="00637990"/>
    <w:rsid w:val="00637BFF"/>
    <w:rsid w:val="00637FE2"/>
    <w:rsid w:val="00641CAF"/>
    <w:rsid w:val="00646947"/>
    <w:rsid w:val="00650D24"/>
    <w:rsid w:val="006519C1"/>
    <w:rsid w:val="0065591F"/>
    <w:rsid w:val="0065630D"/>
    <w:rsid w:val="0066030C"/>
    <w:rsid w:val="0066287E"/>
    <w:rsid w:val="00662ACF"/>
    <w:rsid w:val="006634D8"/>
    <w:rsid w:val="00665444"/>
    <w:rsid w:val="00666762"/>
    <w:rsid w:val="00667840"/>
    <w:rsid w:val="00670DA9"/>
    <w:rsid w:val="006712CE"/>
    <w:rsid w:val="006721F1"/>
    <w:rsid w:val="00672B76"/>
    <w:rsid w:val="00674154"/>
    <w:rsid w:val="006744F7"/>
    <w:rsid w:val="0067581D"/>
    <w:rsid w:val="006817D5"/>
    <w:rsid w:val="006818DB"/>
    <w:rsid w:val="0068228D"/>
    <w:rsid w:val="006831B6"/>
    <w:rsid w:val="00683CA6"/>
    <w:rsid w:val="00683F59"/>
    <w:rsid w:val="00684A9B"/>
    <w:rsid w:val="00690B98"/>
    <w:rsid w:val="00691A38"/>
    <w:rsid w:val="00692892"/>
    <w:rsid w:val="006928FF"/>
    <w:rsid w:val="00692C36"/>
    <w:rsid w:val="006947DF"/>
    <w:rsid w:val="006951B5"/>
    <w:rsid w:val="0069524B"/>
    <w:rsid w:val="00696030"/>
    <w:rsid w:val="00697C03"/>
    <w:rsid w:val="006A00DA"/>
    <w:rsid w:val="006A1F85"/>
    <w:rsid w:val="006A210C"/>
    <w:rsid w:val="006A2AE2"/>
    <w:rsid w:val="006A2B28"/>
    <w:rsid w:val="006A4D56"/>
    <w:rsid w:val="006A59A2"/>
    <w:rsid w:val="006A5ECF"/>
    <w:rsid w:val="006A669E"/>
    <w:rsid w:val="006B0715"/>
    <w:rsid w:val="006B12E8"/>
    <w:rsid w:val="006B1B75"/>
    <w:rsid w:val="006B2014"/>
    <w:rsid w:val="006B2340"/>
    <w:rsid w:val="006B324C"/>
    <w:rsid w:val="006B3D85"/>
    <w:rsid w:val="006B449D"/>
    <w:rsid w:val="006B5088"/>
    <w:rsid w:val="006B5A78"/>
    <w:rsid w:val="006B7503"/>
    <w:rsid w:val="006B79D8"/>
    <w:rsid w:val="006C0C1E"/>
    <w:rsid w:val="006C18D2"/>
    <w:rsid w:val="006C1C3C"/>
    <w:rsid w:val="006C22D3"/>
    <w:rsid w:val="006C3882"/>
    <w:rsid w:val="006C5128"/>
    <w:rsid w:val="006C5A44"/>
    <w:rsid w:val="006C5A98"/>
    <w:rsid w:val="006C7A10"/>
    <w:rsid w:val="006D167B"/>
    <w:rsid w:val="006D358F"/>
    <w:rsid w:val="006D3851"/>
    <w:rsid w:val="006D46AA"/>
    <w:rsid w:val="006D4BE8"/>
    <w:rsid w:val="006D4C79"/>
    <w:rsid w:val="006D52A9"/>
    <w:rsid w:val="006D5989"/>
    <w:rsid w:val="006D61B1"/>
    <w:rsid w:val="006D662E"/>
    <w:rsid w:val="006D6C7B"/>
    <w:rsid w:val="006E079B"/>
    <w:rsid w:val="006E1220"/>
    <w:rsid w:val="006E1F92"/>
    <w:rsid w:val="006E2598"/>
    <w:rsid w:val="006E6356"/>
    <w:rsid w:val="006E67FB"/>
    <w:rsid w:val="006E6C8E"/>
    <w:rsid w:val="006F132D"/>
    <w:rsid w:val="006F1990"/>
    <w:rsid w:val="006F1C19"/>
    <w:rsid w:val="006F3003"/>
    <w:rsid w:val="006F3A48"/>
    <w:rsid w:val="006F3DB1"/>
    <w:rsid w:val="006F4515"/>
    <w:rsid w:val="006F49B6"/>
    <w:rsid w:val="006F542E"/>
    <w:rsid w:val="006F5A99"/>
    <w:rsid w:val="006F6972"/>
    <w:rsid w:val="007002AA"/>
    <w:rsid w:val="00700921"/>
    <w:rsid w:val="00700E1F"/>
    <w:rsid w:val="00705D43"/>
    <w:rsid w:val="0070628E"/>
    <w:rsid w:val="00707A12"/>
    <w:rsid w:val="0071054C"/>
    <w:rsid w:val="0071116F"/>
    <w:rsid w:val="00711489"/>
    <w:rsid w:val="00711E10"/>
    <w:rsid w:val="00712BFA"/>
    <w:rsid w:val="00712F7B"/>
    <w:rsid w:val="00713DFB"/>
    <w:rsid w:val="00714916"/>
    <w:rsid w:val="00714D2D"/>
    <w:rsid w:val="00715EC6"/>
    <w:rsid w:val="00716A38"/>
    <w:rsid w:val="00717CEF"/>
    <w:rsid w:val="0072021A"/>
    <w:rsid w:val="0072195A"/>
    <w:rsid w:val="00722284"/>
    <w:rsid w:val="0072296C"/>
    <w:rsid w:val="00722E81"/>
    <w:rsid w:val="00723FB7"/>
    <w:rsid w:val="00730ACA"/>
    <w:rsid w:val="00730C03"/>
    <w:rsid w:val="00732152"/>
    <w:rsid w:val="00733E6E"/>
    <w:rsid w:val="007344A9"/>
    <w:rsid w:val="00734575"/>
    <w:rsid w:val="007352A9"/>
    <w:rsid w:val="00735CFC"/>
    <w:rsid w:val="00735D71"/>
    <w:rsid w:val="00736148"/>
    <w:rsid w:val="00736A76"/>
    <w:rsid w:val="00736B32"/>
    <w:rsid w:val="007401E7"/>
    <w:rsid w:val="00743156"/>
    <w:rsid w:val="007449D5"/>
    <w:rsid w:val="00745E15"/>
    <w:rsid w:val="007475EE"/>
    <w:rsid w:val="007478D2"/>
    <w:rsid w:val="0075012B"/>
    <w:rsid w:val="00750F8A"/>
    <w:rsid w:val="00751019"/>
    <w:rsid w:val="007559EB"/>
    <w:rsid w:val="00757520"/>
    <w:rsid w:val="007577E7"/>
    <w:rsid w:val="007605A9"/>
    <w:rsid w:val="0076167D"/>
    <w:rsid w:val="0076289B"/>
    <w:rsid w:val="00762912"/>
    <w:rsid w:val="00763E0D"/>
    <w:rsid w:val="0076475D"/>
    <w:rsid w:val="007649AC"/>
    <w:rsid w:val="00766EBB"/>
    <w:rsid w:val="007722FA"/>
    <w:rsid w:val="00772B3D"/>
    <w:rsid w:val="0077380F"/>
    <w:rsid w:val="007743CA"/>
    <w:rsid w:val="00776403"/>
    <w:rsid w:val="00777B4C"/>
    <w:rsid w:val="00781923"/>
    <w:rsid w:val="00784009"/>
    <w:rsid w:val="00784CB0"/>
    <w:rsid w:val="0078524F"/>
    <w:rsid w:val="00785558"/>
    <w:rsid w:val="007868B0"/>
    <w:rsid w:val="00786F12"/>
    <w:rsid w:val="0078751B"/>
    <w:rsid w:val="007902F5"/>
    <w:rsid w:val="00790968"/>
    <w:rsid w:val="00790CF3"/>
    <w:rsid w:val="00793ECD"/>
    <w:rsid w:val="0079464C"/>
    <w:rsid w:val="00794717"/>
    <w:rsid w:val="00795A02"/>
    <w:rsid w:val="0079648C"/>
    <w:rsid w:val="00797105"/>
    <w:rsid w:val="007978CE"/>
    <w:rsid w:val="00797D07"/>
    <w:rsid w:val="007A0729"/>
    <w:rsid w:val="007A3193"/>
    <w:rsid w:val="007A3C25"/>
    <w:rsid w:val="007A4717"/>
    <w:rsid w:val="007A5A52"/>
    <w:rsid w:val="007A7508"/>
    <w:rsid w:val="007C1C1A"/>
    <w:rsid w:val="007C1EAE"/>
    <w:rsid w:val="007C2E80"/>
    <w:rsid w:val="007C3DF3"/>
    <w:rsid w:val="007C47D1"/>
    <w:rsid w:val="007C5873"/>
    <w:rsid w:val="007C5CBD"/>
    <w:rsid w:val="007C671F"/>
    <w:rsid w:val="007C6FAB"/>
    <w:rsid w:val="007C7398"/>
    <w:rsid w:val="007D0A59"/>
    <w:rsid w:val="007D0D89"/>
    <w:rsid w:val="007D2503"/>
    <w:rsid w:val="007D2EE1"/>
    <w:rsid w:val="007D52A8"/>
    <w:rsid w:val="007D52CD"/>
    <w:rsid w:val="007D5FAC"/>
    <w:rsid w:val="007D6479"/>
    <w:rsid w:val="007D7BC7"/>
    <w:rsid w:val="007E2EBE"/>
    <w:rsid w:val="007E2F82"/>
    <w:rsid w:val="007E3568"/>
    <w:rsid w:val="007E543F"/>
    <w:rsid w:val="007E552C"/>
    <w:rsid w:val="007F0464"/>
    <w:rsid w:val="007F1325"/>
    <w:rsid w:val="007F141A"/>
    <w:rsid w:val="007F3D00"/>
    <w:rsid w:val="007F3D98"/>
    <w:rsid w:val="007F4654"/>
    <w:rsid w:val="007F794E"/>
    <w:rsid w:val="00801A62"/>
    <w:rsid w:val="00801FBF"/>
    <w:rsid w:val="00803D3C"/>
    <w:rsid w:val="00805272"/>
    <w:rsid w:val="0081037F"/>
    <w:rsid w:val="008109D2"/>
    <w:rsid w:val="008111F7"/>
    <w:rsid w:val="00813477"/>
    <w:rsid w:val="00814876"/>
    <w:rsid w:val="00814B12"/>
    <w:rsid w:val="00814FD0"/>
    <w:rsid w:val="008152E2"/>
    <w:rsid w:val="008169FD"/>
    <w:rsid w:val="00817599"/>
    <w:rsid w:val="00821CB7"/>
    <w:rsid w:val="00821FFD"/>
    <w:rsid w:val="008220BA"/>
    <w:rsid w:val="0082252B"/>
    <w:rsid w:val="008236DB"/>
    <w:rsid w:val="00823E33"/>
    <w:rsid w:val="008248B3"/>
    <w:rsid w:val="00827A4C"/>
    <w:rsid w:val="00830E6E"/>
    <w:rsid w:val="0083138A"/>
    <w:rsid w:val="00833FFC"/>
    <w:rsid w:val="00834277"/>
    <w:rsid w:val="008346FE"/>
    <w:rsid w:val="00837C07"/>
    <w:rsid w:val="00840686"/>
    <w:rsid w:val="00842E41"/>
    <w:rsid w:val="00846030"/>
    <w:rsid w:val="008465C2"/>
    <w:rsid w:val="00847371"/>
    <w:rsid w:val="00847915"/>
    <w:rsid w:val="008508A7"/>
    <w:rsid w:val="008509FE"/>
    <w:rsid w:val="0085211F"/>
    <w:rsid w:val="00853C48"/>
    <w:rsid w:val="00853DFF"/>
    <w:rsid w:val="008551D9"/>
    <w:rsid w:val="0085573E"/>
    <w:rsid w:val="00861129"/>
    <w:rsid w:val="00865DB7"/>
    <w:rsid w:val="008661E8"/>
    <w:rsid w:val="0086668C"/>
    <w:rsid w:val="008709E1"/>
    <w:rsid w:val="00871AEF"/>
    <w:rsid w:val="00872F1F"/>
    <w:rsid w:val="00873183"/>
    <w:rsid w:val="008738A6"/>
    <w:rsid w:val="00873AB9"/>
    <w:rsid w:val="00873FFC"/>
    <w:rsid w:val="008744DC"/>
    <w:rsid w:val="00874CED"/>
    <w:rsid w:val="008754B1"/>
    <w:rsid w:val="00877C5C"/>
    <w:rsid w:val="00881142"/>
    <w:rsid w:val="00881AB0"/>
    <w:rsid w:val="00881FB4"/>
    <w:rsid w:val="00882020"/>
    <w:rsid w:val="00882D35"/>
    <w:rsid w:val="00884B22"/>
    <w:rsid w:val="00884C1F"/>
    <w:rsid w:val="00884D9A"/>
    <w:rsid w:val="008900A0"/>
    <w:rsid w:val="00890AA9"/>
    <w:rsid w:val="0089106B"/>
    <w:rsid w:val="008926F5"/>
    <w:rsid w:val="00893F4F"/>
    <w:rsid w:val="00894645"/>
    <w:rsid w:val="00894D7F"/>
    <w:rsid w:val="0089500F"/>
    <w:rsid w:val="00896BB7"/>
    <w:rsid w:val="008972FD"/>
    <w:rsid w:val="008A02F5"/>
    <w:rsid w:val="008A14AB"/>
    <w:rsid w:val="008A321F"/>
    <w:rsid w:val="008A39DF"/>
    <w:rsid w:val="008A41EB"/>
    <w:rsid w:val="008A46AA"/>
    <w:rsid w:val="008A6840"/>
    <w:rsid w:val="008B0B83"/>
    <w:rsid w:val="008B2EA8"/>
    <w:rsid w:val="008B3077"/>
    <w:rsid w:val="008B3765"/>
    <w:rsid w:val="008B62E2"/>
    <w:rsid w:val="008C0020"/>
    <w:rsid w:val="008C023F"/>
    <w:rsid w:val="008C10D8"/>
    <w:rsid w:val="008C144B"/>
    <w:rsid w:val="008C4388"/>
    <w:rsid w:val="008C4B4E"/>
    <w:rsid w:val="008C4EC6"/>
    <w:rsid w:val="008C5BDB"/>
    <w:rsid w:val="008C5BDF"/>
    <w:rsid w:val="008C6088"/>
    <w:rsid w:val="008C67F8"/>
    <w:rsid w:val="008C77DF"/>
    <w:rsid w:val="008D01A0"/>
    <w:rsid w:val="008D12CF"/>
    <w:rsid w:val="008D1981"/>
    <w:rsid w:val="008D1F63"/>
    <w:rsid w:val="008D282B"/>
    <w:rsid w:val="008D2C83"/>
    <w:rsid w:val="008D45DF"/>
    <w:rsid w:val="008D501E"/>
    <w:rsid w:val="008D526F"/>
    <w:rsid w:val="008D626F"/>
    <w:rsid w:val="008D68E6"/>
    <w:rsid w:val="008D6996"/>
    <w:rsid w:val="008D6B7B"/>
    <w:rsid w:val="008D6C88"/>
    <w:rsid w:val="008D7010"/>
    <w:rsid w:val="008D7B86"/>
    <w:rsid w:val="008E0503"/>
    <w:rsid w:val="008E113E"/>
    <w:rsid w:val="008E1CA2"/>
    <w:rsid w:val="008E2DEA"/>
    <w:rsid w:val="008E3001"/>
    <w:rsid w:val="008E3B98"/>
    <w:rsid w:val="008E4CE6"/>
    <w:rsid w:val="008E4DF6"/>
    <w:rsid w:val="008E71D5"/>
    <w:rsid w:val="008E7FC4"/>
    <w:rsid w:val="008F00C5"/>
    <w:rsid w:val="008F18F6"/>
    <w:rsid w:val="008F27E6"/>
    <w:rsid w:val="008F3832"/>
    <w:rsid w:val="008F3E40"/>
    <w:rsid w:val="008F5028"/>
    <w:rsid w:val="008F5C5E"/>
    <w:rsid w:val="008F69C7"/>
    <w:rsid w:val="008F6BF4"/>
    <w:rsid w:val="00903200"/>
    <w:rsid w:val="00903978"/>
    <w:rsid w:val="00903B9A"/>
    <w:rsid w:val="00903E7B"/>
    <w:rsid w:val="009048A7"/>
    <w:rsid w:val="00904C79"/>
    <w:rsid w:val="00905847"/>
    <w:rsid w:val="009073FE"/>
    <w:rsid w:val="009104BD"/>
    <w:rsid w:val="00910F33"/>
    <w:rsid w:val="0091293D"/>
    <w:rsid w:val="00912F81"/>
    <w:rsid w:val="00914405"/>
    <w:rsid w:val="00915964"/>
    <w:rsid w:val="00916E45"/>
    <w:rsid w:val="00917880"/>
    <w:rsid w:val="00920199"/>
    <w:rsid w:val="009201B5"/>
    <w:rsid w:val="00920BA8"/>
    <w:rsid w:val="00923965"/>
    <w:rsid w:val="009243AC"/>
    <w:rsid w:val="0092721C"/>
    <w:rsid w:val="009302BC"/>
    <w:rsid w:val="009302E2"/>
    <w:rsid w:val="009305D2"/>
    <w:rsid w:val="00930F17"/>
    <w:rsid w:val="00932637"/>
    <w:rsid w:val="00934021"/>
    <w:rsid w:val="00934830"/>
    <w:rsid w:val="00935252"/>
    <w:rsid w:val="00935CDC"/>
    <w:rsid w:val="00936E3B"/>
    <w:rsid w:val="0093715C"/>
    <w:rsid w:val="00942FE6"/>
    <w:rsid w:val="00943762"/>
    <w:rsid w:val="00943D55"/>
    <w:rsid w:val="009441C5"/>
    <w:rsid w:val="00944B21"/>
    <w:rsid w:val="00944F62"/>
    <w:rsid w:val="00945FA3"/>
    <w:rsid w:val="009473FE"/>
    <w:rsid w:val="00951C1B"/>
    <w:rsid w:val="0095244B"/>
    <w:rsid w:val="00952BB4"/>
    <w:rsid w:val="00952BCA"/>
    <w:rsid w:val="0095445C"/>
    <w:rsid w:val="00954550"/>
    <w:rsid w:val="00956513"/>
    <w:rsid w:val="00956EF4"/>
    <w:rsid w:val="009573D2"/>
    <w:rsid w:val="00957B12"/>
    <w:rsid w:val="00960E03"/>
    <w:rsid w:val="00963E09"/>
    <w:rsid w:val="00966797"/>
    <w:rsid w:val="00967F78"/>
    <w:rsid w:val="00970C17"/>
    <w:rsid w:val="00971732"/>
    <w:rsid w:val="00972A26"/>
    <w:rsid w:val="00974FB6"/>
    <w:rsid w:val="009772D5"/>
    <w:rsid w:val="00980230"/>
    <w:rsid w:val="0098055C"/>
    <w:rsid w:val="00980AE6"/>
    <w:rsid w:val="0098171A"/>
    <w:rsid w:val="00981C34"/>
    <w:rsid w:val="00982C89"/>
    <w:rsid w:val="009832FF"/>
    <w:rsid w:val="0098526D"/>
    <w:rsid w:val="00987CEF"/>
    <w:rsid w:val="00990A91"/>
    <w:rsid w:val="00990BFB"/>
    <w:rsid w:val="00992262"/>
    <w:rsid w:val="00992EF0"/>
    <w:rsid w:val="00993A92"/>
    <w:rsid w:val="009948F7"/>
    <w:rsid w:val="0099682B"/>
    <w:rsid w:val="00996975"/>
    <w:rsid w:val="009A0CB9"/>
    <w:rsid w:val="009A4472"/>
    <w:rsid w:val="009A50F2"/>
    <w:rsid w:val="009A5C09"/>
    <w:rsid w:val="009A723F"/>
    <w:rsid w:val="009B2876"/>
    <w:rsid w:val="009B3202"/>
    <w:rsid w:val="009B4732"/>
    <w:rsid w:val="009B5355"/>
    <w:rsid w:val="009B5A13"/>
    <w:rsid w:val="009B5D2C"/>
    <w:rsid w:val="009B5E85"/>
    <w:rsid w:val="009B7C1E"/>
    <w:rsid w:val="009B7FB8"/>
    <w:rsid w:val="009C018C"/>
    <w:rsid w:val="009C2509"/>
    <w:rsid w:val="009C4FC6"/>
    <w:rsid w:val="009C6CAB"/>
    <w:rsid w:val="009D0A67"/>
    <w:rsid w:val="009D0BDD"/>
    <w:rsid w:val="009D0FFD"/>
    <w:rsid w:val="009D30D9"/>
    <w:rsid w:val="009D34F1"/>
    <w:rsid w:val="009D4CB2"/>
    <w:rsid w:val="009D4DA2"/>
    <w:rsid w:val="009D6922"/>
    <w:rsid w:val="009E1A9A"/>
    <w:rsid w:val="009E375D"/>
    <w:rsid w:val="009E45D0"/>
    <w:rsid w:val="009E6F30"/>
    <w:rsid w:val="009F25A3"/>
    <w:rsid w:val="009F2621"/>
    <w:rsid w:val="009F2F54"/>
    <w:rsid w:val="009F3D7E"/>
    <w:rsid w:val="009F3F56"/>
    <w:rsid w:val="009F5F09"/>
    <w:rsid w:val="009F612D"/>
    <w:rsid w:val="009F68F9"/>
    <w:rsid w:val="009F6D13"/>
    <w:rsid w:val="009F7338"/>
    <w:rsid w:val="00A01DFD"/>
    <w:rsid w:val="00A04DA3"/>
    <w:rsid w:val="00A05C2D"/>
    <w:rsid w:val="00A06278"/>
    <w:rsid w:val="00A06EF1"/>
    <w:rsid w:val="00A0716D"/>
    <w:rsid w:val="00A07274"/>
    <w:rsid w:val="00A0733D"/>
    <w:rsid w:val="00A10A7C"/>
    <w:rsid w:val="00A13AEC"/>
    <w:rsid w:val="00A14EA1"/>
    <w:rsid w:val="00A1552E"/>
    <w:rsid w:val="00A17335"/>
    <w:rsid w:val="00A2064C"/>
    <w:rsid w:val="00A233D2"/>
    <w:rsid w:val="00A23AE3"/>
    <w:rsid w:val="00A240CA"/>
    <w:rsid w:val="00A24485"/>
    <w:rsid w:val="00A2538D"/>
    <w:rsid w:val="00A257F7"/>
    <w:rsid w:val="00A2623E"/>
    <w:rsid w:val="00A27277"/>
    <w:rsid w:val="00A27722"/>
    <w:rsid w:val="00A27FB2"/>
    <w:rsid w:val="00A309D6"/>
    <w:rsid w:val="00A31753"/>
    <w:rsid w:val="00A31C4C"/>
    <w:rsid w:val="00A332A0"/>
    <w:rsid w:val="00A33CC4"/>
    <w:rsid w:val="00A346EC"/>
    <w:rsid w:val="00A346FD"/>
    <w:rsid w:val="00A3529C"/>
    <w:rsid w:val="00A35A4E"/>
    <w:rsid w:val="00A3632A"/>
    <w:rsid w:val="00A36D07"/>
    <w:rsid w:val="00A36D9A"/>
    <w:rsid w:val="00A40A2B"/>
    <w:rsid w:val="00A42BC4"/>
    <w:rsid w:val="00A4334E"/>
    <w:rsid w:val="00A43640"/>
    <w:rsid w:val="00A43F31"/>
    <w:rsid w:val="00A441CE"/>
    <w:rsid w:val="00A44750"/>
    <w:rsid w:val="00A4535D"/>
    <w:rsid w:val="00A46220"/>
    <w:rsid w:val="00A46DA5"/>
    <w:rsid w:val="00A47583"/>
    <w:rsid w:val="00A512D9"/>
    <w:rsid w:val="00A513FD"/>
    <w:rsid w:val="00A51D42"/>
    <w:rsid w:val="00A54A51"/>
    <w:rsid w:val="00A54C2B"/>
    <w:rsid w:val="00A55E7A"/>
    <w:rsid w:val="00A560A6"/>
    <w:rsid w:val="00A56335"/>
    <w:rsid w:val="00A56B4D"/>
    <w:rsid w:val="00A6110E"/>
    <w:rsid w:val="00A61E93"/>
    <w:rsid w:val="00A6304F"/>
    <w:rsid w:val="00A66067"/>
    <w:rsid w:val="00A669C1"/>
    <w:rsid w:val="00A66F4B"/>
    <w:rsid w:val="00A72112"/>
    <w:rsid w:val="00A725AD"/>
    <w:rsid w:val="00A72F6A"/>
    <w:rsid w:val="00A73A48"/>
    <w:rsid w:val="00A75943"/>
    <w:rsid w:val="00A7625D"/>
    <w:rsid w:val="00A76D06"/>
    <w:rsid w:val="00A77FD7"/>
    <w:rsid w:val="00A81FBB"/>
    <w:rsid w:val="00A821D0"/>
    <w:rsid w:val="00A82AD6"/>
    <w:rsid w:val="00A82EAB"/>
    <w:rsid w:val="00A834B1"/>
    <w:rsid w:val="00A84F36"/>
    <w:rsid w:val="00A84F44"/>
    <w:rsid w:val="00A8501D"/>
    <w:rsid w:val="00A8670C"/>
    <w:rsid w:val="00A867CB"/>
    <w:rsid w:val="00A87F97"/>
    <w:rsid w:val="00A91007"/>
    <w:rsid w:val="00A9196D"/>
    <w:rsid w:val="00A92E86"/>
    <w:rsid w:val="00A93A0C"/>
    <w:rsid w:val="00A96138"/>
    <w:rsid w:val="00A962FD"/>
    <w:rsid w:val="00A96858"/>
    <w:rsid w:val="00A969FF"/>
    <w:rsid w:val="00AA0CDA"/>
    <w:rsid w:val="00AA1F6E"/>
    <w:rsid w:val="00AA370E"/>
    <w:rsid w:val="00AA37F8"/>
    <w:rsid w:val="00AA48B5"/>
    <w:rsid w:val="00AA5193"/>
    <w:rsid w:val="00AA59B3"/>
    <w:rsid w:val="00AA606B"/>
    <w:rsid w:val="00AA7571"/>
    <w:rsid w:val="00AB0E30"/>
    <w:rsid w:val="00AB212C"/>
    <w:rsid w:val="00AB3919"/>
    <w:rsid w:val="00AB3E66"/>
    <w:rsid w:val="00AB477D"/>
    <w:rsid w:val="00AB5229"/>
    <w:rsid w:val="00AB5DE7"/>
    <w:rsid w:val="00AB6542"/>
    <w:rsid w:val="00AB6D04"/>
    <w:rsid w:val="00AB6D78"/>
    <w:rsid w:val="00AB72A6"/>
    <w:rsid w:val="00AB7DAA"/>
    <w:rsid w:val="00AC0403"/>
    <w:rsid w:val="00AC1D1B"/>
    <w:rsid w:val="00AC2218"/>
    <w:rsid w:val="00AC6326"/>
    <w:rsid w:val="00AC67C7"/>
    <w:rsid w:val="00AD029D"/>
    <w:rsid w:val="00AD3AEE"/>
    <w:rsid w:val="00AD44F9"/>
    <w:rsid w:val="00AE013B"/>
    <w:rsid w:val="00AE0219"/>
    <w:rsid w:val="00AE1233"/>
    <w:rsid w:val="00AE1850"/>
    <w:rsid w:val="00AE1E9B"/>
    <w:rsid w:val="00AE23FD"/>
    <w:rsid w:val="00AE3990"/>
    <w:rsid w:val="00AE3B88"/>
    <w:rsid w:val="00AE52DE"/>
    <w:rsid w:val="00AE6369"/>
    <w:rsid w:val="00AE63DE"/>
    <w:rsid w:val="00AF0F7C"/>
    <w:rsid w:val="00AF1F50"/>
    <w:rsid w:val="00AF26B3"/>
    <w:rsid w:val="00AF65A2"/>
    <w:rsid w:val="00AF6936"/>
    <w:rsid w:val="00AF771D"/>
    <w:rsid w:val="00B00AB4"/>
    <w:rsid w:val="00B00CD9"/>
    <w:rsid w:val="00B014A0"/>
    <w:rsid w:val="00B0153F"/>
    <w:rsid w:val="00B02808"/>
    <w:rsid w:val="00B03135"/>
    <w:rsid w:val="00B04178"/>
    <w:rsid w:val="00B048CC"/>
    <w:rsid w:val="00B04A34"/>
    <w:rsid w:val="00B04AD7"/>
    <w:rsid w:val="00B06FE2"/>
    <w:rsid w:val="00B074F2"/>
    <w:rsid w:val="00B11259"/>
    <w:rsid w:val="00B112C8"/>
    <w:rsid w:val="00B11E90"/>
    <w:rsid w:val="00B123F1"/>
    <w:rsid w:val="00B127DF"/>
    <w:rsid w:val="00B13A9C"/>
    <w:rsid w:val="00B14184"/>
    <w:rsid w:val="00B151D8"/>
    <w:rsid w:val="00B154ED"/>
    <w:rsid w:val="00B1613E"/>
    <w:rsid w:val="00B16AC2"/>
    <w:rsid w:val="00B16B19"/>
    <w:rsid w:val="00B17AE7"/>
    <w:rsid w:val="00B20BE1"/>
    <w:rsid w:val="00B2139C"/>
    <w:rsid w:val="00B25177"/>
    <w:rsid w:val="00B25A20"/>
    <w:rsid w:val="00B264F5"/>
    <w:rsid w:val="00B26902"/>
    <w:rsid w:val="00B26C68"/>
    <w:rsid w:val="00B27C2E"/>
    <w:rsid w:val="00B30171"/>
    <w:rsid w:val="00B302F5"/>
    <w:rsid w:val="00B30C99"/>
    <w:rsid w:val="00B3356F"/>
    <w:rsid w:val="00B33E5B"/>
    <w:rsid w:val="00B35420"/>
    <w:rsid w:val="00B355AB"/>
    <w:rsid w:val="00B36F20"/>
    <w:rsid w:val="00B37719"/>
    <w:rsid w:val="00B40729"/>
    <w:rsid w:val="00B408F2"/>
    <w:rsid w:val="00B41734"/>
    <w:rsid w:val="00B42B5E"/>
    <w:rsid w:val="00B43266"/>
    <w:rsid w:val="00B45827"/>
    <w:rsid w:val="00B461F9"/>
    <w:rsid w:val="00B474D0"/>
    <w:rsid w:val="00B5020D"/>
    <w:rsid w:val="00B52167"/>
    <w:rsid w:val="00B53218"/>
    <w:rsid w:val="00B54606"/>
    <w:rsid w:val="00B546E3"/>
    <w:rsid w:val="00B55087"/>
    <w:rsid w:val="00B55158"/>
    <w:rsid w:val="00B559EC"/>
    <w:rsid w:val="00B55E04"/>
    <w:rsid w:val="00B5600C"/>
    <w:rsid w:val="00B569DE"/>
    <w:rsid w:val="00B57069"/>
    <w:rsid w:val="00B57CE0"/>
    <w:rsid w:val="00B61596"/>
    <w:rsid w:val="00B62092"/>
    <w:rsid w:val="00B64BC3"/>
    <w:rsid w:val="00B661C0"/>
    <w:rsid w:val="00B66FDF"/>
    <w:rsid w:val="00B70712"/>
    <w:rsid w:val="00B70BB7"/>
    <w:rsid w:val="00B717EC"/>
    <w:rsid w:val="00B72DB8"/>
    <w:rsid w:val="00B744CF"/>
    <w:rsid w:val="00B75363"/>
    <w:rsid w:val="00B766EE"/>
    <w:rsid w:val="00B8029F"/>
    <w:rsid w:val="00B81C16"/>
    <w:rsid w:val="00B8226C"/>
    <w:rsid w:val="00B851ED"/>
    <w:rsid w:val="00B856E6"/>
    <w:rsid w:val="00B86940"/>
    <w:rsid w:val="00B86DF8"/>
    <w:rsid w:val="00B8706D"/>
    <w:rsid w:val="00B90160"/>
    <w:rsid w:val="00B9134A"/>
    <w:rsid w:val="00B91CDD"/>
    <w:rsid w:val="00B92B28"/>
    <w:rsid w:val="00B930A6"/>
    <w:rsid w:val="00B96434"/>
    <w:rsid w:val="00B9722B"/>
    <w:rsid w:val="00B972CE"/>
    <w:rsid w:val="00BA0166"/>
    <w:rsid w:val="00BA1570"/>
    <w:rsid w:val="00BA2BDC"/>
    <w:rsid w:val="00BA3F55"/>
    <w:rsid w:val="00BA4270"/>
    <w:rsid w:val="00BA508D"/>
    <w:rsid w:val="00BA524D"/>
    <w:rsid w:val="00BB0F3A"/>
    <w:rsid w:val="00BB16D6"/>
    <w:rsid w:val="00BB1925"/>
    <w:rsid w:val="00BB1D52"/>
    <w:rsid w:val="00BB1F7B"/>
    <w:rsid w:val="00BB2086"/>
    <w:rsid w:val="00BB5974"/>
    <w:rsid w:val="00BC15E1"/>
    <w:rsid w:val="00BC1B9A"/>
    <w:rsid w:val="00BC47DD"/>
    <w:rsid w:val="00BC538C"/>
    <w:rsid w:val="00BC67EE"/>
    <w:rsid w:val="00BD1982"/>
    <w:rsid w:val="00BD222E"/>
    <w:rsid w:val="00BD2E20"/>
    <w:rsid w:val="00BD31B1"/>
    <w:rsid w:val="00BD6961"/>
    <w:rsid w:val="00BE0A11"/>
    <w:rsid w:val="00BE0C01"/>
    <w:rsid w:val="00BE0E84"/>
    <w:rsid w:val="00BE249A"/>
    <w:rsid w:val="00BE3F9A"/>
    <w:rsid w:val="00BE4F0A"/>
    <w:rsid w:val="00BE573B"/>
    <w:rsid w:val="00BE60AA"/>
    <w:rsid w:val="00BF0A32"/>
    <w:rsid w:val="00BF1B0B"/>
    <w:rsid w:val="00BF35F6"/>
    <w:rsid w:val="00BF5E90"/>
    <w:rsid w:val="00BF6FE2"/>
    <w:rsid w:val="00BF7470"/>
    <w:rsid w:val="00BF7C3D"/>
    <w:rsid w:val="00C006F0"/>
    <w:rsid w:val="00C015AA"/>
    <w:rsid w:val="00C04E41"/>
    <w:rsid w:val="00C062D0"/>
    <w:rsid w:val="00C11731"/>
    <w:rsid w:val="00C1294A"/>
    <w:rsid w:val="00C16B79"/>
    <w:rsid w:val="00C17D57"/>
    <w:rsid w:val="00C214AD"/>
    <w:rsid w:val="00C21BD8"/>
    <w:rsid w:val="00C24629"/>
    <w:rsid w:val="00C31819"/>
    <w:rsid w:val="00C31A61"/>
    <w:rsid w:val="00C32017"/>
    <w:rsid w:val="00C331F4"/>
    <w:rsid w:val="00C33BE7"/>
    <w:rsid w:val="00C35694"/>
    <w:rsid w:val="00C41CF2"/>
    <w:rsid w:val="00C433ED"/>
    <w:rsid w:val="00C44819"/>
    <w:rsid w:val="00C44E07"/>
    <w:rsid w:val="00C452A5"/>
    <w:rsid w:val="00C45B94"/>
    <w:rsid w:val="00C45BF6"/>
    <w:rsid w:val="00C45F59"/>
    <w:rsid w:val="00C47440"/>
    <w:rsid w:val="00C50414"/>
    <w:rsid w:val="00C50808"/>
    <w:rsid w:val="00C513F6"/>
    <w:rsid w:val="00C51AFF"/>
    <w:rsid w:val="00C53120"/>
    <w:rsid w:val="00C536DE"/>
    <w:rsid w:val="00C55064"/>
    <w:rsid w:val="00C55A0E"/>
    <w:rsid w:val="00C56D72"/>
    <w:rsid w:val="00C5794A"/>
    <w:rsid w:val="00C61197"/>
    <w:rsid w:val="00C62EF1"/>
    <w:rsid w:val="00C65F8F"/>
    <w:rsid w:val="00C666CE"/>
    <w:rsid w:val="00C6714F"/>
    <w:rsid w:val="00C674FD"/>
    <w:rsid w:val="00C7077B"/>
    <w:rsid w:val="00C729CD"/>
    <w:rsid w:val="00C73CBE"/>
    <w:rsid w:val="00C7631A"/>
    <w:rsid w:val="00C8251B"/>
    <w:rsid w:val="00C82AFE"/>
    <w:rsid w:val="00C8350E"/>
    <w:rsid w:val="00C86370"/>
    <w:rsid w:val="00C866C5"/>
    <w:rsid w:val="00C8703B"/>
    <w:rsid w:val="00C905CD"/>
    <w:rsid w:val="00C90997"/>
    <w:rsid w:val="00C926CE"/>
    <w:rsid w:val="00C92D00"/>
    <w:rsid w:val="00C93612"/>
    <w:rsid w:val="00C938A2"/>
    <w:rsid w:val="00C96610"/>
    <w:rsid w:val="00C96DDA"/>
    <w:rsid w:val="00CA1556"/>
    <w:rsid w:val="00CA2A36"/>
    <w:rsid w:val="00CA3091"/>
    <w:rsid w:val="00CA526E"/>
    <w:rsid w:val="00CA5861"/>
    <w:rsid w:val="00CA63AF"/>
    <w:rsid w:val="00CA6EA9"/>
    <w:rsid w:val="00CA7DF1"/>
    <w:rsid w:val="00CB063E"/>
    <w:rsid w:val="00CB46CA"/>
    <w:rsid w:val="00CB4B84"/>
    <w:rsid w:val="00CB4EC5"/>
    <w:rsid w:val="00CB52A4"/>
    <w:rsid w:val="00CB6349"/>
    <w:rsid w:val="00CB7BA1"/>
    <w:rsid w:val="00CC0C69"/>
    <w:rsid w:val="00CC0DD7"/>
    <w:rsid w:val="00CC4AC7"/>
    <w:rsid w:val="00CC6087"/>
    <w:rsid w:val="00CC65A4"/>
    <w:rsid w:val="00CC7630"/>
    <w:rsid w:val="00CC7C8D"/>
    <w:rsid w:val="00CD0071"/>
    <w:rsid w:val="00CD0B53"/>
    <w:rsid w:val="00CD1EC5"/>
    <w:rsid w:val="00CD2FD4"/>
    <w:rsid w:val="00CD346D"/>
    <w:rsid w:val="00CD4000"/>
    <w:rsid w:val="00CD4CB5"/>
    <w:rsid w:val="00CD609D"/>
    <w:rsid w:val="00CD65F7"/>
    <w:rsid w:val="00CD6EF8"/>
    <w:rsid w:val="00CD7375"/>
    <w:rsid w:val="00CE2071"/>
    <w:rsid w:val="00CE5E68"/>
    <w:rsid w:val="00CE656F"/>
    <w:rsid w:val="00CE68FC"/>
    <w:rsid w:val="00CE7222"/>
    <w:rsid w:val="00CF109F"/>
    <w:rsid w:val="00CF1C41"/>
    <w:rsid w:val="00CF447A"/>
    <w:rsid w:val="00CF4BE7"/>
    <w:rsid w:val="00CF4F00"/>
    <w:rsid w:val="00CF5A1E"/>
    <w:rsid w:val="00CF6285"/>
    <w:rsid w:val="00D018C9"/>
    <w:rsid w:val="00D01F8B"/>
    <w:rsid w:val="00D0286D"/>
    <w:rsid w:val="00D0390E"/>
    <w:rsid w:val="00D049D3"/>
    <w:rsid w:val="00D04E98"/>
    <w:rsid w:val="00D05476"/>
    <w:rsid w:val="00D06517"/>
    <w:rsid w:val="00D06A73"/>
    <w:rsid w:val="00D07EA6"/>
    <w:rsid w:val="00D118B2"/>
    <w:rsid w:val="00D11C4A"/>
    <w:rsid w:val="00D13768"/>
    <w:rsid w:val="00D14795"/>
    <w:rsid w:val="00D16B57"/>
    <w:rsid w:val="00D21726"/>
    <w:rsid w:val="00D21DC1"/>
    <w:rsid w:val="00D22A42"/>
    <w:rsid w:val="00D22D88"/>
    <w:rsid w:val="00D243D3"/>
    <w:rsid w:val="00D26C2F"/>
    <w:rsid w:val="00D336D3"/>
    <w:rsid w:val="00D34FD3"/>
    <w:rsid w:val="00D35E01"/>
    <w:rsid w:val="00D36556"/>
    <w:rsid w:val="00D377DE"/>
    <w:rsid w:val="00D417FD"/>
    <w:rsid w:val="00D41D0F"/>
    <w:rsid w:val="00D42D9F"/>
    <w:rsid w:val="00D43E03"/>
    <w:rsid w:val="00D44C57"/>
    <w:rsid w:val="00D44D36"/>
    <w:rsid w:val="00D45438"/>
    <w:rsid w:val="00D46B14"/>
    <w:rsid w:val="00D46CB7"/>
    <w:rsid w:val="00D46EC5"/>
    <w:rsid w:val="00D47B2F"/>
    <w:rsid w:val="00D47F12"/>
    <w:rsid w:val="00D519C5"/>
    <w:rsid w:val="00D51ECF"/>
    <w:rsid w:val="00D52A58"/>
    <w:rsid w:val="00D53ED9"/>
    <w:rsid w:val="00D564CA"/>
    <w:rsid w:val="00D6024C"/>
    <w:rsid w:val="00D616B8"/>
    <w:rsid w:val="00D61761"/>
    <w:rsid w:val="00D63C15"/>
    <w:rsid w:val="00D64928"/>
    <w:rsid w:val="00D70444"/>
    <w:rsid w:val="00D74DEA"/>
    <w:rsid w:val="00D75CED"/>
    <w:rsid w:val="00D80D4D"/>
    <w:rsid w:val="00D81F1F"/>
    <w:rsid w:val="00D8279E"/>
    <w:rsid w:val="00D83ED0"/>
    <w:rsid w:val="00D84206"/>
    <w:rsid w:val="00D848A7"/>
    <w:rsid w:val="00D850DA"/>
    <w:rsid w:val="00D85520"/>
    <w:rsid w:val="00D860C3"/>
    <w:rsid w:val="00D86291"/>
    <w:rsid w:val="00D86770"/>
    <w:rsid w:val="00D87F19"/>
    <w:rsid w:val="00D90A28"/>
    <w:rsid w:val="00D96690"/>
    <w:rsid w:val="00D96E4A"/>
    <w:rsid w:val="00D974D3"/>
    <w:rsid w:val="00D975E7"/>
    <w:rsid w:val="00DA0916"/>
    <w:rsid w:val="00DA2723"/>
    <w:rsid w:val="00DA5080"/>
    <w:rsid w:val="00DA6452"/>
    <w:rsid w:val="00DA695E"/>
    <w:rsid w:val="00DA6ADA"/>
    <w:rsid w:val="00DA6C53"/>
    <w:rsid w:val="00DA7DC5"/>
    <w:rsid w:val="00DB00DB"/>
    <w:rsid w:val="00DB02AD"/>
    <w:rsid w:val="00DB071D"/>
    <w:rsid w:val="00DB2081"/>
    <w:rsid w:val="00DB3635"/>
    <w:rsid w:val="00DB4AD1"/>
    <w:rsid w:val="00DC0B85"/>
    <w:rsid w:val="00DC18B4"/>
    <w:rsid w:val="00DC23C5"/>
    <w:rsid w:val="00DC2D2C"/>
    <w:rsid w:val="00DC414F"/>
    <w:rsid w:val="00DC43B5"/>
    <w:rsid w:val="00DC6751"/>
    <w:rsid w:val="00DC7051"/>
    <w:rsid w:val="00DD0DB2"/>
    <w:rsid w:val="00DD1196"/>
    <w:rsid w:val="00DD1D64"/>
    <w:rsid w:val="00DD6B1F"/>
    <w:rsid w:val="00DD759C"/>
    <w:rsid w:val="00DD799E"/>
    <w:rsid w:val="00DE0AE4"/>
    <w:rsid w:val="00DE0BB8"/>
    <w:rsid w:val="00DE3399"/>
    <w:rsid w:val="00DE41DB"/>
    <w:rsid w:val="00DF27E2"/>
    <w:rsid w:val="00DF2896"/>
    <w:rsid w:val="00DF2A4F"/>
    <w:rsid w:val="00DF507B"/>
    <w:rsid w:val="00DF637A"/>
    <w:rsid w:val="00DF74C6"/>
    <w:rsid w:val="00E00B59"/>
    <w:rsid w:val="00E01E62"/>
    <w:rsid w:val="00E029A1"/>
    <w:rsid w:val="00E02D97"/>
    <w:rsid w:val="00E054EA"/>
    <w:rsid w:val="00E0577E"/>
    <w:rsid w:val="00E07816"/>
    <w:rsid w:val="00E117CD"/>
    <w:rsid w:val="00E11D84"/>
    <w:rsid w:val="00E124AF"/>
    <w:rsid w:val="00E1286F"/>
    <w:rsid w:val="00E12AFA"/>
    <w:rsid w:val="00E12B6B"/>
    <w:rsid w:val="00E13523"/>
    <w:rsid w:val="00E14A6F"/>
    <w:rsid w:val="00E15E5F"/>
    <w:rsid w:val="00E167EC"/>
    <w:rsid w:val="00E17747"/>
    <w:rsid w:val="00E22DAB"/>
    <w:rsid w:val="00E2565F"/>
    <w:rsid w:val="00E25FE0"/>
    <w:rsid w:val="00E305D4"/>
    <w:rsid w:val="00E317DC"/>
    <w:rsid w:val="00E31B1C"/>
    <w:rsid w:val="00E33C22"/>
    <w:rsid w:val="00E33D18"/>
    <w:rsid w:val="00E34A48"/>
    <w:rsid w:val="00E3574E"/>
    <w:rsid w:val="00E363D5"/>
    <w:rsid w:val="00E36957"/>
    <w:rsid w:val="00E373F8"/>
    <w:rsid w:val="00E37982"/>
    <w:rsid w:val="00E379D9"/>
    <w:rsid w:val="00E41376"/>
    <w:rsid w:val="00E42FC6"/>
    <w:rsid w:val="00E43F1F"/>
    <w:rsid w:val="00E4494C"/>
    <w:rsid w:val="00E45B25"/>
    <w:rsid w:val="00E502BA"/>
    <w:rsid w:val="00E520E3"/>
    <w:rsid w:val="00E5360E"/>
    <w:rsid w:val="00E53A4B"/>
    <w:rsid w:val="00E60477"/>
    <w:rsid w:val="00E617B0"/>
    <w:rsid w:val="00E6205C"/>
    <w:rsid w:val="00E6252B"/>
    <w:rsid w:val="00E64653"/>
    <w:rsid w:val="00E65BBF"/>
    <w:rsid w:val="00E65EDF"/>
    <w:rsid w:val="00E66246"/>
    <w:rsid w:val="00E66729"/>
    <w:rsid w:val="00E67A36"/>
    <w:rsid w:val="00E71A92"/>
    <w:rsid w:val="00E71C71"/>
    <w:rsid w:val="00E71CC7"/>
    <w:rsid w:val="00E7204A"/>
    <w:rsid w:val="00E746D4"/>
    <w:rsid w:val="00E749A3"/>
    <w:rsid w:val="00E749A5"/>
    <w:rsid w:val="00E74D1E"/>
    <w:rsid w:val="00E75779"/>
    <w:rsid w:val="00E7641F"/>
    <w:rsid w:val="00E811D2"/>
    <w:rsid w:val="00E837A9"/>
    <w:rsid w:val="00E867B8"/>
    <w:rsid w:val="00E87DB5"/>
    <w:rsid w:val="00E94C27"/>
    <w:rsid w:val="00E95454"/>
    <w:rsid w:val="00E9548A"/>
    <w:rsid w:val="00EA185B"/>
    <w:rsid w:val="00EA384C"/>
    <w:rsid w:val="00EA3A97"/>
    <w:rsid w:val="00EA4049"/>
    <w:rsid w:val="00EA41DB"/>
    <w:rsid w:val="00EA6C34"/>
    <w:rsid w:val="00EA78A8"/>
    <w:rsid w:val="00EA7D16"/>
    <w:rsid w:val="00EA7EA9"/>
    <w:rsid w:val="00EB0E3E"/>
    <w:rsid w:val="00EB1064"/>
    <w:rsid w:val="00EB12A4"/>
    <w:rsid w:val="00EB16BB"/>
    <w:rsid w:val="00EB1980"/>
    <w:rsid w:val="00EB2A53"/>
    <w:rsid w:val="00EB3AD6"/>
    <w:rsid w:val="00EB51AA"/>
    <w:rsid w:val="00EB6291"/>
    <w:rsid w:val="00EB7344"/>
    <w:rsid w:val="00EB7898"/>
    <w:rsid w:val="00EB795C"/>
    <w:rsid w:val="00EC402D"/>
    <w:rsid w:val="00EC4EF1"/>
    <w:rsid w:val="00EC6BAE"/>
    <w:rsid w:val="00ED041C"/>
    <w:rsid w:val="00ED0447"/>
    <w:rsid w:val="00ED287D"/>
    <w:rsid w:val="00ED3295"/>
    <w:rsid w:val="00ED7113"/>
    <w:rsid w:val="00ED7B5A"/>
    <w:rsid w:val="00EE1004"/>
    <w:rsid w:val="00EE2E38"/>
    <w:rsid w:val="00EE45E5"/>
    <w:rsid w:val="00EE4733"/>
    <w:rsid w:val="00EE4C5E"/>
    <w:rsid w:val="00EE547A"/>
    <w:rsid w:val="00EE582B"/>
    <w:rsid w:val="00EE7894"/>
    <w:rsid w:val="00EF0969"/>
    <w:rsid w:val="00EF11E0"/>
    <w:rsid w:val="00EF22DD"/>
    <w:rsid w:val="00EF62FC"/>
    <w:rsid w:val="00EF7252"/>
    <w:rsid w:val="00F00EF4"/>
    <w:rsid w:val="00F021F4"/>
    <w:rsid w:val="00F02FB9"/>
    <w:rsid w:val="00F0301E"/>
    <w:rsid w:val="00F037D9"/>
    <w:rsid w:val="00F06DB3"/>
    <w:rsid w:val="00F07799"/>
    <w:rsid w:val="00F078B8"/>
    <w:rsid w:val="00F1100E"/>
    <w:rsid w:val="00F115D6"/>
    <w:rsid w:val="00F146EC"/>
    <w:rsid w:val="00F14A31"/>
    <w:rsid w:val="00F14F56"/>
    <w:rsid w:val="00F1617E"/>
    <w:rsid w:val="00F16303"/>
    <w:rsid w:val="00F16D9D"/>
    <w:rsid w:val="00F176B6"/>
    <w:rsid w:val="00F20002"/>
    <w:rsid w:val="00F232A6"/>
    <w:rsid w:val="00F23F40"/>
    <w:rsid w:val="00F251AF"/>
    <w:rsid w:val="00F25526"/>
    <w:rsid w:val="00F26B20"/>
    <w:rsid w:val="00F270E6"/>
    <w:rsid w:val="00F30DB5"/>
    <w:rsid w:val="00F32107"/>
    <w:rsid w:val="00F3271C"/>
    <w:rsid w:val="00F32826"/>
    <w:rsid w:val="00F337DD"/>
    <w:rsid w:val="00F33E31"/>
    <w:rsid w:val="00F415FB"/>
    <w:rsid w:val="00F43740"/>
    <w:rsid w:val="00F43D0D"/>
    <w:rsid w:val="00F43EAE"/>
    <w:rsid w:val="00F45AC0"/>
    <w:rsid w:val="00F4702D"/>
    <w:rsid w:val="00F476C6"/>
    <w:rsid w:val="00F47BFB"/>
    <w:rsid w:val="00F501FE"/>
    <w:rsid w:val="00F50E8F"/>
    <w:rsid w:val="00F53BE1"/>
    <w:rsid w:val="00F56293"/>
    <w:rsid w:val="00F57EC5"/>
    <w:rsid w:val="00F60FAB"/>
    <w:rsid w:val="00F611D4"/>
    <w:rsid w:val="00F61782"/>
    <w:rsid w:val="00F63F55"/>
    <w:rsid w:val="00F6535B"/>
    <w:rsid w:val="00F66669"/>
    <w:rsid w:val="00F70717"/>
    <w:rsid w:val="00F71552"/>
    <w:rsid w:val="00F7340B"/>
    <w:rsid w:val="00F745D4"/>
    <w:rsid w:val="00F74814"/>
    <w:rsid w:val="00F74AFD"/>
    <w:rsid w:val="00F76B94"/>
    <w:rsid w:val="00F80C33"/>
    <w:rsid w:val="00F81941"/>
    <w:rsid w:val="00F81A1B"/>
    <w:rsid w:val="00F8226F"/>
    <w:rsid w:val="00F905AB"/>
    <w:rsid w:val="00F969CF"/>
    <w:rsid w:val="00FA0486"/>
    <w:rsid w:val="00FA27FD"/>
    <w:rsid w:val="00FA3E55"/>
    <w:rsid w:val="00FA5295"/>
    <w:rsid w:val="00FA5FDC"/>
    <w:rsid w:val="00FA660A"/>
    <w:rsid w:val="00FA6CDD"/>
    <w:rsid w:val="00FB0C6B"/>
    <w:rsid w:val="00FB1117"/>
    <w:rsid w:val="00FB3B75"/>
    <w:rsid w:val="00FB4D67"/>
    <w:rsid w:val="00FB51BB"/>
    <w:rsid w:val="00FB63CD"/>
    <w:rsid w:val="00FB6AF9"/>
    <w:rsid w:val="00FB6CA7"/>
    <w:rsid w:val="00FC0337"/>
    <w:rsid w:val="00FC2280"/>
    <w:rsid w:val="00FC2322"/>
    <w:rsid w:val="00FC2877"/>
    <w:rsid w:val="00FC2DC3"/>
    <w:rsid w:val="00FC4F3C"/>
    <w:rsid w:val="00FC558C"/>
    <w:rsid w:val="00FC5BEC"/>
    <w:rsid w:val="00FC624B"/>
    <w:rsid w:val="00FC6C4A"/>
    <w:rsid w:val="00FD013C"/>
    <w:rsid w:val="00FD14D6"/>
    <w:rsid w:val="00FD43B7"/>
    <w:rsid w:val="00FD5ACD"/>
    <w:rsid w:val="00FD5D53"/>
    <w:rsid w:val="00FD5E28"/>
    <w:rsid w:val="00FD7B2F"/>
    <w:rsid w:val="00FE0BAC"/>
    <w:rsid w:val="00FE1C74"/>
    <w:rsid w:val="00FE2591"/>
    <w:rsid w:val="00FE26AA"/>
    <w:rsid w:val="00FE2F3E"/>
    <w:rsid w:val="00FE307B"/>
    <w:rsid w:val="00FE353A"/>
    <w:rsid w:val="00FE4EBA"/>
    <w:rsid w:val="00FE53A8"/>
    <w:rsid w:val="00FE55B9"/>
    <w:rsid w:val="00FE5976"/>
    <w:rsid w:val="00FE5B68"/>
    <w:rsid w:val="00FE5C60"/>
    <w:rsid w:val="00FE7480"/>
    <w:rsid w:val="00FF0C63"/>
    <w:rsid w:val="00FF0EC6"/>
    <w:rsid w:val="00FF1DAB"/>
    <w:rsid w:val="00FF394A"/>
    <w:rsid w:val="00FF3DF8"/>
    <w:rsid w:val="018204A8"/>
    <w:rsid w:val="022E2032"/>
    <w:rsid w:val="036159EE"/>
    <w:rsid w:val="03732177"/>
    <w:rsid w:val="042D6186"/>
    <w:rsid w:val="05B517B2"/>
    <w:rsid w:val="0666393D"/>
    <w:rsid w:val="078D73D6"/>
    <w:rsid w:val="07D33D16"/>
    <w:rsid w:val="09637941"/>
    <w:rsid w:val="0B675B31"/>
    <w:rsid w:val="0BDF51D7"/>
    <w:rsid w:val="0C3615C8"/>
    <w:rsid w:val="0C4861BD"/>
    <w:rsid w:val="0C7E7AA1"/>
    <w:rsid w:val="0CFE3A2E"/>
    <w:rsid w:val="0D873213"/>
    <w:rsid w:val="0D9425DE"/>
    <w:rsid w:val="0D99361C"/>
    <w:rsid w:val="107D340A"/>
    <w:rsid w:val="10EB4170"/>
    <w:rsid w:val="10F05838"/>
    <w:rsid w:val="113C24CA"/>
    <w:rsid w:val="119D0D41"/>
    <w:rsid w:val="11D57EAE"/>
    <w:rsid w:val="12162C3B"/>
    <w:rsid w:val="130F1D58"/>
    <w:rsid w:val="143A0658"/>
    <w:rsid w:val="145263CB"/>
    <w:rsid w:val="146723C1"/>
    <w:rsid w:val="14896182"/>
    <w:rsid w:val="14FA380C"/>
    <w:rsid w:val="155010AB"/>
    <w:rsid w:val="15572C10"/>
    <w:rsid w:val="15737A45"/>
    <w:rsid w:val="1584594C"/>
    <w:rsid w:val="15907301"/>
    <w:rsid w:val="15A069B5"/>
    <w:rsid w:val="15A90346"/>
    <w:rsid w:val="15B24E31"/>
    <w:rsid w:val="15D54E56"/>
    <w:rsid w:val="16AA09BD"/>
    <w:rsid w:val="175602FA"/>
    <w:rsid w:val="17652C65"/>
    <w:rsid w:val="17833DE3"/>
    <w:rsid w:val="193C52A5"/>
    <w:rsid w:val="19775424"/>
    <w:rsid w:val="1A241EC0"/>
    <w:rsid w:val="1AE96A89"/>
    <w:rsid w:val="1B8711E4"/>
    <w:rsid w:val="1C121D57"/>
    <w:rsid w:val="1C4A137C"/>
    <w:rsid w:val="1C8F1DE9"/>
    <w:rsid w:val="1D756FD8"/>
    <w:rsid w:val="1D80259C"/>
    <w:rsid w:val="1DA871CA"/>
    <w:rsid w:val="1F11313D"/>
    <w:rsid w:val="1F89727B"/>
    <w:rsid w:val="1F956998"/>
    <w:rsid w:val="1FA31BDA"/>
    <w:rsid w:val="1FE93A83"/>
    <w:rsid w:val="20DC5C02"/>
    <w:rsid w:val="20DE7ECC"/>
    <w:rsid w:val="20FE711F"/>
    <w:rsid w:val="21241474"/>
    <w:rsid w:val="21A70E96"/>
    <w:rsid w:val="225E4DAF"/>
    <w:rsid w:val="22891E2D"/>
    <w:rsid w:val="22A743B8"/>
    <w:rsid w:val="22AA3280"/>
    <w:rsid w:val="22D33607"/>
    <w:rsid w:val="23FD2509"/>
    <w:rsid w:val="240D0F86"/>
    <w:rsid w:val="243943F8"/>
    <w:rsid w:val="24E05430"/>
    <w:rsid w:val="267A7579"/>
    <w:rsid w:val="272231F7"/>
    <w:rsid w:val="27961F1E"/>
    <w:rsid w:val="27AD7C03"/>
    <w:rsid w:val="27EC6EBA"/>
    <w:rsid w:val="28C46277"/>
    <w:rsid w:val="29062B05"/>
    <w:rsid w:val="29127A38"/>
    <w:rsid w:val="2A4F3509"/>
    <w:rsid w:val="2AAA7342"/>
    <w:rsid w:val="2AB43BC5"/>
    <w:rsid w:val="2B556F15"/>
    <w:rsid w:val="2B7F4BC3"/>
    <w:rsid w:val="2CE81BAF"/>
    <w:rsid w:val="2DAC05D8"/>
    <w:rsid w:val="2DE728EA"/>
    <w:rsid w:val="2E3C7D4F"/>
    <w:rsid w:val="2E726843"/>
    <w:rsid w:val="2EDC02FF"/>
    <w:rsid w:val="2EE87C86"/>
    <w:rsid w:val="2EEC5388"/>
    <w:rsid w:val="31352F4C"/>
    <w:rsid w:val="3172033E"/>
    <w:rsid w:val="3227588C"/>
    <w:rsid w:val="325F6558"/>
    <w:rsid w:val="331653E5"/>
    <w:rsid w:val="33B444F3"/>
    <w:rsid w:val="33ED1CF7"/>
    <w:rsid w:val="341C30A3"/>
    <w:rsid w:val="34E177D8"/>
    <w:rsid w:val="351529A9"/>
    <w:rsid w:val="355A74E9"/>
    <w:rsid w:val="35FD1F7A"/>
    <w:rsid w:val="35FF51BA"/>
    <w:rsid w:val="36616918"/>
    <w:rsid w:val="366D672C"/>
    <w:rsid w:val="3676129B"/>
    <w:rsid w:val="36E3150F"/>
    <w:rsid w:val="37B70F70"/>
    <w:rsid w:val="3836614A"/>
    <w:rsid w:val="384A4707"/>
    <w:rsid w:val="384A4E91"/>
    <w:rsid w:val="385D644E"/>
    <w:rsid w:val="38F33167"/>
    <w:rsid w:val="39C83C69"/>
    <w:rsid w:val="39CE5E1D"/>
    <w:rsid w:val="3A940645"/>
    <w:rsid w:val="3A9701E9"/>
    <w:rsid w:val="3B4244C5"/>
    <w:rsid w:val="3C003247"/>
    <w:rsid w:val="3C8E6F2D"/>
    <w:rsid w:val="3D6145DC"/>
    <w:rsid w:val="3E495BEB"/>
    <w:rsid w:val="3E5E0082"/>
    <w:rsid w:val="3EDB4EA4"/>
    <w:rsid w:val="3F9F3463"/>
    <w:rsid w:val="3FC31914"/>
    <w:rsid w:val="405D6728"/>
    <w:rsid w:val="40FD6FDA"/>
    <w:rsid w:val="41110191"/>
    <w:rsid w:val="414A37BB"/>
    <w:rsid w:val="41B45A04"/>
    <w:rsid w:val="42643A73"/>
    <w:rsid w:val="42AA1012"/>
    <w:rsid w:val="42CF0851"/>
    <w:rsid w:val="43FB66E3"/>
    <w:rsid w:val="44DC7F4B"/>
    <w:rsid w:val="45651876"/>
    <w:rsid w:val="45CC523B"/>
    <w:rsid w:val="466F6CEB"/>
    <w:rsid w:val="46AA377D"/>
    <w:rsid w:val="49363676"/>
    <w:rsid w:val="49713AA7"/>
    <w:rsid w:val="499137DE"/>
    <w:rsid w:val="499A2688"/>
    <w:rsid w:val="49D47D5A"/>
    <w:rsid w:val="49F62026"/>
    <w:rsid w:val="4A013C77"/>
    <w:rsid w:val="4A1E7F2C"/>
    <w:rsid w:val="4A4B48E3"/>
    <w:rsid w:val="4B1A7369"/>
    <w:rsid w:val="4B5137BF"/>
    <w:rsid w:val="4BB55C17"/>
    <w:rsid w:val="4C156074"/>
    <w:rsid w:val="4D774E55"/>
    <w:rsid w:val="4DA86B45"/>
    <w:rsid w:val="4E0069B4"/>
    <w:rsid w:val="4E3720DD"/>
    <w:rsid w:val="4E5F02E4"/>
    <w:rsid w:val="4F510F39"/>
    <w:rsid w:val="4FAF38AA"/>
    <w:rsid w:val="4FE0244B"/>
    <w:rsid w:val="51497070"/>
    <w:rsid w:val="51E025FE"/>
    <w:rsid w:val="52922F88"/>
    <w:rsid w:val="52AA4A52"/>
    <w:rsid w:val="52FD675A"/>
    <w:rsid w:val="532B7AD5"/>
    <w:rsid w:val="53D80FA7"/>
    <w:rsid w:val="542D758B"/>
    <w:rsid w:val="5448002A"/>
    <w:rsid w:val="5473349C"/>
    <w:rsid w:val="549E05E7"/>
    <w:rsid w:val="54A3797A"/>
    <w:rsid w:val="54B6223B"/>
    <w:rsid w:val="54E15A0F"/>
    <w:rsid w:val="55344B23"/>
    <w:rsid w:val="56732DC5"/>
    <w:rsid w:val="56C21B98"/>
    <w:rsid w:val="57360F05"/>
    <w:rsid w:val="581F495D"/>
    <w:rsid w:val="58484116"/>
    <w:rsid w:val="58DA78C0"/>
    <w:rsid w:val="58E017CC"/>
    <w:rsid w:val="595C7B9A"/>
    <w:rsid w:val="5A770570"/>
    <w:rsid w:val="5AC859BF"/>
    <w:rsid w:val="5B4C17F1"/>
    <w:rsid w:val="5C0F2072"/>
    <w:rsid w:val="5CFC1D50"/>
    <w:rsid w:val="5E6C25B6"/>
    <w:rsid w:val="5E84123F"/>
    <w:rsid w:val="5F0028BB"/>
    <w:rsid w:val="5F2528F6"/>
    <w:rsid w:val="5F9764C2"/>
    <w:rsid w:val="603300A7"/>
    <w:rsid w:val="607E0927"/>
    <w:rsid w:val="60D968DA"/>
    <w:rsid w:val="60F17493"/>
    <w:rsid w:val="60F41422"/>
    <w:rsid w:val="619D5BCC"/>
    <w:rsid w:val="62107539"/>
    <w:rsid w:val="6233128F"/>
    <w:rsid w:val="62635DDC"/>
    <w:rsid w:val="62E04AD0"/>
    <w:rsid w:val="62FE3555"/>
    <w:rsid w:val="63D7368B"/>
    <w:rsid w:val="63EA24F1"/>
    <w:rsid w:val="64F81078"/>
    <w:rsid w:val="65104585"/>
    <w:rsid w:val="657A0549"/>
    <w:rsid w:val="665A104A"/>
    <w:rsid w:val="66ED444E"/>
    <w:rsid w:val="67484273"/>
    <w:rsid w:val="68A603CF"/>
    <w:rsid w:val="69D32689"/>
    <w:rsid w:val="69E27B06"/>
    <w:rsid w:val="69EA623B"/>
    <w:rsid w:val="6A0F3694"/>
    <w:rsid w:val="6A5445FC"/>
    <w:rsid w:val="6A5C1E75"/>
    <w:rsid w:val="6AB76CFB"/>
    <w:rsid w:val="6ABA08C1"/>
    <w:rsid w:val="6BC1702A"/>
    <w:rsid w:val="6C282248"/>
    <w:rsid w:val="6C8C2223"/>
    <w:rsid w:val="6CBD55AC"/>
    <w:rsid w:val="6D5326AA"/>
    <w:rsid w:val="6DD45692"/>
    <w:rsid w:val="6DE636A7"/>
    <w:rsid w:val="6DE86594"/>
    <w:rsid w:val="6E283FD4"/>
    <w:rsid w:val="6E5C2511"/>
    <w:rsid w:val="718764FD"/>
    <w:rsid w:val="725831A5"/>
    <w:rsid w:val="73607DE9"/>
    <w:rsid w:val="73711235"/>
    <w:rsid w:val="753E278B"/>
    <w:rsid w:val="75BE6EB5"/>
    <w:rsid w:val="76545095"/>
    <w:rsid w:val="77987A9B"/>
    <w:rsid w:val="7815375E"/>
    <w:rsid w:val="790D6252"/>
    <w:rsid w:val="7AB0700E"/>
    <w:rsid w:val="7AE40810"/>
    <w:rsid w:val="7B0749C7"/>
    <w:rsid w:val="7B264EA2"/>
    <w:rsid w:val="7BBB6C68"/>
    <w:rsid w:val="7C574749"/>
    <w:rsid w:val="7C8E2CF6"/>
    <w:rsid w:val="7C967B8B"/>
    <w:rsid w:val="7CD015B7"/>
    <w:rsid w:val="7E4931C0"/>
    <w:rsid w:val="7E7248EE"/>
    <w:rsid w:val="7EB249E1"/>
    <w:rsid w:val="7EEF6C2A"/>
    <w:rsid w:val="7F074C20"/>
    <w:rsid w:val="7F363A3A"/>
    <w:rsid w:val="7FDF1E5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iPriority="99" w:semiHidden="0" w:name="Block Text" w:locked="1"/>
    <w:lsdException w:qFormat="1" w:unhideWhenUsed="0" w:uiPriority="99" w:semiHidden="0" w:name="Hyperlink"/>
    <w:lsdException w:qFormat="1"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iPriority="99" w:name="HTML Code" w:locked="1"/>
    <w:lsdException w:qFormat="1" w:uiPriority="99" w:name="HTML Definition" w:locked="1"/>
    <w:lsdException w:qFormat="1" w:uiPriority="99" w:name="HTML Keyboard" w:locked="1"/>
    <w:lsdException w:uiPriority="99" w:name="HTML Preformatted" w:locked="1"/>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9"/>
    <w:pPr>
      <w:keepNext/>
      <w:keepLines/>
      <w:spacing w:before="340" w:after="330" w:line="578" w:lineRule="auto"/>
      <w:outlineLvl w:val="0"/>
    </w:pPr>
    <w:rPr>
      <w:b/>
      <w:kern w:val="44"/>
      <w:sz w:val="44"/>
      <w:szCs w:val="20"/>
    </w:rPr>
  </w:style>
  <w:style w:type="paragraph" w:styleId="2">
    <w:name w:val="heading 2"/>
    <w:basedOn w:val="1"/>
    <w:next w:val="1"/>
    <w:qFormat/>
    <w:uiPriority w:val="0"/>
    <w:pPr>
      <w:keepNext/>
      <w:keepLines/>
      <w:spacing w:before="260" w:after="260" w:line="413" w:lineRule="auto"/>
      <w:outlineLvl w:val="1"/>
    </w:pPr>
    <w:rPr>
      <w:rFonts w:ascii="Arial" w:hAnsi="Arial" w:eastAsia="黑体"/>
      <w:b/>
      <w:kern w:val="0"/>
      <w:sz w:val="32"/>
      <w:szCs w:val="20"/>
    </w:rPr>
  </w:style>
  <w:style w:type="paragraph" w:styleId="4">
    <w:name w:val="heading 4"/>
    <w:basedOn w:val="1"/>
    <w:next w:val="1"/>
    <w:qFormat/>
    <w:uiPriority w:val="9"/>
    <w:pPr>
      <w:keepNext/>
      <w:keepLines/>
      <w:spacing w:line="376" w:lineRule="auto"/>
      <w:outlineLvl w:val="3"/>
    </w:pPr>
    <w:rPr>
      <w:rFonts w:ascii="Cambria" w:hAnsi="Cambria"/>
      <w:b/>
      <w:bCs/>
      <w:kern w:val="0"/>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locked/>
    <w:uiPriority w:val="0"/>
    <w:pPr>
      <w:ind w:firstLine="420"/>
    </w:pPr>
  </w:style>
  <w:style w:type="paragraph" w:styleId="6">
    <w:name w:val="annotation text"/>
    <w:basedOn w:val="1"/>
    <w:link w:val="32"/>
    <w:qFormat/>
    <w:uiPriority w:val="99"/>
    <w:pPr>
      <w:jc w:val="left"/>
    </w:pPr>
    <w:rPr>
      <w:sz w:val="24"/>
      <w:szCs w:val="20"/>
    </w:rPr>
  </w:style>
  <w:style w:type="paragraph" w:styleId="7">
    <w:name w:val="Body Text"/>
    <w:basedOn w:val="1"/>
    <w:next w:val="1"/>
    <w:link w:val="50"/>
    <w:unhideWhenUsed/>
    <w:qFormat/>
    <w:locked/>
    <w:uiPriority w:val="99"/>
    <w:pPr>
      <w:spacing w:after="120"/>
    </w:pPr>
  </w:style>
  <w:style w:type="paragraph" w:styleId="8">
    <w:name w:val="Body Text Indent"/>
    <w:basedOn w:val="1"/>
    <w:link w:val="33"/>
    <w:qFormat/>
    <w:uiPriority w:val="99"/>
    <w:pPr>
      <w:ind w:firstLine="575" w:firstLineChars="274"/>
    </w:pPr>
    <w:rPr>
      <w:rFonts w:ascii="等线" w:eastAsia="等线"/>
      <w:sz w:val="22"/>
      <w:szCs w:val="20"/>
    </w:rPr>
  </w:style>
  <w:style w:type="paragraph" w:styleId="9">
    <w:name w:val="Block Text"/>
    <w:basedOn w:val="1"/>
    <w:unhideWhenUsed/>
    <w:qFormat/>
    <w:locked/>
    <w:uiPriority w:val="99"/>
    <w:pPr>
      <w:spacing w:after="120"/>
      <w:ind w:left="1440" w:leftChars="700" w:right="1440" w:rightChars="700"/>
    </w:pPr>
  </w:style>
  <w:style w:type="paragraph" w:styleId="10">
    <w:name w:val="index 4"/>
    <w:basedOn w:val="1"/>
    <w:next w:val="1"/>
    <w:qFormat/>
    <w:uiPriority w:val="99"/>
    <w:pPr>
      <w:ind w:left="600" w:leftChars="600"/>
    </w:pPr>
    <w:rPr>
      <w:rFonts w:ascii="Verdana" w:hAnsi="Verdana"/>
    </w:rPr>
  </w:style>
  <w:style w:type="paragraph" w:styleId="11">
    <w:name w:val="Plain Text"/>
    <w:basedOn w:val="1"/>
    <w:link w:val="34"/>
    <w:qFormat/>
    <w:uiPriority w:val="0"/>
    <w:rPr>
      <w:rFonts w:ascii="宋体" w:hAnsi="Courier New"/>
      <w:szCs w:val="20"/>
    </w:rPr>
  </w:style>
  <w:style w:type="paragraph" w:styleId="12">
    <w:name w:val="Date"/>
    <w:basedOn w:val="1"/>
    <w:next w:val="1"/>
    <w:link w:val="35"/>
    <w:qFormat/>
    <w:uiPriority w:val="99"/>
    <w:pPr>
      <w:ind w:left="100" w:leftChars="2500"/>
    </w:pPr>
    <w:rPr>
      <w:sz w:val="24"/>
      <w:szCs w:val="20"/>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7"/>
    <w:qFormat/>
    <w:uiPriority w:val="99"/>
    <w:pPr>
      <w:pBdr>
        <w:bottom w:val="single" w:color="auto" w:sz="6" w:space="1"/>
      </w:pBdr>
      <w:tabs>
        <w:tab w:val="center" w:pos="4153"/>
        <w:tab w:val="right" w:pos="8306"/>
      </w:tabs>
      <w:snapToGrid w:val="0"/>
      <w:jc w:val="center"/>
    </w:pPr>
    <w:rPr>
      <w:sz w:val="18"/>
      <w:szCs w:val="20"/>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annotation subject"/>
    <w:basedOn w:val="6"/>
    <w:next w:val="6"/>
    <w:link w:val="38"/>
    <w:qFormat/>
    <w:uiPriority w:val="99"/>
    <w:rPr>
      <w:b/>
    </w:rPr>
  </w:style>
  <w:style w:type="paragraph" w:styleId="17">
    <w:name w:val="Body Text First Indent"/>
    <w:basedOn w:val="7"/>
    <w:qFormat/>
    <w:locked/>
    <w:uiPriority w:val="99"/>
    <w:pPr>
      <w:tabs>
        <w:tab w:val="left" w:pos="2020"/>
        <w:tab w:val="center" w:pos="4535"/>
      </w:tabs>
      <w:ind w:firstLine="420" w:firstLineChars="100"/>
    </w:pPr>
  </w:style>
  <w:style w:type="paragraph" w:styleId="18">
    <w:name w:val="Body Text First Indent 2"/>
    <w:basedOn w:val="8"/>
    <w:next w:val="17"/>
    <w:qFormat/>
    <w:locked/>
    <w:uiPriority w:val="99"/>
    <w:pPr>
      <w:ind w:firstLine="420" w:firstLineChars="200"/>
    </w:pPr>
  </w:style>
  <w:style w:type="table" w:styleId="20">
    <w:name w:val="Table Grid"/>
    <w:basedOn w:val="1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page number"/>
    <w:basedOn w:val="21"/>
    <w:qFormat/>
    <w:locked/>
    <w:uiPriority w:val="0"/>
  </w:style>
  <w:style w:type="character" w:styleId="24">
    <w:name w:val="FollowedHyperlink"/>
    <w:basedOn w:val="21"/>
    <w:semiHidden/>
    <w:unhideWhenUsed/>
    <w:qFormat/>
    <w:locked/>
    <w:uiPriority w:val="99"/>
    <w:rPr>
      <w:color w:val="4D7AD8"/>
      <w:u w:val="none"/>
    </w:rPr>
  </w:style>
  <w:style w:type="character" w:styleId="25">
    <w:name w:val="HTML Definition"/>
    <w:basedOn w:val="21"/>
    <w:semiHidden/>
    <w:unhideWhenUsed/>
    <w:qFormat/>
    <w:locked/>
    <w:uiPriority w:val="99"/>
    <w:rPr>
      <w:i/>
      <w:iCs/>
    </w:rPr>
  </w:style>
  <w:style w:type="character" w:styleId="26">
    <w:name w:val="Hyperlink"/>
    <w:qFormat/>
    <w:uiPriority w:val="99"/>
    <w:rPr>
      <w:rFonts w:cs="Times New Roman"/>
      <w:color w:val="0563C1"/>
      <w:u w:val="single"/>
    </w:rPr>
  </w:style>
  <w:style w:type="character" w:styleId="27">
    <w:name w:val="HTML Code"/>
    <w:basedOn w:val="21"/>
    <w:semiHidden/>
    <w:unhideWhenUsed/>
    <w:qFormat/>
    <w:locked/>
    <w:uiPriority w:val="99"/>
    <w:rPr>
      <w:rFonts w:hint="default" w:ascii="Consolas" w:hAnsi="Consolas" w:eastAsia="Consolas" w:cs="Consolas"/>
      <w:sz w:val="21"/>
      <w:szCs w:val="21"/>
    </w:rPr>
  </w:style>
  <w:style w:type="character" w:styleId="28">
    <w:name w:val="annotation reference"/>
    <w:basedOn w:val="21"/>
    <w:qFormat/>
    <w:uiPriority w:val="99"/>
    <w:rPr>
      <w:rFonts w:cs="Times New Roman"/>
      <w:sz w:val="21"/>
    </w:rPr>
  </w:style>
  <w:style w:type="character" w:styleId="29">
    <w:name w:val="HTML Keyboard"/>
    <w:basedOn w:val="21"/>
    <w:semiHidden/>
    <w:unhideWhenUsed/>
    <w:qFormat/>
    <w:locked/>
    <w:uiPriority w:val="99"/>
    <w:rPr>
      <w:rFonts w:ascii="Consolas" w:hAnsi="Consolas" w:eastAsia="Consolas" w:cs="Consolas"/>
      <w:sz w:val="21"/>
      <w:szCs w:val="21"/>
    </w:rPr>
  </w:style>
  <w:style w:type="character" w:styleId="30">
    <w:name w:val="HTML Sample"/>
    <w:basedOn w:val="21"/>
    <w:semiHidden/>
    <w:unhideWhenUsed/>
    <w:qFormat/>
    <w:locked/>
    <w:uiPriority w:val="99"/>
    <w:rPr>
      <w:rFonts w:hint="default" w:ascii="Consolas" w:hAnsi="Consolas" w:eastAsia="Consolas" w:cs="Consolas"/>
      <w:sz w:val="21"/>
      <w:szCs w:val="21"/>
    </w:rPr>
  </w:style>
  <w:style w:type="character" w:customStyle="1" w:styleId="31">
    <w:name w:val="标题 1 字符"/>
    <w:link w:val="3"/>
    <w:qFormat/>
    <w:locked/>
    <w:uiPriority w:val="99"/>
    <w:rPr>
      <w:rFonts w:cs="Times New Roman"/>
      <w:b/>
      <w:kern w:val="44"/>
      <w:sz w:val="44"/>
    </w:rPr>
  </w:style>
  <w:style w:type="character" w:customStyle="1" w:styleId="32">
    <w:name w:val="批注文字 字符"/>
    <w:link w:val="6"/>
    <w:qFormat/>
    <w:locked/>
    <w:uiPriority w:val="99"/>
    <w:rPr>
      <w:rFonts w:cs="Times New Roman"/>
      <w:kern w:val="2"/>
      <w:sz w:val="24"/>
    </w:rPr>
  </w:style>
  <w:style w:type="character" w:customStyle="1" w:styleId="33">
    <w:name w:val="正文文本缩进 字符"/>
    <w:link w:val="8"/>
    <w:qFormat/>
    <w:locked/>
    <w:uiPriority w:val="99"/>
    <w:rPr>
      <w:rFonts w:ascii="等线" w:eastAsia="等线" w:cs="Times New Roman"/>
      <w:kern w:val="2"/>
      <w:sz w:val="22"/>
    </w:rPr>
  </w:style>
  <w:style w:type="character" w:customStyle="1" w:styleId="34">
    <w:name w:val="纯文本 字符"/>
    <w:link w:val="11"/>
    <w:qFormat/>
    <w:locked/>
    <w:uiPriority w:val="0"/>
    <w:rPr>
      <w:rFonts w:ascii="宋体" w:hAnsi="Courier New" w:cs="Times New Roman"/>
      <w:kern w:val="2"/>
      <w:sz w:val="21"/>
    </w:rPr>
  </w:style>
  <w:style w:type="character" w:customStyle="1" w:styleId="35">
    <w:name w:val="日期 字符"/>
    <w:link w:val="12"/>
    <w:qFormat/>
    <w:locked/>
    <w:uiPriority w:val="99"/>
    <w:rPr>
      <w:rFonts w:cs="Times New Roman"/>
      <w:kern w:val="2"/>
      <w:sz w:val="24"/>
    </w:rPr>
  </w:style>
  <w:style w:type="character" w:customStyle="1" w:styleId="36">
    <w:name w:val="页脚 字符"/>
    <w:link w:val="13"/>
    <w:semiHidden/>
    <w:qFormat/>
    <w:locked/>
    <w:uiPriority w:val="99"/>
    <w:rPr>
      <w:rFonts w:cs="Times New Roman"/>
      <w:sz w:val="18"/>
      <w:szCs w:val="18"/>
    </w:rPr>
  </w:style>
  <w:style w:type="character" w:customStyle="1" w:styleId="37">
    <w:name w:val="页眉 字符"/>
    <w:link w:val="14"/>
    <w:qFormat/>
    <w:locked/>
    <w:uiPriority w:val="99"/>
    <w:rPr>
      <w:rFonts w:cs="Times New Roman"/>
      <w:kern w:val="2"/>
      <w:sz w:val="18"/>
    </w:rPr>
  </w:style>
  <w:style w:type="character" w:customStyle="1" w:styleId="38">
    <w:name w:val="批注主题 字符"/>
    <w:link w:val="16"/>
    <w:qFormat/>
    <w:locked/>
    <w:uiPriority w:val="99"/>
    <w:rPr>
      <w:rFonts w:cs="Times New Roman"/>
      <w:b/>
      <w:kern w:val="2"/>
      <w:sz w:val="24"/>
    </w:rPr>
  </w:style>
  <w:style w:type="paragraph" w:customStyle="1" w:styleId="39">
    <w:name w:val="Char"/>
    <w:basedOn w:val="1"/>
    <w:qFormat/>
    <w:uiPriority w:val="99"/>
    <w:pPr>
      <w:tabs>
        <w:tab w:val="left" w:pos="360"/>
      </w:tabs>
    </w:pPr>
    <w:rPr>
      <w:sz w:val="24"/>
    </w:rPr>
  </w:style>
  <w:style w:type="character" w:customStyle="1" w:styleId="40">
    <w:name w:val="列表段落 字符"/>
    <w:link w:val="41"/>
    <w:qFormat/>
    <w:locked/>
    <w:uiPriority w:val="0"/>
  </w:style>
  <w:style w:type="paragraph" w:styleId="41">
    <w:name w:val="List Paragraph"/>
    <w:basedOn w:val="1"/>
    <w:link w:val="40"/>
    <w:qFormat/>
    <w:uiPriority w:val="34"/>
    <w:pPr>
      <w:widowControl/>
      <w:ind w:firstLine="420" w:firstLineChars="200"/>
      <w:jc w:val="left"/>
    </w:pPr>
    <w:rPr>
      <w:kern w:val="0"/>
      <w:sz w:val="20"/>
      <w:szCs w:val="20"/>
    </w:rPr>
  </w:style>
  <w:style w:type="table" w:customStyle="1" w:styleId="42">
    <w:name w:val="网格型1"/>
    <w:qFormat/>
    <w:uiPriority w:val="9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Placeholder Text"/>
    <w:semiHidden/>
    <w:qFormat/>
    <w:uiPriority w:val="99"/>
    <w:rPr>
      <w:rFonts w:cs="Times New Roman"/>
      <w:color w:val="808080"/>
    </w:rPr>
  </w:style>
  <w:style w:type="paragraph" w:customStyle="1" w:styleId="44">
    <w:name w:val="列出段落1"/>
    <w:qFormat/>
    <w:uiPriority w:val="99"/>
    <w:pPr>
      <w:widowControl w:val="0"/>
      <w:ind w:firstLine="420"/>
      <w:jc w:val="both"/>
    </w:pPr>
    <w:rPr>
      <w:rFonts w:ascii="Calibri" w:hAnsi="Calibri" w:eastAsia="宋体" w:cs="Calibri"/>
      <w:color w:val="000000"/>
      <w:kern w:val="2"/>
      <w:sz w:val="21"/>
      <w:szCs w:val="21"/>
      <w:u w:color="000000"/>
      <w:lang w:val="en-US" w:eastAsia="zh-CN" w:bidi="ar-SA"/>
    </w:rPr>
  </w:style>
  <w:style w:type="paragraph" w:customStyle="1" w:styleId="45">
    <w:name w:val="正文 New New New New"/>
    <w:qFormat/>
    <w:uiPriority w:val="99"/>
    <w:pPr>
      <w:widowControl w:val="0"/>
      <w:jc w:val="both"/>
    </w:pPr>
    <w:rPr>
      <w:rFonts w:ascii="Times New Roman" w:hAnsi="Times New Roman" w:eastAsia="宋体" w:cs="Arial Unicode MS"/>
      <w:color w:val="000000"/>
      <w:u w:color="000000"/>
      <w:lang w:val="en-US" w:eastAsia="zh-CN" w:bidi="ar-SA"/>
    </w:rPr>
  </w:style>
  <w:style w:type="table" w:customStyle="1" w:styleId="46">
    <w:name w:val="网格型11"/>
    <w:qFormat/>
    <w:uiPriority w:val="9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7">
    <w:name w:val="列出段落2"/>
    <w:basedOn w:val="1"/>
    <w:qFormat/>
    <w:uiPriority w:val="99"/>
    <w:pPr>
      <w:ind w:firstLine="420" w:firstLineChars="200"/>
    </w:pPr>
    <w:rPr>
      <w:rFonts w:ascii="Calibri" w:hAnsi="Calibri"/>
      <w:szCs w:val="22"/>
    </w:rPr>
  </w:style>
  <w:style w:type="character" w:customStyle="1" w:styleId="48">
    <w:name w:val="标题 2 Char Char Char"/>
    <w:qFormat/>
    <w:uiPriority w:val="99"/>
    <w:rPr>
      <w:rFonts w:ascii="Arial" w:hAnsi="Arial" w:eastAsia="黑体"/>
      <w:b/>
      <w:kern w:val="2"/>
      <w:sz w:val="32"/>
      <w:lang w:val="en-US" w:eastAsia="zh-CN"/>
    </w:rPr>
  </w:style>
  <w:style w:type="paragraph" w:customStyle="1" w:styleId="49">
    <w:name w:val="pp"/>
    <w:basedOn w:val="1"/>
    <w:qFormat/>
    <w:uiPriority w:val="99"/>
    <w:pPr>
      <w:widowControl/>
      <w:spacing w:before="100" w:beforeAutospacing="1" w:after="100" w:afterAutospacing="1" w:line="360" w:lineRule="atLeast"/>
      <w:ind w:firstLine="420"/>
      <w:jc w:val="left"/>
    </w:pPr>
    <w:rPr>
      <w:rFonts w:ascii="宋体" w:hAnsi="宋体" w:cs="宋体"/>
      <w:color w:val="000000"/>
      <w:kern w:val="0"/>
      <w:sz w:val="24"/>
    </w:rPr>
  </w:style>
  <w:style w:type="character" w:customStyle="1" w:styleId="50">
    <w:name w:val="正文文本 字符"/>
    <w:link w:val="7"/>
    <w:qFormat/>
    <w:uiPriority w:val="99"/>
    <w:rPr>
      <w:kern w:val="2"/>
      <w:sz w:val="21"/>
      <w:szCs w:val="24"/>
    </w:rPr>
  </w:style>
  <w:style w:type="paragraph" w:customStyle="1" w:styleId="51">
    <w:name w:val="正文1"/>
    <w:basedOn w:val="1"/>
    <w:qFormat/>
    <w:uiPriority w:val="0"/>
    <w:pPr>
      <w:widowControl/>
      <w:spacing w:after="200" w:line="300" w:lineRule="atLeast"/>
      <w:jc w:val="left"/>
    </w:pPr>
    <w:rPr>
      <w:rFonts w:ascii="Calibri" w:hAnsi="Calibri" w:cs="宋体"/>
      <w:kern w:val="0"/>
      <w:sz w:val="22"/>
      <w:szCs w:val="22"/>
    </w:rPr>
  </w:style>
  <w:style w:type="paragraph" w:customStyle="1" w:styleId="52">
    <w:name w:val="正文2"/>
    <w:basedOn w:val="1"/>
    <w:qFormat/>
    <w:uiPriority w:val="0"/>
    <w:pPr>
      <w:spacing w:before="156" w:line="360" w:lineRule="auto"/>
      <w:ind w:firstLine="510" w:firstLineChars="200"/>
    </w:pPr>
    <w:rPr>
      <w:sz w:val="24"/>
    </w:rPr>
  </w:style>
  <w:style w:type="paragraph" w:customStyle="1" w:styleId="53">
    <w:name w:val="Pa13"/>
    <w:basedOn w:val="1"/>
    <w:next w:val="1"/>
    <w:qFormat/>
    <w:uiPriority w:val="0"/>
    <w:pPr>
      <w:autoSpaceDE w:val="0"/>
      <w:autoSpaceDN w:val="0"/>
      <w:adjustRightInd w:val="0"/>
      <w:spacing w:line="241" w:lineRule="atLeast"/>
      <w:jc w:val="left"/>
    </w:pPr>
    <w:rPr>
      <w:rFonts w:ascii="MPBMSN+StoneSans-Semibold" w:eastAsia="MPBMSN+StoneSans-Semibold"/>
      <w:kern w:val="0"/>
      <w:sz w:val="24"/>
    </w:rPr>
  </w:style>
  <w:style w:type="character" w:customStyle="1" w:styleId="54">
    <w:name w:val="A9"/>
    <w:qFormat/>
    <w:uiPriority w:val="0"/>
    <w:rPr>
      <w:rFonts w:cs="PSFEIH+StoneSans"/>
      <w:color w:val="262424"/>
      <w:sz w:val="20"/>
      <w:szCs w:val="20"/>
    </w:rPr>
  </w:style>
  <w:style w:type="paragraph" w:customStyle="1" w:styleId="55">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56">
    <w:name w:val="A14"/>
    <w:qFormat/>
    <w:uiPriority w:val="99"/>
    <w:rPr>
      <w:rFonts w:cs="Open Sans Light"/>
      <w:color w:val="FFFFFF"/>
      <w:sz w:val="13"/>
      <w:szCs w:val="13"/>
    </w:rPr>
  </w:style>
  <w:style w:type="paragraph" w:customStyle="1" w:styleId="57">
    <w:name w:val="表格文字"/>
    <w:basedOn w:val="1"/>
    <w:next w:val="7"/>
    <w:qFormat/>
    <w:uiPriority w:val="0"/>
    <w:rPr>
      <w:sz w:val="24"/>
    </w:rPr>
  </w:style>
  <w:style w:type="paragraph" w:customStyle="1" w:styleId="58">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59">
    <w:name w:val="auto-pass-node"/>
    <w:basedOn w:val="21"/>
    <w:qFormat/>
    <w:uiPriority w:val="0"/>
    <w:rPr>
      <w:bdr w:val="single" w:color="DC4446" w:sz="6" w:space="0"/>
      <w:shd w:val="clear" w:fill="A9E2FF"/>
    </w:rPr>
  </w:style>
  <w:style w:type="character" w:customStyle="1" w:styleId="60">
    <w:name w:val="passed-node"/>
    <w:basedOn w:val="21"/>
    <w:qFormat/>
    <w:uiPriority w:val="0"/>
    <w:rPr>
      <w:bdr w:val="single" w:color="49A8D4" w:sz="6" w:space="0"/>
      <w:shd w:val="clear" w:fill="A9E3FF"/>
    </w:rPr>
  </w:style>
  <w:style w:type="character" w:customStyle="1" w:styleId="61">
    <w:name w:val="last-child"/>
    <w:basedOn w:val="21"/>
    <w:qFormat/>
    <w:uiPriority w:val="0"/>
  </w:style>
  <w:style w:type="character" w:customStyle="1" w:styleId="62">
    <w:name w:val="wea-thumbnails-doc-content-subtitle"/>
    <w:basedOn w:val="21"/>
    <w:qFormat/>
    <w:uiPriority w:val="0"/>
    <w:rPr>
      <w:color w:val="9A9A9A"/>
    </w:rPr>
  </w:style>
  <w:style w:type="character" w:customStyle="1" w:styleId="63">
    <w:name w:val="first-of-type"/>
    <w:basedOn w:val="21"/>
    <w:qFormat/>
    <w:uiPriority w:val="0"/>
    <w:rPr>
      <w:color w:val="FF0000"/>
    </w:rPr>
  </w:style>
  <w:style w:type="character" w:customStyle="1" w:styleId="64">
    <w:name w:val="first-of-type1"/>
    <w:basedOn w:val="21"/>
    <w:qFormat/>
    <w:uiPriority w:val="0"/>
    <w:rPr>
      <w:color w:val="FF0000"/>
    </w:rPr>
  </w:style>
  <w:style w:type="character" w:customStyle="1" w:styleId="65">
    <w:name w:val="first-of-type2"/>
    <w:basedOn w:val="21"/>
    <w:qFormat/>
    <w:uiPriority w:val="0"/>
    <w:rPr>
      <w:color w:val="FF0000"/>
    </w:rPr>
  </w:style>
  <w:style w:type="character" w:customStyle="1" w:styleId="66">
    <w:name w:val="ant-select-tree-switcher"/>
    <w:basedOn w:val="21"/>
    <w:qFormat/>
    <w:uiPriority w:val="0"/>
  </w:style>
  <w:style w:type="character" w:customStyle="1" w:styleId="67">
    <w:name w:val="ant-tree-iconele"/>
    <w:basedOn w:val="21"/>
    <w:qFormat/>
    <w:uiPriority w:val="0"/>
  </w:style>
  <w:style w:type="character" w:customStyle="1" w:styleId="68">
    <w:name w:val="current-node"/>
    <w:basedOn w:val="21"/>
    <w:qFormat/>
    <w:uiPriority w:val="0"/>
    <w:rPr>
      <w:bdr w:val="single" w:color="F5B87B" w:sz="6" w:space="0"/>
      <w:shd w:val="clear" w:fill="FFE8CC"/>
    </w:rPr>
  </w:style>
  <w:style w:type="character" w:customStyle="1" w:styleId="69">
    <w:name w:val="not-pass-node"/>
    <w:basedOn w:val="21"/>
    <w:qFormat/>
    <w:uiPriority w:val="0"/>
    <w:rPr>
      <w:bdr w:val="single" w:color="5ABD6B" w:sz="6" w:space="0"/>
      <w:shd w:val="clear" w:fill="BFF3C3"/>
    </w:rPr>
  </w:style>
  <w:style w:type="character" w:customStyle="1" w:styleId="70">
    <w:name w:val="first-child"/>
    <w:basedOn w:val="21"/>
    <w:qFormat/>
    <w:uiPriority w:val="0"/>
  </w:style>
  <w:style w:type="character" w:customStyle="1" w:styleId="71">
    <w:name w:val="first-child1"/>
    <w:basedOn w:val="21"/>
    <w:qFormat/>
    <w:uiPriority w:val="0"/>
    <w:rPr>
      <w:color w:val="999999"/>
      <w:sz w:val="33"/>
      <w:szCs w:val="33"/>
    </w:rPr>
  </w:style>
  <w:style w:type="character" w:customStyle="1" w:styleId="72">
    <w:name w:val="button"/>
    <w:basedOn w:val="21"/>
    <w:qFormat/>
    <w:uiPriority w:val="0"/>
  </w:style>
  <w:style w:type="character" w:customStyle="1" w:styleId="73">
    <w:name w:val="button1"/>
    <w:basedOn w:val="21"/>
    <w:qFormat/>
    <w:uiPriority w:val="0"/>
  </w:style>
  <w:style w:type="character" w:customStyle="1" w:styleId="74">
    <w:name w:val="ant-select-tree-checkbox2"/>
    <w:basedOn w:val="21"/>
    <w:qFormat/>
    <w:uiPriority w:val="0"/>
  </w:style>
  <w:style w:type="character" w:customStyle="1" w:styleId="75">
    <w:name w:val="hover41"/>
    <w:basedOn w:val="21"/>
    <w:qFormat/>
    <w:uiPriority w:val="0"/>
    <w:rPr>
      <w:color w:val="009DFF"/>
    </w:rPr>
  </w:style>
  <w:style w:type="character" w:customStyle="1" w:styleId="76">
    <w:name w:val="hover42"/>
    <w:basedOn w:val="21"/>
    <w:qFormat/>
    <w:uiPriority w:val="0"/>
    <w:rPr>
      <w:color w:val="009DFF"/>
    </w:rPr>
  </w:style>
  <w:style w:type="character" w:customStyle="1" w:styleId="77">
    <w:name w:val="cke_notification_progress"/>
    <w:basedOn w:val="21"/>
    <w:qFormat/>
    <w:uiPriority w:val="0"/>
    <w:rPr>
      <w:shd w:val="clear" w:fill="0F74A8"/>
    </w:rPr>
  </w:style>
  <w:style w:type="character" w:customStyle="1" w:styleId="78">
    <w:name w:val="ant-radio+*"/>
    <w:basedOn w:val="21"/>
    <w:qFormat/>
    <w:uiPriority w:val="0"/>
  </w:style>
  <w:style w:type="character" w:customStyle="1" w:styleId="79">
    <w:name w:val="cke_dialog_ui_button2"/>
    <w:basedOn w:val="21"/>
    <w:qFormat/>
    <w:uiPriority w:val="0"/>
  </w:style>
  <w:style w:type="character" w:customStyle="1" w:styleId="80">
    <w:name w:val="ant-table-row-expand-icon4"/>
    <w:basedOn w:val="21"/>
    <w:qFormat/>
    <w:uiPriority w:val="0"/>
    <w:rPr>
      <w:vanish/>
    </w:rPr>
  </w:style>
  <w:style w:type="character" w:customStyle="1" w:styleId="81">
    <w:name w:val="tmpztreemove_arrow"/>
    <w:basedOn w:val="21"/>
    <w:qFormat/>
    <w:uiPriority w:val="0"/>
  </w:style>
  <w:style w:type="character" w:customStyle="1" w:styleId="82">
    <w:name w:val="cke_colorbox"/>
    <w:basedOn w:val="21"/>
    <w:qFormat/>
    <w:uiPriority w:val="0"/>
  </w:style>
  <w:style w:type="character" w:customStyle="1" w:styleId="83">
    <w:name w:val="cke_colorbox1"/>
    <w:basedOn w:val="21"/>
    <w:qFormat/>
    <w:uiPriority w:val="0"/>
  </w:style>
  <w:style w:type="character" w:customStyle="1" w:styleId="84">
    <w:name w:val="cke_colorbox2"/>
    <w:basedOn w:val="21"/>
    <w:qFormat/>
    <w:uiPriority w:val="0"/>
  </w:style>
  <w:style w:type="character" w:customStyle="1" w:styleId="85">
    <w:name w:val="cke_colorbox3"/>
    <w:basedOn w:val="21"/>
    <w:qFormat/>
    <w:uiPriority w:val="0"/>
    <w:rPr>
      <w:bdr w:val="single" w:color="808080" w:sz="6" w:space="0"/>
    </w:rPr>
  </w:style>
  <w:style w:type="character" w:customStyle="1" w:styleId="86">
    <w:name w:val="ant-tree-switcher10"/>
    <w:basedOn w:val="21"/>
    <w:qFormat/>
    <w:uiPriority w:val="0"/>
  </w:style>
  <w:style w:type="character" w:customStyle="1" w:styleId="87">
    <w:name w:val="ant-select-tree-iconele"/>
    <w:basedOn w:val="21"/>
    <w:qFormat/>
    <w:uiPriority w:val="0"/>
  </w:style>
  <w:style w:type="character" w:customStyle="1" w:styleId="88">
    <w:name w:val="ant-tree-checkbox8"/>
    <w:basedOn w:val="21"/>
    <w:qFormat/>
    <w:uiPriority w:val="0"/>
  </w:style>
  <w:style w:type="character" w:customStyle="1" w:styleId="89">
    <w:name w:val="wea-dropdown-triangle2"/>
    <w:basedOn w:val="21"/>
    <w:qFormat/>
    <w:uiPriority w:val="0"/>
  </w:style>
  <w:style w:type="character" w:customStyle="1" w:styleId="90">
    <w:name w:val="isrevision"/>
    <w:basedOn w:val="21"/>
    <w:qFormat/>
    <w:uiPriority w:val="0"/>
    <w:rPr>
      <w:color w:val="000000"/>
      <w:sz w:val="18"/>
      <w:szCs w:val="18"/>
      <w:bdr w:val="single" w:color="E9E9E9" w:sz="6" w:space="0"/>
      <w:shd w:val="clear" w:fill="FFFFFF"/>
    </w:rPr>
  </w:style>
  <w:style w:type="character" w:customStyle="1" w:styleId="91">
    <w:name w:val="disabled4"/>
    <w:basedOn w:val="21"/>
    <w:qFormat/>
    <w:uiPriority w:val="0"/>
    <w:rPr>
      <w:color w:val="AAAAAA"/>
      <w:shd w:val="clear" w:fill="F7F7F7"/>
    </w:rPr>
  </w:style>
  <w:style w:type="character" w:customStyle="1" w:styleId="92">
    <w:name w:val="cke_path_empty2"/>
    <w:basedOn w:val="21"/>
    <w:qFormat/>
    <w:uiPriority w:val="0"/>
    <w:rPr>
      <w:b/>
      <w:bCs/>
      <w:color w:val="484848"/>
      <w:sz w:val="16"/>
      <w:szCs w:val="16"/>
      <w:u w:val="non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6FB1F6-A00B-4BEF-B17B-0F168849D80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22655</Words>
  <Characters>24136</Characters>
  <Lines>174</Lines>
  <Paragraphs>49</Paragraphs>
  <TotalTime>2</TotalTime>
  <ScaleCrop>false</ScaleCrop>
  <LinksUpToDate>false</LinksUpToDate>
  <CharactersWithSpaces>24354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2022-07-04T09:31:00Z</dcterms:created>
  <dc:creator>微软用户</dc:creator>
  <cp:lastModifiedBy>Administrator</cp:lastModifiedBy>
  <cp:lastPrinted>2019-11-22T01:53:00Z</cp:lastPrinted>
  <dcterms:modified xsi:type="dcterms:W3CDTF">2022-07-25T02:31:36Z</dcterms:modified>
  <dc:title>淮海工学院A8-10号楼学生宿舍家具招标书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97F3FB750C514CC68FBE84D098FB1D9E</vt:lpwstr>
  </property>
</Properties>
</file>