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44"/>
          <w:szCs w:val="44"/>
          <w:highlight w:val="none"/>
        </w:rPr>
      </w:pPr>
      <w:bookmarkStart w:id="0" w:name="OLE_LINK2"/>
      <w:bookmarkStart w:id="1" w:name="OLE_LINK1"/>
      <w:r>
        <w:rPr>
          <w:b/>
          <w:color w:val="auto"/>
          <w:sz w:val="44"/>
          <w:szCs w:val="44"/>
          <w:highlight w:val="none"/>
        </w:rPr>
        <w:t>南京信息工程大学</w:t>
      </w:r>
      <w:bookmarkEnd w:id="0"/>
      <w:bookmarkEnd w:id="1"/>
      <w:r>
        <w:rPr>
          <w:rFonts w:hint="default" w:ascii="Times New Roman" w:hAnsi="Times New Roman" w:eastAsia="宋体" w:cs="Times New Roman"/>
          <w:b/>
          <w:i w:val="0"/>
          <w:iCs w:val="0"/>
          <w:caps w:val="0"/>
          <w:color w:val="auto"/>
          <w:spacing w:val="0"/>
          <w:kern w:val="2"/>
          <w:sz w:val="44"/>
          <w:szCs w:val="44"/>
          <w:highlight w:val="none"/>
          <w:lang w:val="en-US" w:eastAsia="zh-CN" w:bidi="ar"/>
        </w:rPr>
        <w:t>集成电路设计软件</w:t>
      </w:r>
      <w:r>
        <w:rPr>
          <w:rFonts w:hint="eastAsia" w:ascii="宋体" w:hAnsi="宋体"/>
          <w:b/>
          <w:color w:val="auto"/>
          <w:sz w:val="44"/>
          <w:szCs w:val="44"/>
          <w:highlight w:val="none"/>
        </w:rPr>
        <w:t>采购</w:t>
      </w:r>
      <w:r>
        <w:rPr>
          <w:rFonts w:hint="eastAsia"/>
          <w:b/>
          <w:color w:val="auto"/>
          <w:sz w:val="44"/>
          <w:szCs w:val="44"/>
          <w:highlight w:val="none"/>
        </w:rPr>
        <w:t>项目</w:t>
      </w:r>
    </w:p>
    <w:p>
      <w:pPr>
        <w:jc w:val="center"/>
        <w:rPr>
          <w:b/>
          <w:color w:val="auto"/>
          <w:sz w:val="44"/>
          <w:szCs w:val="44"/>
          <w:highlight w:val="none"/>
        </w:rPr>
      </w:pPr>
      <w:r>
        <w:rPr>
          <w:b/>
          <w:color w:val="auto"/>
          <w:sz w:val="44"/>
          <w:szCs w:val="44"/>
          <w:highlight w:val="none"/>
        </w:rPr>
        <w:t>招标文件</w:t>
      </w:r>
    </w:p>
    <w:p>
      <w:pPr>
        <w:pStyle w:val="8"/>
        <w:ind w:left="1470" w:right="1470"/>
        <w:rPr>
          <w:color w:val="auto"/>
          <w:highlight w:val="none"/>
        </w:rPr>
      </w:pPr>
    </w:p>
    <w:p>
      <w:pPr>
        <w:adjustRightInd w:val="0"/>
        <w:snapToGrid w:val="0"/>
        <w:spacing w:line="360" w:lineRule="auto"/>
        <w:jc w:val="center"/>
        <w:rPr>
          <w:rFonts w:ascii="宋体" w:hAnsi="宋体" w:cs="仿宋"/>
          <w:color w:val="auto"/>
          <w:sz w:val="28"/>
          <w:szCs w:val="28"/>
          <w:highlight w:val="none"/>
        </w:rPr>
      </w:pPr>
      <w:r>
        <w:rPr>
          <w:rFonts w:hint="eastAsia" w:ascii="宋体" w:hAnsi="宋体" w:cs="仿宋"/>
          <w:color w:val="auto"/>
          <w:sz w:val="28"/>
          <w:szCs w:val="28"/>
          <w:highlight w:val="none"/>
        </w:rPr>
        <w:t>（招标编号：</w:t>
      </w:r>
      <w:r>
        <w:rPr>
          <w:rFonts w:hint="eastAsia" w:ascii="宋体" w:hAnsi="宋体" w:cs="仿宋"/>
          <w:color w:val="auto"/>
          <w:sz w:val="28"/>
          <w:szCs w:val="28"/>
          <w:highlight w:val="none"/>
          <w:u w:val="single"/>
        </w:rPr>
        <w:t xml:space="preserve"> JZCG-2022-00094</w:t>
      </w:r>
      <w:r>
        <w:rPr>
          <w:rFonts w:hint="eastAsia" w:ascii="宋体" w:hAnsi="宋体" w:cs="仿宋"/>
          <w:color w:val="auto"/>
          <w:sz w:val="28"/>
          <w:szCs w:val="28"/>
          <w:highlight w:val="none"/>
          <w:u w:val="single"/>
          <w:lang w:val="en-US" w:eastAsia="zh-CN"/>
        </w:rPr>
        <w:t>-1a</w:t>
      </w:r>
      <w:r>
        <w:rPr>
          <w:rFonts w:hint="eastAsia" w:ascii="宋体" w:hAnsi="宋体" w:cs="仿宋"/>
          <w:color w:val="auto"/>
          <w:sz w:val="28"/>
          <w:szCs w:val="28"/>
          <w:highlight w:val="none"/>
          <w:u w:val="single"/>
        </w:rPr>
        <w:t xml:space="preserve">  </w:t>
      </w:r>
      <w:r>
        <w:rPr>
          <w:rFonts w:hint="eastAsia" w:ascii="宋体" w:hAnsi="宋体" w:cs="仿宋"/>
          <w:color w:val="auto"/>
          <w:sz w:val="28"/>
          <w:szCs w:val="28"/>
          <w:highlight w:val="none"/>
        </w:rPr>
        <w:t xml:space="preserve"> ）</w:t>
      </w:r>
    </w:p>
    <w:p>
      <w:pPr>
        <w:adjustRightInd w:val="0"/>
        <w:snapToGrid w:val="0"/>
        <w:spacing w:line="360" w:lineRule="auto"/>
        <w:jc w:val="center"/>
        <w:rPr>
          <w:rFonts w:ascii="宋体" w:cs="仿宋"/>
          <w:color w:val="auto"/>
          <w:sz w:val="28"/>
          <w:szCs w:val="28"/>
          <w:highlight w:val="none"/>
        </w:rPr>
      </w:pPr>
    </w:p>
    <w:p>
      <w:pPr>
        <w:adjustRightInd w:val="0"/>
        <w:snapToGrid w:val="0"/>
        <w:spacing w:line="360" w:lineRule="auto"/>
        <w:jc w:val="center"/>
        <w:rPr>
          <w:rFonts w:ascii="宋体" w:cs="仿宋"/>
          <w:color w:val="auto"/>
          <w:sz w:val="28"/>
          <w:szCs w:val="28"/>
          <w:highlight w:val="none"/>
        </w:rPr>
      </w:pPr>
      <w:r>
        <w:rPr>
          <w:rFonts w:ascii="宋体" w:hAnsi="宋体" w:cs="仿宋"/>
          <w:color w:val="auto"/>
          <w:sz w:val="28"/>
          <w:szCs w:val="28"/>
          <w:highlight w:val="none"/>
        </w:rPr>
        <w:t>(</w:t>
      </w:r>
      <w:r>
        <w:rPr>
          <w:rFonts w:ascii="宋体" w:hAnsi="宋体" w:cs="仿宋"/>
          <w:color w:val="auto"/>
          <w:sz w:val="28"/>
          <w:szCs w:val="28"/>
          <w:highlight w:val="none"/>
          <w:u w:val="single"/>
        </w:rPr>
        <w:t>20</w:t>
      </w:r>
      <w:r>
        <w:rPr>
          <w:rFonts w:hint="eastAsia" w:ascii="宋体" w:hAnsi="宋体" w:cs="仿宋"/>
          <w:color w:val="auto"/>
          <w:sz w:val="28"/>
          <w:szCs w:val="28"/>
          <w:highlight w:val="none"/>
          <w:u w:val="single"/>
        </w:rPr>
        <w:t>2</w:t>
      </w:r>
      <w:r>
        <w:rPr>
          <w:rFonts w:hint="eastAsia" w:ascii="宋体" w:hAnsi="宋体" w:cs="仿宋"/>
          <w:color w:val="auto"/>
          <w:sz w:val="28"/>
          <w:szCs w:val="28"/>
          <w:highlight w:val="none"/>
          <w:u w:val="single"/>
          <w:lang w:val="en-US" w:eastAsia="zh-CN"/>
        </w:rPr>
        <w:t>2</w:t>
      </w:r>
      <w:r>
        <w:rPr>
          <w:rFonts w:hint="eastAsia" w:ascii="宋体" w:hAnsi="宋体" w:cs="仿宋"/>
          <w:color w:val="auto"/>
          <w:sz w:val="28"/>
          <w:szCs w:val="28"/>
          <w:highlight w:val="none"/>
          <w:u w:val="single"/>
        </w:rPr>
        <w:t>年0</w:t>
      </w:r>
      <w:r>
        <w:rPr>
          <w:rFonts w:hint="eastAsia" w:ascii="宋体" w:hAnsi="宋体" w:cs="仿宋"/>
          <w:color w:val="auto"/>
          <w:sz w:val="28"/>
          <w:szCs w:val="28"/>
          <w:highlight w:val="none"/>
          <w:u w:val="single"/>
          <w:lang w:val="en-US" w:eastAsia="zh-CN"/>
        </w:rPr>
        <w:t>9</w:t>
      </w:r>
      <w:r>
        <w:rPr>
          <w:rFonts w:hint="eastAsia" w:ascii="宋体" w:hAnsi="宋体" w:cs="仿宋"/>
          <w:color w:val="auto"/>
          <w:sz w:val="28"/>
          <w:szCs w:val="28"/>
          <w:highlight w:val="none"/>
          <w:u w:val="single"/>
        </w:rPr>
        <w:t>月</w:t>
      </w:r>
      <w:r>
        <w:rPr>
          <w:rFonts w:hint="eastAsia" w:ascii="宋体" w:hAnsi="宋体" w:cs="仿宋"/>
          <w:color w:val="auto"/>
          <w:sz w:val="28"/>
          <w:szCs w:val="28"/>
          <w:highlight w:val="none"/>
          <w:u w:val="single"/>
          <w:lang w:val="en-US" w:eastAsia="zh-CN"/>
        </w:rPr>
        <w:t>15</w:t>
      </w:r>
      <w:r>
        <w:rPr>
          <w:rFonts w:hint="eastAsia" w:ascii="宋体" w:hAnsi="宋体" w:cs="仿宋"/>
          <w:color w:val="auto"/>
          <w:sz w:val="28"/>
          <w:szCs w:val="28"/>
          <w:highlight w:val="none"/>
          <w:u w:val="single"/>
        </w:rPr>
        <w:t>日1</w:t>
      </w:r>
      <w:r>
        <w:rPr>
          <w:rFonts w:hint="eastAsia" w:ascii="宋体" w:hAnsi="宋体" w:cs="仿宋"/>
          <w:color w:val="auto"/>
          <w:sz w:val="28"/>
          <w:szCs w:val="28"/>
          <w:highlight w:val="none"/>
          <w:u w:val="single"/>
          <w:lang w:val="en-US" w:eastAsia="zh-CN"/>
        </w:rPr>
        <w:t>0</w:t>
      </w:r>
      <w:r>
        <w:rPr>
          <w:rFonts w:hint="eastAsia" w:ascii="宋体" w:hAnsi="宋体" w:cs="仿宋"/>
          <w:color w:val="auto"/>
          <w:sz w:val="28"/>
          <w:szCs w:val="28"/>
          <w:highlight w:val="none"/>
          <w:u w:val="single"/>
        </w:rPr>
        <w:t>：</w:t>
      </w:r>
      <w:r>
        <w:rPr>
          <w:rFonts w:ascii="宋体" w:cs="仿宋"/>
          <w:color w:val="auto"/>
          <w:sz w:val="28"/>
          <w:szCs w:val="28"/>
          <w:highlight w:val="none"/>
          <w:u w:val="single"/>
        </w:rPr>
        <w:t>00</w:t>
      </w:r>
      <w:r>
        <w:rPr>
          <w:rFonts w:hint="eastAsia" w:ascii="宋体" w:hAnsi="宋体" w:cs="仿宋"/>
          <w:color w:val="auto"/>
          <w:sz w:val="28"/>
          <w:szCs w:val="28"/>
          <w:highlight w:val="none"/>
          <w:u w:val="single"/>
        </w:rPr>
        <w:t>定标发标版</w:t>
      </w:r>
      <w:r>
        <w:rPr>
          <w:rFonts w:ascii="宋体" w:hAnsi="宋体" w:cs="仿宋"/>
          <w:color w:val="auto"/>
          <w:sz w:val="28"/>
          <w:szCs w:val="28"/>
          <w:highlight w:val="none"/>
        </w:rPr>
        <w:t>)</w:t>
      </w:r>
    </w:p>
    <w:p>
      <w:pPr>
        <w:jc w:val="center"/>
        <w:rPr>
          <w:b/>
          <w:color w:val="auto"/>
          <w:sz w:val="28"/>
          <w:szCs w:val="28"/>
          <w:highlight w:val="none"/>
        </w:rPr>
      </w:pPr>
    </w:p>
    <w:p>
      <w:pPr>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为满足学校相关</w:t>
      </w:r>
      <w:r>
        <w:rPr>
          <w:rFonts w:hint="eastAsia" w:ascii="宋体" w:hAnsi="宋体"/>
          <w:color w:val="auto"/>
          <w:sz w:val="28"/>
          <w:szCs w:val="28"/>
          <w:highlight w:val="none"/>
        </w:rPr>
        <w:t>教学</w:t>
      </w:r>
      <w:r>
        <w:rPr>
          <w:rFonts w:ascii="宋体" w:hAnsi="宋体"/>
          <w:color w:val="auto"/>
          <w:sz w:val="28"/>
          <w:szCs w:val="28"/>
          <w:highlight w:val="none"/>
        </w:rPr>
        <w:t>科研工作需要，受校</w:t>
      </w:r>
      <w:r>
        <w:rPr>
          <w:rFonts w:hint="eastAsia" w:ascii="宋体" w:hAnsi="宋体"/>
          <w:color w:val="auto"/>
          <w:sz w:val="28"/>
          <w:szCs w:val="28"/>
          <w:highlight w:val="none"/>
        </w:rPr>
        <w:t>电子与信息工程学院</w:t>
      </w:r>
      <w:r>
        <w:rPr>
          <w:rFonts w:ascii="宋体" w:hAnsi="宋体"/>
          <w:color w:val="auto"/>
          <w:sz w:val="28"/>
          <w:szCs w:val="28"/>
          <w:highlight w:val="none"/>
        </w:rPr>
        <w:t>委托，就</w:t>
      </w:r>
      <w:r>
        <w:rPr>
          <w:rFonts w:hint="eastAsia" w:ascii="宋体" w:hAnsi="宋体"/>
          <w:color w:val="auto"/>
          <w:sz w:val="28"/>
          <w:szCs w:val="28"/>
          <w:highlight w:val="none"/>
        </w:rPr>
        <w:t>集成电路设计软件采购项目</w:t>
      </w:r>
      <w:r>
        <w:rPr>
          <w:rFonts w:hint="eastAsia" w:ascii="宋体" w:hAnsi="宋体"/>
          <w:color w:val="auto"/>
          <w:sz w:val="28"/>
          <w:szCs w:val="28"/>
          <w:highlight w:val="none"/>
          <w:lang w:val="en-US" w:eastAsia="zh-CN"/>
        </w:rPr>
        <w:t>再次</w:t>
      </w:r>
      <w:bookmarkStart w:id="11" w:name="_GoBack"/>
      <w:bookmarkEnd w:id="11"/>
      <w:r>
        <w:rPr>
          <w:rFonts w:ascii="宋体" w:hAnsi="宋体"/>
          <w:color w:val="auto"/>
          <w:sz w:val="28"/>
          <w:szCs w:val="28"/>
          <w:highlight w:val="none"/>
        </w:rPr>
        <w:t>进行公开招标，欢迎符合条件的供应商报名投标，现将有关情况说明如下：</w:t>
      </w:r>
    </w:p>
    <w:p>
      <w:pPr>
        <w:spacing w:line="360" w:lineRule="auto"/>
        <w:ind w:firstLine="480" w:firstLineChars="200"/>
        <w:rPr>
          <w:color w:val="auto"/>
          <w:sz w:val="24"/>
          <w:highlight w:val="none"/>
        </w:rPr>
      </w:pPr>
    </w:p>
    <w:p>
      <w:pPr>
        <w:pStyle w:val="34"/>
        <w:spacing w:line="360" w:lineRule="auto"/>
        <w:ind w:firstLine="0" w:firstLineChars="0"/>
        <w:jc w:val="center"/>
        <w:rPr>
          <w:rFonts w:ascii="宋体" w:hAnsi="宋体" w:cs="仿宋"/>
          <w:b/>
          <w:bCs/>
          <w:color w:val="auto"/>
          <w:kern w:val="2"/>
          <w:sz w:val="28"/>
          <w:szCs w:val="28"/>
          <w:highlight w:val="none"/>
        </w:rPr>
      </w:pPr>
      <w:r>
        <w:rPr>
          <w:rFonts w:hint="eastAsia" w:ascii="宋体" w:hAnsi="宋体" w:cs="仿宋"/>
          <w:b/>
          <w:bCs/>
          <w:color w:val="auto"/>
          <w:kern w:val="2"/>
          <w:sz w:val="28"/>
          <w:szCs w:val="28"/>
          <w:highlight w:val="none"/>
        </w:rPr>
        <w:t>一、招标项目名称及简要说明</w:t>
      </w:r>
    </w:p>
    <w:p>
      <w:pPr>
        <w:pStyle w:val="34"/>
        <w:spacing w:line="360" w:lineRule="auto"/>
        <w:ind w:firstLine="560"/>
        <w:rPr>
          <w:rFonts w:ascii="宋体" w:hAnsi="宋体"/>
          <w:color w:val="auto"/>
          <w:kern w:val="2"/>
          <w:sz w:val="28"/>
          <w:szCs w:val="28"/>
          <w:highlight w:val="none"/>
        </w:rPr>
      </w:pPr>
      <w:r>
        <w:rPr>
          <w:rFonts w:ascii="宋体" w:hAnsi="宋体"/>
          <w:color w:val="auto"/>
          <w:kern w:val="2"/>
          <w:sz w:val="28"/>
          <w:szCs w:val="28"/>
          <w:highlight w:val="none"/>
        </w:rPr>
        <w:t>1. 项目名称：南京信息工程大学</w:t>
      </w:r>
      <w:r>
        <w:rPr>
          <w:rFonts w:hint="eastAsia" w:ascii="宋体" w:hAnsi="宋体"/>
          <w:color w:val="auto"/>
          <w:sz w:val="28"/>
          <w:szCs w:val="28"/>
          <w:highlight w:val="none"/>
        </w:rPr>
        <w:t>集成电路设计软件采购项目</w:t>
      </w:r>
      <w:r>
        <w:rPr>
          <w:rFonts w:ascii="宋体" w:hAnsi="宋体"/>
          <w:color w:val="auto"/>
          <w:kern w:val="2"/>
          <w:sz w:val="28"/>
          <w:szCs w:val="28"/>
          <w:highlight w:val="none"/>
        </w:rPr>
        <w:t>。</w:t>
      </w:r>
    </w:p>
    <w:p>
      <w:pPr>
        <w:spacing w:line="300" w:lineRule="auto"/>
        <w:ind w:firstLine="560" w:firstLineChars="200"/>
        <w:rPr>
          <w:rFonts w:ascii="宋体" w:hAnsi="宋体"/>
          <w:color w:val="auto"/>
          <w:sz w:val="28"/>
          <w:szCs w:val="28"/>
          <w:highlight w:val="none"/>
        </w:rPr>
      </w:pPr>
      <w:r>
        <w:rPr>
          <w:rFonts w:ascii="宋体" w:hAnsi="宋体"/>
          <w:color w:val="auto"/>
          <w:sz w:val="28"/>
          <w:szCs w:val="28"/>
          <w:highlight w:val="none"/>
        </w:rPr>
        <w:t xml:space="preserve">2. </w:t>
      </w:r>
      <w:r>
        <w:rPr>
          <w:rFonts w:hint="eastAsia" w:ascii="宋体" w:hAnsi="宋体" w:cs="仿宋"/>
          <w:color w:val="auto"/>
          <w:sz w:val="28"/>
          <w:szCs w:val="28"/>
          <w:highlight w:val="none"/>
        </w:rPr>
        <w:t>项目说明：</w:t>
      </w:r>
      <w:r>
        <w:rPr>
          <w:rFonts w:hint="eastAsia" w:ascii="宋体" w:hAnsi="宋体"/>
          <w:color w:val="auto"/>
          <w:sz w:val="28"/>
          <w:szCs w:val="28"/>
          <w:highlight w:val="none"/>
        </w:rPr>
        <w:t>南京信息工程大学校内，本次招标</w:t>
      </w:r>
      <w:r>
        <w:rPr>
          <w:rFonts w:hint="eastAsia" w:ascii="宋体" w:hAnsi="宋体" w:cs="仿宋"/>
          <w:color w:val="auto"/>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color w:val="auto"/>
          <w:sz w:val="28"/>
          <w:szCs w:val="28"/>
          <w:highlight w:val="none"/>
        </w:rPr>
      </w:pPr>
      <w:r>
        <w:rPr>
          <w:rFonts w:ascii="宋体" w:hAnsi="宋体"/>
          <w:color w:val="auto"/>
          <w:sz w:val="28"/>
          <w:szCs w:val="28"/>
          <w:highlight w:val="none"/>
        </w:rPr>
        <w:t>3</w:t>
      </w:r>
      <w:bookmarkStart w:id="2" w:name="_Hlk9865971"/>
      <w:r>
        <w:rPr>
          <w:rFonts w:hint="eastAsia" w:ascii="宋体" w:hAnsi="宋体"/>
          <w:color w:val="auto"/>
          <w:sz w:val="28"/>
          <w:szCs w:val="28"/>
          <w:highlight w:val="none"/>
        </w:rPr>
        <w:t>.本次招标采取公开招标方式，不承诺最低价（最高价）中标。招标公告和中标公示信息均在</w:t>
      </w:r>
      <w:r>
        <w:rPr>
          <w:color w:val="auto"/>
          <w:highlight w:val="none"/>
        </w:rPr>
        <w:fldChar w:fldCharType="begin"/>
      </w:r>
      <w:r>
        <w:rPr>
          <w:color w:val="auto"/>
          <w:highlight w:val="none"/>
        </w:rPr>
        <w:instrText xml:space="preserve"> HYPERLINK "https://bulletin.nuist.edu.cn/779/list.htm" </w:instrText>
      </w:r>
      <w:r>
        <w:rPr>
          <w:color w:val="auto"/>
          <w:highlight w:val="none"/>
        </w:rPr>
        <w:fldChar w:fldCharType="separate"/>
      </w:r>
      <w:r>
        <w:rPr>
          <w:rStyle w:val="21"/>
          <w:b/>
          <w:color w:val="auto"/>
          <w:sz w:val="24"/>
          <w:highlight w:val="none"/>
        </w:rPr>
        <w:t>https://bulletin.nuist.edu.cn/779/lis</w:t>
      </w:r>
      <w:r>
        <w:rPr>
          <w:rStyle w:val="21"/>
          <w:color w:val="auto"/>
          <w:sz w:val="24"/>
          <w:highlight w:val="none"/>
        </w:rPr>
        <w:t>t.htm</w:t>
      </w:r>
      <w:r>
        <w:rPr>
          <w:rStyle w:val="21"/>
          <w:color w:val="auto"/>
          <w:sz w:val="24"/>
          <w:highlight w:val="none"/>
        </w:rPr>
        <w:fldChar w:fldCharType="end"/>
      </w:r>
      <w:r>
        <w:rPr>
          <w:rFonts w:hint="eastAsia" w:ascii="宋体" w:hAnsi="宋体"/>
          <w:color w:val="auto"/>
          <w:sz w:val="28"/>
          <w:szCs w:val="28"/>
          <w:highlight w:val="none"/>
        </w:rPr>
        <w:t>和</w:t>
      </w:r>
      <w:r>
        <w:rPr>
          <w:color w:val="auto"/>
          <w:highlight w:val="none"/>
        </w:rPr>
        <w:fldChar w:fldCharType="begin"/>
      </w:r>
      <w:r>
        <w:rPr>
          <w:color w:val="auto"/>
          <w:highlight w:val="none"/>
        </w:rPr>
        <w:instrText xml:space="preserve"> HYPERLINK "http://zbc.nuist.edu.cn" </w:instrText>
      </w:r>
      <w:r>
        <w:rPr>
          <w:color w:val="auto"/>
          <w:highlight w:val="none"/>
        </w:rPr>
        <w:fldChar w:fldCharType="separate"/>
      </w:r>
      <w:r>
        <w:rPr>
          <w:rFonts w:ascii="宋体" w:hAnsi="宋体"/>
          <w:b/>
          <w:color w:val="auto"/>
          <w:sz w:val="24"/>
          <w:szCs w:val="28"/>
          <w:highlight w:val="none"/>
          <w:u w:val="single"/>
        </w:rPr>
        <w:t>zbc.nuist.edu.cn</w:t>
      </w:r>
      <w:r>
        <w:rPr>
          <w:rFonts w:ascii="宋体" w:hAnsi="宋体"/>
          <w:b/>
          <w:color w:val="auto"/>
          <w:sz w:val="24"/>
          <w:szCs w:val="28"/>
          <w:highlight w:val="none"/>
          <w:u w:val="single"/>
        </w:rPr>
        <w:fldChar w:fldCharType="end"/>
      </w:r>
      <w:r>
        <w:rPr>
          <w:rFonts w:hint="eastAsia" w:ascii="宋体" w:hAnsi="宋体"/>
          <w:color w:val="auto"/>
          <w:sz w:val="28"/>
          <w:szCs w:val="28"/>
          <w:highlight w:val="none"/>
        </w:rPr>
        <w:t>网页上公开发布</w:t>
      </w:r>
      <w:r>
        <w:rPr>
          <w:rFonts w:ascii="宋体"/>
          <w:color w:val="auto"/>
          <w:sz w:val="28"/>
          <w:szCs w:val="28"/>
          <w:highlight w:val="none"/>
        </w:rPr>
        <w:t>,</w:t>
      </w:r>
      <w:r>
        <w:rPr>
          <w:rFonts w:hint="eastAsia" w:ascii="宋体" w:hAnsi="宋体"/>
          <w:color w:val="auto"/>
          <w:sz w:val="28"/>
          <w:szCs w:val="28"/>
          <w:highlight w:val="none"/>
        </w:rPr>
        <w:t>接受监督。欢迎社会招标机构和网站转载，转载信息与我校网站信息不一致时，以我校网站为准。</w:t>
      </w:r>
      <w:bookmarkEnd w:id="2"/>
    </w:p>
    <w:p>
      <w:pPr>
        <w:spacing w:line="360" w:lineRule="auto"/>
        <w:ind w:firstLine="570"/>
        <w:jc w:val="left"/>
        <w:rPr>
          <w:rFonts w:ascii="宋体" w:hAnsi="宋体" w:cs="宋体"/>
          <w:color w:val="auto"/>
          <w:sz w:val="28"/>
          <w:szCs w:val="28"/>
          <w:highlight w:val="none"/>
        </w:rPr>
      </w:pPr>
      <w:r>
        <w:rPr>
          <w:rFonts w:ascii="宋体" w:hAnsi="宋体"/>
          <w:color w:val="auto"/>
          <w:sz w:val="28"/>
          <w:szCs w:val="28"/>
          <w:highlight w:val="none"/>
        </w:rPr>
        <w:t>4</w:t>
      </w:r>
      <w:bookmarkStart w:id="3" w:name="_Hlk9866054"/>
      <w:r>
        <w:rPr>
          <w:rFonts w:hint="eastAsia" w:ascii="宋体" w:hAnsi="宋体"/>
          <w:color w:val="auto"/>
          <w:sz w:val="28"/>
          <w:szCs w:val="28"/>
          <w:highlight w:val="none"/>
        </w:rPr>
        <w:t>.招标文件由我校采购人、项目归口管理部门和招标办联合起草；经学校相关职能部门会审通过形成正式招标文件。同时</w:t>
      </w:r>
      <w:r>
        <w:rPr>
          <w:rFonts w:hint="eastAsia" w:ascii="宋体" w:hAnsi="宋体" w:cs="宋体"/>
          <w:color w:val="auto"/>
          <w:sz w:val="28"/>
          <w:szCs w:val="28"/>
          <w:highlight w:val="none"/>
        </w:rPr>
        <w:t>打印</w:t>
      </w:r>
      <w:r>
        <w:rPr>
          <w:rFonts w:ascii="宋体" w:hAnsi="宋体" w:cs="宋体"/>
          <w:color w:val="auto"/>
          <w:sz w:val="28"/>
          <w:szCs w:val="28"/>
          <w:highlight w:val="none"/>
        </w:rPr>
        <w:t>3</w:t>
      </w:r>
      <w:r>
        <w:rPr>
          <w:rFonts w:hint="eastAsia" w:ascii="宋体" w:hAnsi="宋体" w:cs="宋体"/>
          <w:color w:val="auto"/>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color w:val="auto"/>
          <w:sz w:val="28"/>
          <w:szCs w:val="28"/>
          <w:highlight w:val="none"/>
        </w:rPr>
        <w:t>1</w:t>
      </w:r>
      <w:r>
        <w:rPr>
          <w:rFonts w:hint="eastAsia" w:ascii="宋体" w:hAnsi="宋体" w:cs="宋体"/>
          <w:color w:val="auto"/>
          <w:sz w:val="28"/>
          <w:szCs w:val="28"/>
          <w:highlight w:val="none"/>
        </w:rPr>
        <w:t>份，作为相关部门存档、合同签订、项目竣工验收和决（结）算审计，以及处理纠纷等的依据。</w:t>
      </w:r>
      <w:bookmarkEnd w:id="3"/>
    </w:p>
    <w:p>
      <w:pPr>
        <w:spacing w:line="360" w:lineRule="auto"/>
        <w:ind w:firstLine="570"/>
        <w:jc w:val="left"/>
        <w:rPr>
          <w:rFonts w:ascii="宋体" w:hAnsi="宋体" w:cs="宋体"/>
          <w:color w:val="auto"/>
          <w:sz w:val="28"/>
          <w:szCs w:val="28"/>
          <w:highlight w:val="none"/>
        </w:rPr>
      </w:pPr>
      <w:r>
        <w:rPr>
          <w:rFonts w:hint="eastAsia" w:ascii="宋体" w:hAnsi="宋体" w:cs="宋体"/>
          <w:color w:val="auto"/>
          <w:sz w:val="28"/>
          <w:szCs w:val="28"/>
          <w:highlight w:val="none"/>
        </w:rPr>
        <w:t>5.正式的答疑回复文件也按上述方式处理留存。</w:t>
      </w:r>
    </w:p>
    <w:p>
      <w:pPr>
        <w:spacing w:line="360" w:lineRule="auto"/>
        <w:ind w:firstLine="570"/>
        <w:jc w:val="left"/>
        <w:rPr>
          <w:rFonts w:ascii="宋体" w:hAnsi="宋体" w:cs="宋体"/>
          <w:color w:val="auto"/>
          <w:sz w:val="28"/>
          <w:szCs w:val="28"/>
          <w:highlight w:val="none"/>
        </w:rPr>
      </w:pPr>
      <w:r>
        <w:rPr>
          <w:rFonts w:hint="eastAsia" w:ascii="宋体" w:hAnsi="宋体" w:cs="宋体"/>
          <w:color w:val="auto"/>
          <w:sz w:val="28"/>
          <w:szCs w:val="28"/>
          <w:highlight w:val="none"/>
        </w:rPr>
        <w:t>6.投标有效期：自开标之日起90天内投标有效。</w:t>
      </w:r>
    </w:p>
    <w:p>
      <w:pPr>
        <w:spacing w:line="360" w:lineRule="auto"/>
        <w:ind w:firstLine="570"/>
        <w:jc w:val="left"/>
        <w:rPr>
          <w:rFonts w:ascii="宋体" w:hAnsi="宋体" w:cs="宋体"/>
          <w:color w:val="auto"/>
          <w:sz w:val="28"/>
          <w:szCs w:val="28"/>
          <w:highlight w:val="none"/>
        </w:rPr>
      </w:pPr>
      <w:r>
        <w:rPr>
          <w:rFonts w:hint="eastAsia" w:ascii="宋体" w:hAnsi="宋体" w:cs="宋体"/>
          <w:color w:val="auto"/>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color w:val="auto"/>
          <w:sz w:val="28"/>
          <w:szCs w:val="28"/>
          <w:highlight w:val="none"/>
        </w:rPr>
      </w:pPr>
      <w:r>
        <w:rPr>
          <w:rFonts w:hint="eastAsia" w:ascii="宋体" w:hAnsi="宋体" w:cs="仿宋"/>
          <w:b/>
          <w:bCs/>
          <w:color w:val="auto"/>
          <w:sz w:val="28"/>
          <w:szCs w:val="28"/>
          <w:highlight w:val="none"/>
        </w:rPr>
        <w:t>二、对投标人及投标报价的要求</w:t>
      </w:r>
    </w:p>
    <w:p>
      <w:pPr>
        <w:snapToGrid w:val="0"/>
        <w:spacing w:line="360" w:lineRule="auto"/>
        <w:ind w:firstLine="540" w:firstLineChars="192"/>
        <w:rPr>
          <w:rFonts w:ascii="宋体" w:hAnsi="宋体"/>
          <w:b/>
          <w:color w:val="auto"/>
          <w:kern w:val="0"/>
          <w:sz w:val="28"/>
          <w:szCs w:val="28"/>
          <w:highlight w:val="none"/>
        </w:rPr>
      </w:pPr>
      <w:r>
        <w:rPr>
          <w:rFonts w:hint="eastAsia" w:ascii="宋体" w:hAnsi="宋体"/>
          <w:b/>
          <w:color w:val="auto"/>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color w:val="auto"/>
          <w:kern w:val="0"/>
          <w:sz w:val="28"/>
          <w:szCs w:val="28"/>
          <w:highlight w:val="none"/>
          <w:u w:val="single"/>
        </w:rPr>
      </w:pPr>
      <w:r>
        <w:rPr>
          <w:rFonts w:hint="eastAsia" w:ascii="宋体" w:hAnsi="宋体" w:cs="Arial"/>
          <w:i/>
          <w:iCs/>
          <w:color w:val="auto"/>
          <w:sz w:val="28"/>
          <w:szCs w:val="28"/>
          <w:highlight w:val="none"/>
          <w:u w:val="single"/>
        </w:rPr>
        <w:t>（一）参加政府采购的供应商应当具备政府采购法</w:t>
      </w:r>
      <w:r>
        <w:rPr>
          <w:rFonts w:ascii="宋体" w:hAnsi="宋体" w:cs="Arial"/>
          <w:i/>
          <w:iCs/>
          <w:color w:val="auto"/>
          <w:sz w:val="28"/>
          <w:szCs w:val="28"/>
          <w:highlight w:val="none"/>
          <w:u w:val="single"/>
        </w:rPr>
        <w:t>第二十二条</w:t>
      </w:r>
      <w:r>
        <w:rPr>
          <w:rFonts w:hint="eastAsia" w:ascii="宋体" w:hAnsi="宋体" w:cs="Arial"/>
          <w:i/>
          <w:iCs/>
          <w:color w:val="auto"/>
          <w:sz w:val="28"/>
          <w:szCs w:val="28"/>
          <w:highlight w:val="none"/>
          <w:u w:val="single"/>
        </w:rPr>
        <w:t>第一款</w:t>
      </w:r>
      <w:r>
        <w:rPr>
          <w:rFonts w:ascii="宋体" w:hAnsi="宋体" w:cs="Arial"/>
          <w:i/>
          <w:iCs/>
          <w:color w:val="auto"/>
          <w:sz w:val="28"/>
          <w:szCs w:val="28"/>
          <w:highlight w:val="none"/>
          <w:u w:val="single"/>
        </w:rPr>
        <w:t>规定</w:t>
      </w:r>
      <w:r>
        <w:rPr>
          <w:rFonts w:hint="eastAsia" w:ascii="宋体" w:hAnsi="宋体" w:cs="Arial"/>
          <w:i/>
          <w:iCs/>
          <w:color w:val="auto"/>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8.本项目拒绝下述供应商参加本次采购活动的情形：</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color w:val="auto"/>
          <w:sz w:val="28"/>
          <w:szCs w:val="28"/>
          <w:highlight w:val="none"/>
        </w:rPr>
      </w:pPr>
      <w:r>
        <w:rPr>
          <w:rFonts w:hint="eastAsia" w:ascii="宋体" w:hAnsi="宋体" w:cs="宋体"/>
          <w:bCs/>
          <w:color w:val="auto"/>
          <w:sz w:val="28"/>
          <w:szCs w:val="28"/>
          <w:highlight w:val="none"/>
        </w:rPr>
        <w:t>（3）供应商被“信用中国”网站（www.creditchina.gov.cn）、“中国政府采</w:t>
      </w:r>
      <w:r>
        <w:rPr>
          <w:rFonts w:hint="eastAsia" w:ascii="宋体" w:hAnsi="宋体" w:cs="宋体"/>
          <w:color w:val="auto"/>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9.本项目不接受联合体投标。</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二、本项目采用资格后审法，唱标后，进行资格审定。</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三、投标人应按附件</w:t>
      </w:r>
      <w:r>
        <w:rPr>
          <w:rFonts w:ascii="宋体" w:hAnsi="宋体" w:cs="宋体"/>
          <w:color w:val="auto"/>
          <w:sz w:val="28"/>
          <w:szCs w:val="28"/>
          <w:highlight w:val="none"/>
        </w:rPr>
        <w:t>2</w:t>
      </w:r>
      <w:r>
        <w:rPr>
          <w:rFonts w:hint="eastAsia" w:ascii="宋体" w:hAnsi="宋体" w:cs="宋体"/>
          <w:color w:val="auto"/>
          <w:sz w:val="28"/>
          <w:szCs w:val="28"/>
          <w:highlight w:val="none"/>
        </w:rPr>
        <w:t>、附件</w:t>
      </w:r>
      <w:r>
        <w:rPr>
          <w:rFonts w:ascii="宋体" w:hAnsi="宋体" w:cs="宋体"/>
          <w:color w:val="auto"/>
          <w:sz w:val="28"/>
          <w:szCs w:val="28"/>
          <w:highlight w:val="none"/>
        </w:rPr>
        <w:t>3</w:t>
      </w:r>
      <w:r>
        <w:rPr>
          <w:rFonts w:hint="eastAsia" w:ascii="宋体" w:hAnsi="宋体" w:cs="宋体"/>
          <w:color w:val="auto"/>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六、本项目预算价为</w:t>
      </w:r>
      <w:r>
        <w:rPr>
          <w:rFonts w:ascii="宋体" w:hAnsi="宋体" w:cs="宋体"/>
          <w:color w:val="auto"/>
          <w:sz w:val="28"/>
          <w:szCs w:val="28"/>
          <w:highlight w:val="none"/>
        </w:rPr>
        <w:t>24</w:t>
      </w:r>
      <w:r>
        <w:rPr>
          <w:rFonts w:hint="eastAsia" w:ascii="宋体" w:hAnsi="宋体" w:cs="宋体"/>
          <w:color w:val="auto"/>
          <w:sz w:val="28"/>
          <w:szCs w:val="28"/>
          <w:highlight w:val="none"/>
        </w:rPr>
        <w:t>万元，本项目只接受人民币报价。</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bookmarkStart w:id="4" w:name="_Hlk9866140"/>
      <w:r>
        <w:rPr>
          <w:rFonts w:hint="eastAsia" w:ascii="黑体" w:hAnsi="黑体" w:eastAsia="黑体" w:cs="宋体"/>
          <w:color w:val="auto"/>
          <w:sz w:val="28"/>
          <w:szCs w:val="28"/>
          <w:highlight w:val="none"/>
        </w:rPr>
        <w:t>三、对投标文件的要求</w:t>
      </w:r>
    </w:p>
    <w:p>
      <w:pPr>
        <w:snapToGrid w:val="0"/>
        <w:spacing w:line="538" w:lineRule="exact"/>
        <w:ind w:firstLine="560" w:firstLineChars="200"/>
        <w:rPr>
          <w:rFonts w:ascii="宋体" w:hAnsi="宋体" w:cs="宋体"/>
          <w:bCs/>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投标人根据招标公告向我校提出报名后，</w:t>
      </w:r>
      <w:r>
        <w:rPr>
          <w:rFonts w:hint="eastAsia" w:ascii="宋体" w:hAnsi="宋体" w:cs="宋体"/>
          <w:bCs/>
          <w:color w:val="auto"/>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color w:val="auto"/>
          <w:sz w:val="28"/>
          <w:szCs w:val="28"/>
          <w:highlight w:val="none"/>
        </w:rPr>
      </w:pPr>
      <w:r>
        <w:rPr>
          <w:rFonts w:hint="eastAsia" w:ascii="宋体" w:hAnsi="宋体" w:cs="宋体"/>
          <w:color w:val="auto"/>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为便于唱标和减少浪费，请将</w:t>
      </w:r>
      <w:r>
        <w:rPr>
          <w:rFonts w:ascii="宋体" w:hAnsi="宋体" w:cs="宋体"/>
          <w:color w:val="auto"/>
          <w:sz w:val="28"/>
          <w:szCs w:val="28"/>
          <w:highlight w:val="none"/>
        </w:rPr>
        <w:t>1</w:t>
      </w:r>
      <w:r>
        <w:rPr>
          <w:rFonts w:hint="eastAsia" w:ascii="宋体" w:hAnsi="宋体" w:cs="宋体"/>
          <w:color w:val="auto"/>
          <w:sz w:val="28"/>
          <w:szCs w:val="28"/>
          <w:highlight w:val="none"/>
        </w:rPr>
        <w:t>份正本单独封装，另外</w:t>
      </w:r>
      <w:r>
        <w:rPr>
          <w:rFonts w:ascii="宋体" w:hAnsi="宋体" w:cs="宋体"/>
          <w:color w:val="auto"/>
          <w:sz w:val="28"/>
          <w:szCs w:val="28"/>
          <w:highlight w:val="none"/>
        </w:rPr>
        <w:t>4</w:t>
      </w:r>
      <w:r>
        <w:rPr>
          <w:rFonts w:hint="eastAsia" w:ascii="宋体" w:hAnsi="宋体" w:cs="宋体"/>
          <w:color w:val="auto"/>
          <w:sz w:val="28"/>
          <w:szCs w:val="28"/>
          <w:highlight w:val="none"/>
        </w:rPr>
        <w:t>份副本可叠加封装在一个大的档案袋中（</w:t>
      </w:r>
      <w:r>
        <w:rPr>
          <w:rFonts w:ascii="宋体" w:hAnsi="宋体" w:cs="宋体"/>
          <w:color w:val="auto"/>
          <w:sz w:val="28"/>
          <w:szCs w:val="28"/>
          <w:highlight w:val="none"/>
        </w:rPr>
        <w:t>4</w:t>
      </w:r>
      <w:r>
        <w:rPr>
          <w:rFonts w:hint="eastAsia" w:ascii="宋体" w:hAnsi="宋体" w:cs="宋体"/>
          <w:color w:val="auto"/>
          <w:sz w:val="28"/>
          <w:szCs w:val="28"/>
          <w:highlight w:val="none"/>
        </w:rPr>
        <w:t>份副本无需分别封装在</w:t>
      </w:r>
      <w:r>
        <w:rPr>
          <w:rFonts w:ascii="宋体" w:hAnsi="宋体" w:cs="宋体"/>
          <w:color w:val="auto"/>
          <w:sz w:val="28"/>
          <w:szCs w:val="28"/>
          <w:highlight w:val="none"/>
        </w:rPr>
        <w:t>4</w:t>
      </w:r>
      <w:r>
        <w:rPr>
          <w:rFonts w:hint="eastAsia" w:ascii="宋体" w:hAnsi="宋体" w:cs="宋体"/>
          <w:color w:val="auto"/>
          <w:sz w:val="28"/>
          <w:szCs w:val="28"/>
          <w:highlight w:val="none"/>
        </w:rPr>
        <w:t>个档案袋中，一个大档案袋封装不下的除外）。每家投标人在送交投标文件时，只需交</w:t>
      </w:r>
      <w:r>
        <w:rPr>
          <w:rFonts w:ascii="宋体" w:hAnsi="宋体" w:cs="宋体"/>
          <w:color w:val="auto"/>
          <w:sz w:val="28"/>
          <w:szCs w:val="28"/>
          <w:highlight w:val="none"/>
        </w:rPr>
        <w:t>2</w:t>
      </w:r>
      <w:r>
        <w:rPr>
          <w:rFonts w:hint="eastAsia" w:ascii="宋体" w:hAnsi="宋体" w:cs="宋体"/>
          <w:color w:val="auto"/>
          <w:sz w:val="28"/>
          <w:szCs w:val="28"/>
          <w:highlight w:val="none"/>
        </w:rPr>
        <w:t>个档案袋即可，即</w:t>
      </w:r>
      <w:r>
        <w:rPr>
          <w:rFonts w:ascii="宋体" w:hAnsi="宋体" w:cs="宋体"/>
          <w:color w:val="auto"/>
          <w:sz w:val="28"/>
          <w:szCs w:val="28"/>
          <w:highlight w:val="none"/>
        </w:rPr>
        <w:t>1</w:t>
      </w:r>
      <w:r>
        <w:rPr>
          <w:rFonts w:hint="eastAsia" w:ascii="宋体" w:hAnsi="宋体" w:cs="宋体"/>
          <w:color w:val="auto"/>
          <w:sz w:val="28"/>
          <w:szCs w:val="28"/>
          <w:highlight w:val="none"/>
        </w:rPr>
        <w:t>个正本档案袋，</w:t>
      </w:r>
      <w:r>
        <w:rPr>
          <w:rFonts w:ascii="宋体" w:hAnsi="宋体" w:cs="宋体"/>
          <w:color w:val="auto"/>
          <w:sz w:val="28"/>
          <w:szCs w:val="28"/>
          <w:highlight w:val="none"/>
        </w:rPr>
        <w:t>1</w:t>
      </w:r>
      <w:r>
        <w:rPr>
          <w:rFonts w:hint="eastAsia" w:ascii="宋体" w:hAnsi="宋体" w:cs="宋体"/>
          <w:color w:val="auto"/>
          <w:sz w:val="28"/>
          <w:szCs w:val="28"/>
          <w:highlight w:val="none"/>
        </w:rPr>
        <w:t>个大的副本档案袋。</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投标文件应包含以下内容（所有材料必须加盖投标单位公章）：</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）经投标单位法人或委托代理人代表签字并加盖单位公章的投标函（附件</w:t>
      </w:r>
      <w:r>
        <w:rPr>
          <w:rFonts w:ascii="宋体" w:hAnsi="宋体" w:cs="宋体"/>
          <w:color w:val="auto"/>
          <w:sz w:val="28"/>
          <w:szCs w:val="28"/>
          <w:highlight w:val="none"/>
        </w:rPr>
        <w:t>2</w:t>
      </w:r>
      <w:r>
        <w:rPr>
          <w:rFonts w:hint="eastAsia" w:ascii="宋体" w:hAnsi="宋体" w:cs="宋体"/>
          <w:color w:val="auto"/>
          <w:sz w:val="28"/>
          <w:szCs w:val="28"/>
          <w:highlight w:val="none"/>
        </w:rPr>
        <w:t>格式，为便于唱标，此函件请务必放置在投标文件内页的第一页）；</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）投标价格明细表（附件</w:t>
      </w:r>
      <w:r>
        <w:rPr>
          <w:rFonts w:ascii="宋体" w:hAnsi="宋体" w:cs="宋体"/>
          <w:color w:val="auto"/>
          <w:sz w:val="28"/>
          <w:szCs w:val="28"/>
          <w:highlight w:val="none"/>
        </w:rPr>
        <w:t>3</w:t>
      </w:r>
      <w:r>
        <w:rPr>
          <w:rFonts w:hint="eastAsia" w:ascii="宋体" w:hAnsi="宋体" w:cs="宋体"/>
          <w:color w:val="auto"/>
          <w:sz w:val="28"/>
          <w:szCs w:val="28"/>
          <w:highlight w:val="none"/>
        </w:rPr>
        <w:t>）；</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3</w:t>
      </w:r>
      <w:r>
        <w:rPr>
          <w:rFonts w:hint="eastAsia" w:ascii="宋体" w:hAnsi="宋体" w:cs="宋体"/>
          <w:color w:val="auto"/>
          <w:sz w:val="28"/>
          <w:szCs w:val="28"/>
          <w:highlight w:val="none"/>
        </w:rPr>
        <w:t>）</w:t>
      </w:r>
      <w:r>
        <w:rPr>
          <w:rFonts w:ascii="宋体" w:hAnsi="宋体" w:cs="宋体"/>
          <w:color w:val="auto"/>
          <w:sz w:val="28"/>
          <w:szCs w:val="28"/>
          <w:highlight w:val="none"/>
        </w:rPr>
        <w:t>300</w:t>
      </w:r>
      <w:r>
        <w:rPr>
          <w:rFonts w:hint="eastAsia" w:ascii="宋体" w:hAnsi="宋体" w:cs="宋体"/>
          <w:color w:val="auto"/>
          <w:sz w:val="28"/>
          <w:szCs w:val="28"/>
          <w:highlight w:val="none"/>
        </w:rPr>
        <w:t>元报名资料费银行转账回单（复印件）；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4</w:t>
      </w:r>
      <w:r>
        <w:rPr>
          <w:rFonts w:hint="eastAsia" w:ascii="宋体" w:hAnsi="宋体" w:cs="宋体"/>
          <w:color w:val="auto"/>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5</w:t>
      </w:r>
      <w:r>
        <w:rPr>
          <w:rFonts w:hint="eastAsia" w:ascii="宋体" w:hAnsi="宋体" w:cs="宋体"/>
          <w:color w:val="auto"/>
          <w:sz w:val="28"/>
          <w:szCs w:val="28"/>
          <w:highlight w:val="none"/>
        </w:rPr>
        <w:t>）授权委托书、被委托人身份证复印件；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6</w:t>
      </w:r>
      <w:r>
        <w:rPr>
          <w:rFonts w:hint="eastAsia" w:ascii="宋体" w:hAnsi="宋体" w:cs="宋体"/>
          <w:color w:val="auto"/>
          <w:sz w:val="28"/>
          <w:szCs w:val="28"/>
          <w:highlight w:val="none"/>
        </w:rPr>
        <w:t>）产品（或服务，下同）技术性能参数的详细描述一览表（投标文件在对投标标的物进行技术和商务描述时，必须完全按照招标文件附件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中的章节顺序依次逐条响应，不得颠倒顺序，不得有漏项，不得原封不动地引用招标文件附件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7</w:t>
      </w:r>
      <w:r>
        <w:rPr>
          <w:rFonts w:hint="eastAsia" w:ascii="宋体" w:hAnsi="宋体" w:cs="宋体"/>
          <w:color w:val="auto"/>
          <w:sz w:val="28"/>
          <w:szCs w:val="28"/>
          <w:highlight w:val="none"/>
        </w:rPr>
        <w:t>）产品技术和商务指标偏差表；</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8</w:t>
      </w:r>
      <w:r>
        <w:rPr>
          <w:rFonts w:hint="eastAsia" w:ascii="宋体" w:hAnsi="宋体" w:cs="宋体"/>
          <w:color w:val="auto"/>
          <w:sz w:val="28"/>
          <w:szCs w:val="28"/>
          <w:highlight w:val="none"/>
        </w:rPr>
        <w:t>）产品服务方案；</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9</w:t>
      </w:r>
      <w:r>
        <w:rPr>
          <w:rFonts w:hint="eastAsia" w:ascii="宋体" w:hAnsi="宋体" w:cs="宋体"/>
          <w:color w:val="auto"/>
          <w:sz w:val="28"/>
          <w:szCs w:val="28"/>
          <w:highlight w:val="none"/>
        </w:rPr>
        <w:t>）产品销售授权书或代理证书（如系代理公司的）；</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10)</w:t>
      </w:r>
      <w:r>
        <w:rPr>
          <w:rFonts w:hint="eastAsia" w:ascii="宋体" w:hAnsi="宋体" w:cs="宋体"/>
          <w:color w:val="auto"/>
          <w:sz w:val="28"/>
          <w:szCs w:val="28"/>
          <w:highlight w:val="none"/>
        </w:rPr>
        <w:t xml:space="preserve"> 产品质量、工期、安全、管理及售后服务承诺书；</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11</w:t>
      </w:r>
      <w:r>
        <w:rPr>
          <w:rFonts w:hint="eastAsia" w:ascii="宋体" w:hAnsi="宋体" w:cs="宋体"/>
          <w:color w:val="auto"/>
          <w:sz w:val="28"/>
          <w:szCs w:val="28"/>
          <w:highlight w:val="none"/>
        </w:rPr>
        <w:t>）产品质量检测报告、质保、认证等证书；</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12</w:t>
      </w:r>
      <w:r>
        <w:rPr>
          <w:rFonts w:hint="eastAsia" w:ascii="宋体" w:hAnsi="宋体" w:cs="宋体"/>
          <w:color w:val="auto"/>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13</w:t>
      </w:r>
      <w:r>
        <w:rPr>
          <w:rFonts w:hint="eastAsia" w:ascii="宋体" w:hAnsi="宋体" w:cs="宋体"/>
          <w:color w:val="auto"/>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14</w:t>
      </w:r>
      <w:r>
        <w:rPr>
          <w:rFonts w:hint="eastAsia" w:ascii="宋体" w:hAnsi="宋体" w:cs="宋体"/>
          <w:color w:val="auto"/>
          <w:sz w:val="28"/>
          <w:szCs w:val="28"/>
          <w:highlight w:val="none"/>
        </w:rPr>
        <w:t>）招标文件规定或投标人对照评标办法的得分因素以及附件</w:t>
      </w:r>
      <w:r>
        <w:rPr>
          <w:rFonts w:ascii="宋体" w:hAnsi="宋体" w:cs="宋体"/>
          <w:color w:val="auto"/>
          <w:sz w:val="28"/>
          <w:szCs w:val="28"/>
          <w:highlight w:val="none"/>
        </w:rPr>
        <w:t>1</w:t>
      </w:r>
      <w:r>
        <w:rPr>
          <w:rFonts w:hint="eastAsia" w:ascii="宋体" w:hAnsi="宋体" w:cs="宋体"/>
          <w:color w:val="auto"/>
          <w:sz w:val="28"/>
          <w:szCs w:val="28"/>
          <w:highlight w:val="none"/>
        </w:rPr>
        <w:t>相关要求认为应提交的其他资料和文件。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15</w:t>
      </w:r>
      <w:r>
        <w:rPr>
          <w:rFonts w:hint="eastAsia" w:ascii="宋体" w:hAnsi="宋体" w:cs="宋体"/>
          <w:color w:val="auto"/>
          <w:sz w:val="28"/>
          <w:szCs w:val="28"/>
          <w:highlight w:val="none"/>
        </w:rPr>
        <w:t>）</w:t>
      </w:r>
      <w:r>
        <w:rPr>
          <w:rFonts w:hint="eastAsia"/>
          <w:color w:val="auto"/>
          <w:sz w:val="28"/>
          <w:szCs w:val="28"/>
          <w:highlight w:val="none"/>
        </w:rPr>
        <w:t>投标人必须投本标书所有标段的设备，不允许分标段投标；标书中服务器标段必须满足所有参数要求，其余标段标</w:t>
      </w:r>
      <w:r>
        <w:rPr>
          <w:rFonts w:hint="eastAsia" w:ascii="宋体" w:hAnsi="宋体" w:cs="Arial"/>
          <w:color w:val="auto"/>
          <w:kern w:val="0"/>
          <w:sz w:val="18"/>
          <w:szCs w:val="18"/>
          <w:highlight w:val="none"/>
        </w:rPr>
        <w:t>★</w:t>
      </w:r>
      <w:r>
        <w:rPr>
          <w:rFonts w:hint="eastAsia"/>
          <w:color w:val="auto"/>
          <w:sz w:val="28"/>
          <w:szCs w:val="28"/>
          <w:highlight w:val="none"/>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投标人在投标文件中应承诺对如下内容已完全理解，如不承诺，视为认可：</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）在参与我校相关项目的招投标活动中，遵纪守法，诚信经营，公平竞争；</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3</w:t>
      </w:r>
      <w:r>
        <w:rPr>
          <w:rFonts w:hint="eastAsia" w:ascii="宋体" w:hAnsi="宋体" w:cs="宋体"/>
          <w:color w:val="auto"/>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4</w:t>
      </w:r>
      <w:r>
        <w:rPr>
          <w:rFonts w:hint="eastAsia" w:ascii="宋体" w:hAnsi="宋体" w:cs="宋体"/>
          <w:color w:val="auto"/>
          <w:sz w:val="28"/>
          <w:szCs w:val="28"/>
          <w:highlight w:val="none"/>
        </w:rPr>
        <w:t>）不采取不正当手段诋毁、排挤其他投标人；</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5</w:t>
      </w:r>
      <w:r>
        <w:rPr>
          <w:rFonts w:hint="eastAsia" w:ascii="宋体" w:hAnsi="宋体" w:cs="宋体"/>
          <w:color w:val="auto"/>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6</w:t>
      </w:r>
      <w:r>
        <w:rPr>
          <w:rFonts w:hint="eastAsia" w:ascii="宋体" w:hAnsi="宋体" w:cs="宋体"/>
          <w:color w:val="auto"/>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7</w:t>
      </w:r>
      <w:r>
        <w:rPr>
          <w:rFonts w:hint="eastAsia" w:ascii="宋体" w:hAnsi="宋体" w:cs="宋体"/>
          <w:color w:val="auto"/>
          <w:sz w:val="28"/>
          <w:szCs w:val="28"/>
          <w:highlight w:val="none"/>
        </w:rPr>
        <w:t>）未能中标单位，本校对其原因不作解释；</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8</w:t>
      </w:r>
      <w:r>
        <w:rPr>
          <w:rFonts w:hint="eastAsia" w:ascii="宋体" w:hAnsi="宋体" w:cs="宋体"/>
          <w:color w:val="auto"/>
          <w:sz w:val="28"/>
          <w:szCs w:val="28"/>
          <w:highlight w:val="none"/>
        </w:rPr>
        <w:t>）投标单位对本文件其他内容已充分理解，并承诺一经中标即严格按合同执行，合同附件与合同有同等法律效力。</w:t>
      </w:r>
      <w:bookmarkEnd w:id="4"/>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bookmarkStart w:id="5" w:name="_Hlk9866206"/>
      <w:r>
        <w:rPr>
          <w:rFonts w:hint="eastAsia" w:ascii="黑体" w:hAnsi="黑体" w:eastAsia="黑体" w:cs="宋体"/>
          <w:color w:val="auto"/>
          <w:sz w:val="28"/>
          <w:szCs w:val="28"/>
          <w:highlight w:val="none"/>
        </w:rPr>
        <w:t>四、开标程序</w:t>
      </w:r>
      <w:bookmarkEnd w:id="5"/>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招标文件给出评标办法（见附件</w:t>
      </w:r>
      <w:r>
        <w:rPr>
          <w:rFonts w:ascii="宋体" w:hAnsi="宋体" w:cs="宋体"/>
          <w:color w:val="auto"/>
          <w:sz w:val="28"/>
          <w:szCs w:val="28"/>
          <w:highlight w:val="none"/>
        </w:rPr>
        <w:t>5</w:t>
      </w:r>
      <w:r>
        <w:rPr>
          <w:rFonts w:hint="eastAsia" w:ascii="宋体" w:hAnsi="宋体" w:cs="宋体"/>
          <w:color w:val="auto"/>
          <w:sz w:val="28"/>
          <w:szCs w:val="28"/>
          <w:highlight w:val="none"/>
        </w:rPr>
        <w:t>）</w:t>
      </w:r>
      <w:r>
        <w:rPr>
          <w:rFonts w:ascii="宋体" w:cs="宋体"/>
          <w:color w:val="auto"/>
          <w:sz w:val="28"/>
          <w:szCs w:val="28"/>
          <w:highlight w:val="none"/>
        </w:rPr>
        <w:t>,</w:t>
      </w:r>
      <w:r>
        <w:rPr>
          <w:rFonts w:hint="eastAsia" w:ascii="宋体" w:hAnsi="宋体" w:cs="宋体"/>
          <w:color w:val="auto"/>
          <w:sz w:val="28"/>
          <w:szCs w:val="28"/>
          <w:highlight w:val="none"/>
        </w:rPr>
        <w:t>供投标人和评标专家组参考。</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3.</w:t>
      </w:r>
      <w:r>
        <w:rPr>
          <w:rFonts w:hint="eastAsia" w:ascii="宋体" w:hAnsi="宋体" w:cs="宋体"/>
          <w:color w:val="auto"/>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color w:val="auto"/>
          <w:sz w:val="28"/>
          <w:szCs w:val="28"/>
          <w:highlight w:val="none"/>
        </w:rPr>
      </w:pPr>
      <w:r>
        <w:rPr>
          <w:rFonts w:hint="eastAsia" w:ascii="宋体" w:hAnsi="宋体" w:cs="宋体"/>
          <w:color w:val="auto"/>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7.</w:t>
      </w:r>
      <w:r>
        <w:rPr>
          <w:rFonts w:hint="eastAsia" w:ascii="宋体" w:hAnsi="宋体" w:cs="宋体"/>
          <w:color w:val="auto"/>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五、无效投标</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投标文件出现下列情形的，将作为无效投标文件，不得进入评标：</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投标文件未按照招标文件的要求予以密封的；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3.</w:t>
      </w:r>
      <w:r>
        <w:rPr>
          <w:rFonts w:hint="eastAsia" w:ascii="宋体" w:hAnsi="宋体" w:cs="宋体"/>
          <w:color w:val="auto"/>
          <w:sz w:val="28"/>
          <w:szCs w:val="28"/>
          <w:highlight w:val="none"/>
        </w:rPr>
        <w:t>投标文件少项漏项，或关键内容字迹模糊、无法辨认的；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有</w:t>
      </w:r>
      <w:r>
        <w:rPr>
          <w:rFonts w:ascii="宋体" w:hAnsi="宋体" w:cs="宋体"/>
          <w:color w:val="auto"/>
          <w:sz w:val="28"/>
          <w:szCs w:val="28"/>
          <w:highlight w:val="none"/>
        </w:rPr>
        <w:t>1</w:t>
      </w:r>
      <w:r>
        <w:rPr>
          <w:rFonts w:hint="eastAsia" w:ascii="宋体" w:hAnsi="宋体" w:cs="宋体"/>
          <w:color w:val="auto"/>
          <w:sz w:val="28"/>
          <w:szCs w:val="28"/>
          <w:highlight w:val="none"/>
        </w:rPr>
        <w:t>个核心指标或有</w:t>
      </w:r>
      <w:r>
        <w:rPr>
          <w:rFonts w:ascii="宋体" w:hAnsi="宋体" w:cs="宋体"/>
          <w:color w:val="auto"/>
          <w:sz w:val="28"/>
          <w:szCs w:val="28"/>
          <w:highlight w:val="none"/>
        </w:rPr>
        <w:t>5</w:t>
      </w:r>
      <w:r>
        <w:rPr>
          <w:rFonts w:hint="eastAsia" w:ascii="宋体" w:hAnsi="宋体" w:cs="宋体"/>
          <w:color w:val="auto"/>
          <w:sz w:val="28"/>
          <w:szCs w:val="28"/>
          <w:highlight w:val="none"/>
        </w:rPr>
        <w:t>个及以上非核心指标未能满足的；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技术指标响应内容未按照招标文件附件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中的章节、句段的；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7.</w:t>
      </w:r>
      <w:r>
        <w:rPr>
          <w:rFonts w:hint="eastAsia" w:ascii="宋体" w:hAnsi="宋体" w:cs="宋体"/>
          <w:color w:val="auto"/>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8.</w:t>
      </w:r>
      <w:r>
        <w:rPr>
          <w:rFonts w:hint="eastAsia" w:ascii="宋体" w:hAnsi="宋体" w:cs="宋体"/>
          <w:color w:val="auto"/>
          <w:sz w:val="28"/>
          <w:szCs w:val="28"/>
          <w:highlight w:val="none"/>
        </w:rPr>
        <w:t>报价超过预算金额，或以人民币之外的币种报价的；</w:t>
      </w:r>
    </w:p>
    <w:p>
      <w:pPr>
        <w:spacing w:line="360" w:lineRule="auto"/>
        <w:ind w:firstLine="548" w:firstLineChars="196"/>
        <w:rPr>
          <w:rFonts w:ascii="宋体" w:hAnsi="宋体" w:cs="宋体"/>
          <w:b/>
          <w:color w:val="auto"/>
          <w:sz w:val="28"/>
          <w:szCs w:val="28"/>
          <w:highlight w:val="none"/>
        </w:rPr>
      </w:pPr>
      <w:r>
        <w:rPr>
          <w:rFonts w:ascii="宋体" w:hAnsi="宋体" w:cs="宋体"/>
          <w:color w:val="auto"/>
          <w:sz w:val="28"/>
          <w:szCs w:val="28"/>
          <w:highlight w:val="none"/>
        </w:rPr>
        <w:t>9.</w:t>
      </w:r>
      <w:r>
        <w:rPr>
          <w:rFonts w:hint="eastAsia" w:ascii="宋体" w:hAnsi="宋体" w:cs="宋体"/>
          <w:color w:val="auto"/>
          <w:sz w:val="28"/>
          <w:szCs w:val="28"/>
          <w:highlight w:val="none"/>
        </w:rPr>
        <w:t>无</w:t>
      </w:r>
      <w:r>
        <w:rPr>
          <w:rFonts w:ascii="宋体" w:hAnsi="宋体" w:cs="宋体"/>
          <w:color w:val="auto"/>
          <w:sz w:val="28"/>
          <w:szCs w:val="28"/>
          <w:highlight w:val="none"/>
        </w:rPr>
        <w:t>300</w:t>
      </w:r>
      <w:r>
        <w:rPr>
          <w:rFonts w:hint="eastAsia" w:ascii="宋体" w:hAnsi="宋体" w:cs="宋体"/>
          <w:color w:val="auto"/>
          <w:sz w:val="28"/>
          <w:szCs w:val="28"/>
          <w:highlight w:val="none"/>
        </w:rPr>
        <w:t>元报名资料费银行转账回单复印件的，或报名资料费银行转账回单中无</w:t>
      </w:r>
      <w:r>
        <w:rPr>
          <w:rFonts w:hint="eastAsia" w:ascii="宋体" w:hAnsi="宋体" w:cs="宋体"/>
          <w:b/>
          <w:color w:val="auto"/>
          <w:sz w:val="28"/>
          <w:szCs w:val="28"/>
          <w:highlight w:val="none"/>
        </w:rPr>
        <w:t>“JZCG-2022-00094</w:t>
      </w:r>
      <w:r>
        <w:rPr>
          <w:rFonts w:hint="eastAsia" w:ascii="宋体" w:hAnsi="宋体" w:cs="宋体"/>
          <w:b/>
          <w:color w:val="auto"/>
          <w:sz w:val="28"/>
          <w:szCs w:val="28"/>
          <w:highlight w:val="none"/>
          <w:lang w:val="en-US" w:eastAsia="zh-CN"/>
        </w:rPr>
        <w:t>-1a</w:t>
      </w:r>
      <w:r>
        <w:rPr>
          <w:rFonts w:hint="eastAsia" w:ascii="宋体" w:hAnsi="宋体" w:cs="宋体"/>
          <w:b/>
          <w:color w:val="auto"/>
          <w:sz w:val="28"/>
          <w:szCs w:val="28"/>
          <w:highlight w:val="none"/>
        </w:rPr>
        <w:t>资料费”</w:t>
      </w:r>
      <w:r>
        <w:rPr>
          <w:rFonts w:hint="eastAsia" w:ascii="宋体" w:hAnsi="宋体" w:cs="宋体"/>
          <w:color w:val="auto"/>
          <w:sz w:val="28"/>
          <w:szCs w:val="28"/>
          <w:highlight w:val="none"/>
        </w:rPr>
        <w:t>字样的；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10.</w:t>
      </w:r>
      <w:r>
        <w:rPr>
          <w:rFonts w:hint="eastAsia" w:ascii="宋体" w:hAnsi="宋体" w:cs="宋体"/>
          <w:color w:val="auto"/>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六、评标办法</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color w:val="auto"/>
          <w:sz w:val="28"/>
          <w:szCs w:val="28"/>
          <w:highlight w:val="none"/>
        </w:rPr>
        <w:t>5</w:t>
      </w:r>
      <w:r>
        <w:rPr>
          <w:rFonts w:hint="eastAsia" w:ascii="宋体" w:hAnsi="宋体" w:cs="宋体"/>
          <w:color w:val="auto"/>
          <w:sz w:val="28"/>
          <w:szCs w:val="28"/>
          <w:highlight w:val="none"/>
        </w:rPr>
        <w:t>）。</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为保证招标质量，在评标办法中设核心指标。每个分包的核心指标不超过</w:t>
      </w:r>
      <w:r>
        <w:rPr>
          <w:rFonts w:ascii="宋体" w:hAnsi="宋体" w:cs="宋体"/>
          <w:color w:val="auto"/>
          <w:sz w:val="28"/>
          <w:szCs w:val="28"/>
          <w:highlight w:val="none"/>
        </w:rPr>
        <w:t>5</w:t>
      </w:r>
      <w:r>
        <w:rPr>
          <w:rFonts w:hint="eastAsia" w:ascii="宋体" w:hAnsi="宋体" w:cs="宋体"/>
          <w:color w:val="auto"/>
          <w:sz w:val="28"/>
          <w:szCs w:val="28"/>
          <w:highlight w:val="none"/>
        </w:rPr>
        <w:t>个。</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七、合同、履约、验收及结算等事项</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合同：</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）中标公示结束无异议后</w:t>
      </w:r>
      <w:r>
        <w:rPr>
          <w:rFonts w:ascii="宋体" w:hAnsi="宋体" w:cs="宋体"/>
          <w:color w:val="auto"/>
          <w:sz w:val="28"/>
          <w:szCs w:val="28"/>
          <w:highlight w:val="none"/>
        </w:rPr>
        <w:t>5</w:t>
      </w:r>
      <w:r>
        <w:rPr>
          <w:rFonts w:hint="eastAsia" w:ascii="宋体" w:hAnsi="宋体" w:cs="宋体"/>
          <w:color w:val="auto"/>
          <w:sz w:val="28"/>
          <w:szCs w:val="28"/>
          <w:highlight w:val="none"/>
        </w:rPr>
        <w:t>个工作日内，中标单位须及时缴纳中标价的10%作为履约保证金并前来我校领取《中标通知书》（一式二份）。服务完成，验收合格后返还50%履约保证金，另50%履约保证金转为质量保证金。</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）中标单位须在接《中标通知书》起</w:t>
      </w:r>
      <w:r>
        <w:rPr>
          <w:rFonts w:ascii="宋体" w:hAnsi="宋体" w:cs="宋体"/>
          <w:color w:val="auto"/>
          <w:sz w:val="28"/>
          <w:szCs w:val="28"/>
          <w:highlight w:val="none"/>
        </w:rPr>
        <w:t>7</w:t>
      </w:r>
      <w:r>
        <w:rPr>
          <w:rFonts w:hint="eastAsia" w:ascii="宋体" w:hAnsi="宋体" w:cs="宋体"/>
          <w:color w:val="auto"/>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4"/>
        <w:rPr>
          <w:color w:val="auto"/>
          <w:highlight w:val="none"/>
        </w:rPr>
      </w:pPr>
      <w:r>
        <w:rPr>
          <w:rFonts w:hint="eastAsia" w:ascii="宋体" w:hAnsi="宋体" w:cs="宋体"/>
          <w:color w:val="auto"/>
          <w:sz w:val="28"/>
          <w:szCs w:val="28"/>
          <w:highlight w:val="none"/>
        </w:rPr>
        <w:t>（3）附件6合同仅为参考样本，最终以通过我校审核后签署的合同为准。</w:t>
      </w:r>
    </w:p>
    <w:p>
      <w:pPr>
        <w:spacing w:line="360" w:lineRule="auto"/>
        <w:ind w:firstLine="548" w:firstLineChars="196"/>
        <w:rPr>
          <w:rFonts w:ascii="宋体" w:hAns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服务地点：南京信息工程大学校内。</w:t>
      </w:r>
    </w:p>
    <w:p>
      <w:pPr>
        <w:spacing w:line="360" w:lineRule="auto"/>
        <w:ind w:firstLine="548" w:firstLineChars="196"/>
        <w:rPr>
          <w:rFonts w:ascii="宋体" w:hAnsi="宋体" w:cs="宋体"/>
          <w:color w:val="auto"/>
          <w:sz w:val="28"/>
          <w:szCs w:val="28"/>
          <w:highlight w:val="none"/>
        </w:rPr>
      </w:pPr>
      <w:r>
        <w:rPr>
          <w:rFonts w:ascii="宋体" w:hAnsi="宋体" w:cs="宋体"/>
          <w:color w:val="auto"/>
          <w:sz w:val="28"/>
          <w:szCs w:val="28"/>
          <w:highlight w:val="none"/>
        </w:rPr>
        <w:t>3.</w:t>
      </w:r>
      <w:r>
        <w:rPr>
          <w:rFonts w:hint="eastAsia" w:ascii="宋体" w:hAnsi="宋体" w:cs="宋体"/>
          <w:color w:val="auto"/>
          <w:sz w:val="28"/>
          <w:szCs w:val="28"/>
          <w:highlight w:val="none"/>
        </w:rPr>
        <w:t>付款方式：</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针对国内供应货物，签订合同后，20日内预付合同金额的30%，全部货物交货并最终验收合格后，凭验收凭证和货物验收合格等文件20内支付至合同金额的100%，质保期满后，经有关单位确认无质量问题后，一次性无息付清所有保证金。具体内容以最终签署的合同约定为准。</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针对国外供应货物（进口货物），由外贸公司开具全额发票，外贸合同中采用100%信用证，90%见单即付，10%凭最终用户方签字和盖章的验收报告支付。</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资料费：</w:t>
      </w:r>
      <w:r>
        <w:rPr>
          <w:rFonts w:ascii="宋体" w:hAnsi="宋体" w:cs="宋体"/>
          <w:color w:val="auto"/>
          <w:sz w:val="28"/>
          <w:szCs w:val="28"/>
          <w:highlight w:val="none"/>
        </w:rPr>
        <w:t>300</w:t>
      </w:r>
      <w:r>
        <w:rPr>
          <w:rFonts w:hint="eastAsia" w:ascii="宋体" w:hAnsi="宋体" w:cs="宋体"/>
          <w:color w:val="auto"/>
          <w:sz w:val="28"/>
          <w:szCs w:val="28"/>
          <w:highlight w:val="none"/>
        </w:rPr>
        <w:t>元</w:t>
      </w:r>
      <w:r>
        <w:rPr>
          <w:rFonts w:ascii="宋体" w:hAnsi="宋体" w:cs="宋体"/>
          <w:color w:val="auto"/>
          <w:sz w:val="28"/>
          <w:szCs w:val="28"/>
          <w:highlight w:val="none"/>
        </w:rPr>
        <w:t>/</w:t>
      </w:r>
      <w:r>
        <w:rPr>
          <w:rFonts w:hint="eastAsia" w:ascii="宋体" w:hAnsi="宋体" w:cs="宋体"/>
          <w:color w:val="auto"/>
          <w:sz w:val="28"/>
          <w:szCs w:val="28"/>
          <w:highlight w:val="none"/>
        </w:rPr>
        <w:t>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）我校不接收现金或支付宝等方式交费。各投标人务必通过单位银行基本账户提前将资料费汇至我校以下账号：</w:t>
      </w:r>
      <w:r>
        <w:rPr>
          <w:rFonts w:hint="eastAsia" w:ascii="宋体" w:hAnsi="宋体" w:cs="宋体"/>
          <w:b/>
          <w:bCs/>
          <w:color w:val="auto"/>
          <w:sz w:val="28"/>
          <w:szCs w:val="28"/>
          <w:highlight w:val="none"/>
        </w:rPr>
        <w:t>户名：南京信息工程大学；账号：</w:t>
      </w:r>
      <w:r>
        <w:rPr>
          <w:rFonts w:ascii="宋体" w:hAnsi="宋体" w:cs="宋体"/>
          <w:b/>
          <w:bCs/>
          <w:color w:val="auto"/>
          <w:sz w:val="28"/>
          <w:szCs w:val="28"/>
          <w:highlight w:val="none"/>
        </w:rPr>
        <w:t>10115401040000228</w:t>
      </w:r>
      <w:r>
        <w:rPr>
          <w:rFonts w:hint="eastAsia" w:ascii="宋体" w:hAnsi="宋体" w:cs="宋体"/>
          <w:b/>
          <w:bCs/>
          <w:color w:val="auto"/>
          <w:sz w:val="28"/>
          <w:szCs w:val="28"/>
          <w:highlight w:val="none"/>
        </w:rPr>
        <w:t>；开户银行：中国农业银行南京盘城支行</w:t>
      </w:r>
      <w:r>
        <w:rPr>
          <w:rFonts w:hint="eastAsia" w:ascii="宋体" w:hAnsi="宋体" w:cs="宋体"/>
          <w:color w:val="auto"/>
          <w:sz w:val="28"/>
          <w:szCs w:val="28"/>
          <w:highlight w:val="none"/>
        </w:rPr>
        <w:t>。请各投标人务必在转账留言栏备注填写</w:t>
      </w:r>
      <w:r>
        <w:rPr>
          <w:rFonts w:hint="eastAsia" w:ascii="宋体" w:hAnsi="宋体" w:cs="宋体"/>
          <w:b/>
          <w:color w:val="auto"/>
          <w:sz w:val="28"/>
          <w:szCs w:val="28"/>
          <w:highlight w:val="none"/>
        </w:rPr>
        <w:t>“JZCG-2022-00094</w:t>
      </w:r>
      <w:r>
        <w:rPr>
          <w:rFonts w:hint="eastAsia" w:ascii="宋体" w:hAnsi="宋体" w:cs="宋体"/>
          <w:b/>
          <w:color w:val="auto"/>
          <w:sz w:val="28"/>
          <w:szCs w:val="28"/>
          <w:highlight w:val="none"/>
          <w:lang w:val="en-US" w:eastAsia="zh-CN"/>
        </w:rPr>
        <w:t>-1a</w:t>
      </w:r>
      <w:r>
        <w:rPr>
          <w:rFonts w:hint="eastAsia" w:ascii="宋体" w:hAnsi="宋体" w:cs="宋体"/>
          <w:b/>
          <w:color w:val="auto"/>
          <w:sz w:val="28"/>
          <w:szCs w:val="28"/>
          <w:highlight w:val="none"/>
        </w:rPr>
        <w:t>资料费”</w:t>
      </w:r>
      <w:r>
        <w:rPr>
          <w:rFonts w:hint="eastAsia" w:ascii="宋体" w:hAnsi="宋体" w:cs="宋体"/>
          <w:color w:val="auto"/>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w:t>
      </w:r>
      <w:r>
        <w:rPr>
          <w:rFonts w:hint="eastAsia" w:ascii="宋体" w:hAnsi="宋体" w:cs="宋体"/>
          <w:b/>
          <w:bCs/>
          <w:color w:val="auto"/>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ind w:firstLine="548"/>
        <w:rPr>
          <w:rFonts w:ascii="宋体" w:hAnsi="宋体" w:cs="宋体"/>
          <w:b w:val="0"/>
          <w:bCs w:val="0"/>
          <w:color w:val="auto"/>
          <w:sz w:val="28"/>
          <w:szCs w:val="28"/>
          <w:highlight w:val="none"/>
        </w:rPr>
      </w:pPr>
      <w:r>
        <w:rPr>
          <w:rFonts w:ascii="宋体" w:hAnsi="宋体" w:cs="宋体"/>
          <w:color w:val="auto"/>
          <w:sz w:val="28"/>
          <w:szCs w:val="28"/>
          <w:highlight w:val="none"/>
        </w:rPr>
        <w:t>5.</w:t>
      </w:r>
      <w:r>
        <w:rPr>
          <w:rFonts w:hint="default" w:ascii="宋体" w:hAnsi="宋体" w:cs="宋体"/>
          <w:color w:val="auto"/>
          <w:sz w:val="28"/>
          <w:szCs w:val="28"/>
          <w:highlight w:val="none"/>
        </w:rPr>
        <w:t>投标保证金：无</w:t>
      </w:r>
    </w:p>
    <w:p>
      <w:pPr>
        <w:spacing w:line="360" w:lineRule="auto"/>
        <w:ind w:firstLine="548" w:firstLineChars="196"/>
        <w:rPr>
          <w:rFonts w:ascii="宋体" w:hAns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履约保证金：中标价10%。</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color w:val="auto"/>
          <w:sz w:val="28"/>
          <w:szCs w:val="28"/>
          <w:highlight w:val="none"/>
        </w:rPr>
        <w:t>300</w:t>
      </w:r>
      <w:r>
        <w:rPr>
          <w:rFonts w:hint="eastAsia" w:ascii="宋体" w:hAnsi="宋体" w:cs="宋体"/>
          <w:color w:val="auto"/>
          <w:sz w:val="28"/>
          <w:szCs w:val="28"/>
          <w:highlight w:val="none"/>
        </w:rPr>
        <w:t>元资料费（</w:t>
      </w:r>
      <w:r>
        <w:rPr>
          <w:rFonts w:hint="eastAsia" w:ascii="宋体" w:hAnsi="宋体" w:cs="宋体"/>
          <w:b/>
          <w:bCs/>
          <w:color w:val="auto"/>
          <w:sz w:val="28"/>
          <w:szCs w:val="28"/>
          <w:highlight w:val="none"/>
        </w:rPr>
        <w:t>户名：南京信息工程大学；账号：</w:t>
      </w:r>
      <w:r>
        <w:rPr>
          <w:rFonts w:ascii="宋体" w:hAnsi="宋体" w:cs="宋体"/>
          <w:b/>
          <w:bCs/>
          <w:color w:val="auto"/>
          <w:sz w:val="28"/>
          <w:szCs w:val="28"/>
          <w:highlight w:val="none"/>
        </w:rPr>
        <w:t>10115401040000228</w:t>
      </w:r>
      <w:r>
        <w:rPr>
          <w:rFonts w:hint="eastAsia" w:ascii="宋体" w:hAnsi="宋体" w:cs="宋体"/>
          <w:b/>
          <w:bCs/>
          <w:color w:val="auto"/>
          <w:sz w:val="28"/>
          <w:szCs w:val="28"/>
          <w:highlight w:val="none"/>
        </w:rPr>
        <w:t>；开户银行：中国农业银行南京盘城支行</w:t>
      </w:r>
      <w:r>
        <w:rPr>
          <w:rFonts w:hint="eastAsia" w:ascii="宋体" w:hAnsi="宋体" w:cs="宋体"/>
          <w:color w:val="auto"/>
          <w:sz w:val="28"/>
          <w:szCs w:val="28"/>
          <w:highlight w:val="none"/>
        </w:rPr>
        <w:t>）。</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3</w:t>
      </w:r>
      <w:r>
        <w:rPr>
          <w:rFonts w:hint="eastAsia" w:ascii="宋体" w:hAnsi="宋体" w:cs="宋体"/>
          <w:color w:val="auto"/>
          <w:sz w:val="28"/>
          <w:szCs w:val="28"/>
          <w:highlight w:val="none"/>
        </w:rPr>
        <w:t>）履约保证金交退咨询：财务处结算中心（体育馆北面，南气宾馆东侧的大学生创业中心</w:t>
      </w:r>
      <w:r>
        <w:rPr>
          <w:rFonts w:ascii="宋体" w:hAnsi="宋体" w:cs="宋体"/>
          <w:color w:val="auto"/>
          <w:sz w:val="28"/>
          <w:szCs w:val="28"/>
          <w:highlight w:val="none"/>
        </w:rPr>
        <w:t>3</w:t>
      </w:r>
      <w:r>
        <w:rPr>
          <w:rFonts w:hint="eastAsia" w:ascii="宋体" w:hAnsi="宋体" w:cs="宋体"/>
          <w:color w:val="auto"/>
          <w:sz w:val="28"/>
          <w:szCs w:val="28"/>
          <w:highlight w:val="none"/>
        </w:rPr>
        <w:t>号楼二楼201）。</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4</w:t>
      </w:r>
      <w:r>
        <w:rPr>
          <w:rFonts w:hint="eastAsia" w:ascii="宋体" w:hAnsi="宋体" w:cs="宋体"/>
          <w:color w:val="auto"/>
          <w:sz w:val="28"/>
          <w:szCs w:val="28"/>
          <w:highlight w:val="none"/>
        </w:rPr>
        <w:t>）如中标单位有下列情况之一，不予退还履约保证金，我校将其列入招投标诚信“黑名单”，</w:t>
      </w:r>
      <w:r>
        <w:rPr>
          <w:rFonts w:ascii="宋体" w:hAnsi="宋体" w:cs="宋体"/>
          <w:color w:val="auto"/>
          <w:sz w:val="28"/>
          <w:szCs w:val="28"/>
          <w:highlight w:val="none"/>
        </w:rPr>
        <w:t>3</w:t>
      </w:r>
      <w:r>
        <w:rPr>
          <w:rFonts w:hint="eastAsia" w:ascii="宋体" w:hAnsi="宋体" w:cs="宋体"/>
          <w:color w:val="auto"/>
          <w:sz w:val="28"/>
          <w:szCs w:val="28"/>
          <w:highlight w:val="none"/>
        </w:rPr>
        <w:t>年内不得到我校从事任何投标活动。</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a.</w:t>
      </w:r>
      <w:r>
        <w:rPr>
          <w:rFonts w:hint="eastAsia" w:ascii="宋体" w:hAnsi="宋体" w:cs="宋体"/>
          <w:color w:val="auto"/>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b.</w:t>
      </w:r>
      <w:r>
        <w:rPr>
          <w:rFonts w:hint="eastAsia" w:ascii="宋体" w:hAnsi="宋体" w:cs="宋体"/>
          <w:color w:val="auto"/>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c.</w:t>
      </w:r>
      <w:r>
        <w:rPr>
          <w:rFonts w:hint="eastAsia" w:ascii="宋体" w:hAnsi="宋体" w:cs="宋体"/>
          <w:color w:val="auto"/>
          <w:sz w:val="28"/>
          <w:szCs w:val="28"/>
          <w:highlight w:val="none"/>
        </w:rPr>
        <w:t>出现其他不予退还履约保证金情形的。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7.</w:t>
      </w:r>
      <w:r>
        <w:rPr>
          <w:rFonts w:hint="eastAsia" w:ascii="宋体" w:hAnsi="宋体" w:cs="宋体"/>
          <w:color w:val="auto"/>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color w:val="auto"/>
          <w:sz w:val="28"/>
          <w:szCs w:val="28"/>
          <w:highlight w:val="none"/>
        </w:rPr>
      </w:pPr>
      <w:r>
        <w:rPr>
          <w:rFonts w:ascii="宋体" w:hAnsi="宋体" w:cs="宋体"/>
          <w:color w:val="auto"/>
          <w:sz w:val="28"/>
          <w:szCs w:val="28"/>
          <w:highlight w:val="none"/>
        </w:rPr>
        <w:t>8.</w:t>
      </w:r>
      <w:r>
        <w:rPr>
          <w:rFonts w:hint="eastAsia" w:ascii="宋体" w:hAnsi="宋体" w:cs="宋体"/>
          <w:color w:val="auto"/>
          <w:sz w:val="28"/>
          <w:szCs w:val="28"/>
          <w:highlight w:val="none"/>
        </w:rPr>
        <w:t>质保：参照附件4服务要求</w:t>
      </w:r>
    </w:p>
    <w:p>
      <w:pPr>
        <w:spacing w:before="312" w:beforeLines="100" w:after="312" w:afterLines="100" w:line="360" w:lineRule="auto"/>
        <w:jc w:val="center"/>
        <w:rPr>
          <w:rFonts w:ascii="黑体" w:hAnsi="黑体" w:eastAsia="黑体"/>
          <w:color w:val="auto"/>
          <w:sz w:val="28"/>
          <w:szCs w:val="28"/>
          <w:highlight w:val="none"/>
        </w:rPr>
      </w:pPr>
      <w:bookmarkStart w:id="6" w:name="_Hlk9866833"/>
      <w:r>
        <w:rPr>
          <w:rFonts w:hint="eastAsia" w:ascii="黑体" w:hAnsi="黑体" w:eastAsia="黑体"/>
          <w:color w:val="auto"/>
          <w:sz w:val="28"/>
          <w:szCs w:val="28"/>
          <w:highlight w:val="none"/>
        </w:rPr>
        <w:t>八、日程安排和联系方式</w:t>
      </w:r>
    </w:p>
    <w:p>
      <w:pPr>
        <w:spacing w:line="360" w:lineRule="auto"/>
        <w:ind w:firstLine="560" w:firstLineChars="200"/>
        <w:rPr>
          <w:rFonts w:asci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报名时间：招标信息发布后。</w:t>
      </w:r>
    </w:p>
    <w:p>
      <w:pPr>
        <w:spacing w:line="360" w:lineRule="auto"/>
        <w:ind w:firstLine="560" w:firstLineChars="200"/>
        <w:rPr>
          <w:rFonts w:ascii="宋体" w:cs="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领取招标文件：</w:t>
      </w:r>
      <w:r>
        <w:rPr>
          <w:rFonts w:hint="eastAsia" w:ascii="宋体" w:hAnsi="宋体"/>
          <w:color w:val="auto"/>
          <w:sz w:val="28"/>
          <w:szCs w:val="28"/>
          <w:highlight w:val="none"/>
          <w:u w:val="single"/>
        </w:rPr>
        <w:t>自行下载</w:t>
      </w:r>
      <w:r>
        <w:rPr>
          <w:rFonts w:hint="eastAsia" w:ascii="宋体" w:hAnsi="宋体" w:cs="宋体"/>
          <w:color w:val="auto"/>
          <w:kern w:val="0"/>
          <w:sz w:val="28"/>
          <w:szCs w:val="28"/>
          <w:highlight w:val="none"/>
        </w:rPr>
        <w:t>。</w:t>
      </w:r>
    </w:p>
    <w:p>
      <w:pPr>
        <w:spacing w:line="360" w:lineRule="auto"/>
        <w:ind w:firstLine="560" w:firstLineChars="200"/>
        <w:rPr>
          <w:rFonts w:asci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 xml:space="preserve">答疑时间：          </w:t>
      </w:r>
    </w:p>
    <w:p>
      <w:pPr>
        <w:spacing w:line="360" w:lineRule="auto"/>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1</w:t>
      </w:r>
      <w:r>
        <w:rPr>
          <w:rFonts w:hint="eastAsia" w:ascii="宋体" w:hAnsi="宋体"/>
          <w:color w:val="auto"/>
          <w:sz w:val="28"/>
          <w:szCs w:val="28"/>
          <w:highlight w:val="none"/>
        </w:rPr>
        <w:t>）投标人如有疑问，请在</w:t>
      </w:r>
      <w:r>
        <w:rPr>
          <w:rFonts w:ascii="宋体" w:hAnsi="宋体"/>
          <w:b/>
          <w:color w:val="auto"/>
          <w:sz w:val="28"/>
          <w:szCs w:val="28"/>
          <w:highlight w:val="none"/>
          <w:u w:val="single"/>
        </w:rPr>
        <w:t>202</w:t>
      </w:r>
      <w:r>
        <w:rPr>
          <w:rFonts w:hint="eastAsia" w:ascii="宋体" w:hAnsi="宋体"/>
          <w:b/>
          <w:color w:val="auto"/>
          <w:sz w:val="28"/>
          <w:szCs w:val="28"/>
          <w:highlight w:val="none"/>
          <w:u w:val="single"/>
          <w:lang w:val="en-US" w:eastAsia="zh-CN"/>
        </w:rPr>
        <w:t>2</w:t>
      </w:r>
      <w:r>
        <w:rPr>
          <w:rFonts w:hint="eastAsia" w:ascii="宋体" w:hAnsi="宋体"/>
          <w:b/>
          <w:color w:val="auto"/>
          <w:sz w:val="28"/>
          <w:szCs w:val="28"/>
          <w:highlight w:val="none"/>
          <w:u w:val="single"/>
        </w:rPr>
        <w:t>年0</w:t>
      </w:r>
      <w:r>
        <w:rPr>
          <w:rFonts w:hint="eastAsia" w:ascii="宋体" w:hAnsi="宋体"/>
          <w:b/>
          <w:color w:val="auto"/>
          <w:sz w:val="28"/>
          <w:szCs w:val="28"/>
          <w:highlight w:val="none"/>
          <w:u w:val="single"/>
          <w:lang w:val="en-US" w:eastAsia="zh-CN"/>
        </w:rPr>
        <w:t>9</w:t>
      </w:r>
      <w:r>
        <w:rPr>
          <w:rFonts w:hint="eastAsia" w:ascii="宋体" w:hAnsi="宋体"/>
          <w:b/>
          <w:color w:val="auto"/>
          <w:sz w:val="28"/>
          <w:szCs w:val="28"/>
          <w:highlight w:val="none"/>
          <w:u w:val="single"/>
        </w:rPr>
        <w:t>月</w:t>
      </w:r>
      <w:r>
        <w:rPr>
          <w:rFonts w:hint="eastAsia" w:ascii="宋体" w:hAnsi="宋体"/>
          <w:b/>
          <w:color w:val="auto"/>
          <w:sz w:val="28"/>
          <w:szCs w:val="28"/>
          <w:highlight w:val="none"/>
          <w:u w:val="single"/>
          <w:lang w:val="en-US" w:eastAsia="zh-CN"/>
        </w:rPr>
        <w:t>22</w:t>
      </w:r>
      <w:r>
        <w:rPr>
          <w:rFonts w:hint="eastAsia" w:ascii="宋体" w:hAnsi="宋体"/>
          <w:b/>
          <w:color w:val="auto"/>
          <w:sz w:val="28"/>
          <w:szCs w:val="28"/>
          <w:highlight w:val="none"/>
          <w:u w:val="single"/>
        </w:rPr>
        <w:t>日</w:t>
      </w:r>
      <w:r>
        <w:rPr>
          <w:rFonts w:ascii="宋体" w:hAnsi="宋体"/>
          <w:b/>
          <w:color w:val="auto"/>
          <w:sz w:val="28"/>
          <w:szCs w:val="28"/>
          <w:highlight w:val="none"/>
          <w:u w:val="single"/>
        </w:rPr>
        <w:t>11</w:t>
      </w:r>
      <w:r>
        <w:rPr>
          <w:rFonts w:hint="eastAsia" w:ascii="宋体" w:hAnsi="宋体"/>
          <w:b/>
          <w:color w:val="auto"/>
          <w:sz w:val="28"/>
          <w:szCs w:val="28"/>
          <w:highlight w:val="none"/>
          <w:u w:val="single"/>
        </w:rPr>
        <w:t>：</w:t>
      </w:r>
      <w:r>
        <w:rPr>
          <w:rFonts w:ascii="宋体" w:hAnsi="宋体"/>
          <w:b/>
          <w:color w:val="auto"/>
          <w:sz w:val="28"/>
          <w:szCs w:val="28"/>
          <w:highlight w:val="none"/>
          <w:u w:val="single"/>
        </w:rPr>
        <w:t>3</w:t>
      </w:r>
      <w:r>
        <w:rPr>
          <w:color w:val="auto"/>
          <w:highlight w:val="none"/>
        </w:rPr>
        <w:fldChar w:fldCharType="begin"/>
      </w:r>
      <w:r>
        <w:rPr>
          <w:color w:val="auto"/>
          <w:highlight w:val="none"/>
        </w:rPr>
        <w:instrText xml:space="preserve"> HYPERLINK "mailto:30前将问题一律以word格式或txt格式发至89523765@qq.com" </w:instrText>
      </w:r>
      <w:r>
        <w:rPr>
          <w:color w:val="auto"/>
          <w:highlight w:val="none"/>
        </w:rPr>
        <w:fldChar w:fldCharType="separate"/>
      </w:r>
      <w:r>
        <w:rPr>
          <w:rFonts w:ascii="宋体"/>
          <w:b/>
          <w:color w:val="auto"/>
          <w:sz w:val="28"/>
          <w:szCs w:val="28"/>
          <w:highlight w:val="none"/>
          <w:u w:val="single"/>
        </w:rPr>
        <w:t>0</w:t>
      </w:r>
      <w:r>
        <w:rPr>
          <w:rFonts w:hint="eastAsia" w:ascii="宋体" w:hAnsi="宋体"/>
          <w:color w:val="auto"/>
          <w:sz w:val="28"/>
          <w:szCs w:val="28"/>
          <w:highlight w:val="none"/>
        </w:rPr>
        <w:t>前将问题以</w:t>
      </w:r>
      <w:r>
        <w:rPr>
          <w:rFonts w:ascii="宋体" w:hAnsi="宋体"/>
          <w:color w:val="auto"/>
          <w:sz w:val="28"/>
          <w:szCs w:val="28"/>
          <w:highlight w:val="none"/>
        </w:rPr>
        <w:t>word</w:t>
      </w:r>
      <w:r>
        <w:rPr>
          <w:rFonts w:hint="eastAsia" w:ascii="宋体" w:hAnsi="宋体"/>
          <w:color w:val="auto"/>
          <w:sz w:val="28"/>
          <w:szCs w:val="28"/>
          <w:highlight w:val="none"/>
        </w:rPr>
        <w:t>格式或</w:t>
      </w:r>
      <w:r>
        <w:rPr>
          <w:rFonts w:ascii="宋体" w:hAnsi="宋体"/>
          <w:color w:val="auto"/>
          <w:sz w:val="28"/>
          <w:szCs w:val="28"/>
          <w:highlight w:val="none"/>
        </w:rPr>
        <w:t>txt</w:t>
      </w:r>
      <w:r>
        <w:rPr>
          <w:rFonts w:hint="eastAsia" w:ascii="宋体" w:hAnsi="宋体"/>
          <w:color w:val="auto"/>
          <w:sz w:val="28"/>
          <w:szCs w:val="28"/>
          <w:highlight w:val="none"/>
        </w:rPr>
        <w:t>格式发至</w:t>
      </w:r>
      <w:r>
        <w:rPr>
          <w:rFonts w:ascii="宋体" w:hAnsi="宋体"/>
          <w:color w:val="auto"/>
          <w:sz w:val="28"/>
          <w:szCs w:val="28"/>
          <w:highlight w:val="none"/>
        </w:rPr>
        <w:t>2483567991@qq.com</w:t>
      </w:r>
      <w:r>
        <w:rPr>
          <w:rFonts w:ascii="宋体" w:hAnsi="宋体"/>
          <w:color w:val="auto"/>
          <w:sz w:val="28"/>
          <w:szCs w:val="28"/>
          <w:highlight w:val="none"/>
        </w:rPr>
        <w:fldChar w:fldCharType="end"/>
      </w:r>
      <w:r>
        <w:rPr>
          <w:rFonts w:hint="eastAsia" w:ascii="宋体" w:hAnsi="宋体"/>
          <w:color w:val="auto"/>
          <w:sz w:val="28"/>
          <w:szCs w:val="28"/>
          <w:highlight w:val="none"/>
        </w:rPr>
        <w:t>（质疑函请勿以</w:t>
      </w:r>
      <w:r>
        <w:rPr>
          <w:rFonts w:ascii="宋体" w:hAnsi="宋体"/>
          <w:color w:val="auto"/>
          <w:sz w:val="28"/>
          <w:szCs w:val="28"/>
          <w:highlight w:val="none"/>
        </w:rPr>
        <w:t>JPG</w:t>
      </w:r>
      <w:r>
        <w:rPr>
          <w:rFonts w:hint="eastAsia" w:ascii="宋体" w:hAnsi="宋体"/>
          <w:color w:val="auto"/>
          <w:sz w:val="28"/>
          <w:szCs w:val="28"/>
          <w:highlight w:val="none"/>
        </w:rPr>
        <w:t>或</w:t>
      </w:r>
      <w:r>
        <w:rPr>
          <w:rFonts w:ascii="宋体" w:hAnsi="宋体"/>
          <w:color w:val="auto"/>
          <w:sz w:val="28"/>
          <w:szCs w:val="28"/>
          <w:highlight w:val="none"/>
        </w:rPr>
        <w:t>PDF</w:t>
      </w:r>
      <w:r>
        <w:rPr>
          <w:rFonts w:hint="eastAsia" w:ascii="宋体" w:hAnsi="宋体"/>
          <w:color w:val="auto"/>
          <w:sz w:val="28"/>
          <w:szCs w:val="28"/>
          <w:highlight w:val="none"/>
        </w:rPr>
        <w:t>格式，对</w:t>
      </w:r>
      <w:r>
        <w:rPr>
          <w:rFonts w:ascii="宋体" w:hAnsi="宋体"/>
          <w:color w:val="auto"/>
          <w:sz w:val="28"/>
          <w:szCs w:val="28"/>
          <w:highlight w:val="none"/>
        </w:rPr>
        <w:t>JPG</w:t>
      </w:r>
      <w:r>
        <w:rPr>
          <w:rFonts w:hint="eastAsia" w:ascii="宋体" w:hAnsi="宋体"/>
          <w:color w:val="auto"/>
          <w:sz w:val="28"/>
          <w:szCs w:val="28"/>
          <w:highlight w:val="none"/>
        </w:rPr>
        <w:t>和</w:t>
      </w:r>
      <w:r>
        <w:rPr>
          <w:rFonts w:ascii="宋体" w:hAnsi="宋体"/>
          <w:color w:val="auto"/>
          <w:sz w:val="28"/>
          <w:szCs w:val="28"/>
          <w:highlight w:val="none"/>
        </w:rPr>
        <w:t>PDF</w:t>
      </w:r>
      <w:r>
        <w:rPr>
          <w:rFonts w:hint="eastAsia" w:ascii="宋体" w:hAnsi="宋体"/>
          <w:color w:val="auto"/>
          <w:sz w:val="28"/>
          <w:szCs w:val="28"/>
          <w:highlight w:val="none"/>
        </w:rPr>
        <w:t>格式的附件一律删除，不予采纳，敬请谅解）。</w:t>
      </w:r>
    </w:p>
    <w:p>
      <w:pPr>
        <w:spacing w:line="360" w:lineRule="auto"/>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2</w:t>
      </w:r>
      <w:r>
        <w:rPr>
          <w:rFonts w:hint="eastAsia" w:ascii="宋体" w:hAnsi="宋体"/>
          <w:color w:val="auto"/>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color w:val="auto"/>
          <w:sz w:val="28"/>
          <w:szCs w:val="28"/>
          <w:highlight w:val="none"/>
        </w:rPr>
      </w:pPr>
      <w:r>
        <w:rPr>
          <w:rFonts w:hint="eastAsia" w:ascii="宋体" w:hAnsi="宋体"/>
          <w:color w:val="auto"/>
          <w:sz w:val="28"/>
          <w:szCs w:val="28"/>
          <w:highlight w:val="none"/>
        </w:rPr>
        <w:t>4.投标文件</w:t>
      </w:r>
    </w:p>
    <w:p>
      <w:pPr>
        <w:widowControl/>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（1）投标送达方式：</w:t>
      </w:r>
      <w:r>
        <w:rPr>
          <w:rFonts w:hint="eastAsia" w:ascii="宋体" w:hAnsi="宋体"/>
          <w:b/>
          <w:color w:val="auto"/>
          <w:sz w:val="28"/>
          <w:szCs w:val="28"/>
          <w:highlight w:val="none"/>
        </w:rPr>
        <w:t>只接受以邮寄方式送达，并请务必用顺丰快递</w:t>
      </w:r>
      <w:r>
        <w:rPr>
          <w:rFonts w:hint="eastAsia" w:ascii="宋体" w:hAnsi="宋体"/>
          <w:color w:val="auto"/>
          <w:sz w:val="28"/>
          <w:szCs w:val="28"/>
          <w:highlight w:val="none"/>
        </w:rPr>
        <w:t>，邮寄材料务必于投标截止时间前送达我校，请各投标单位自行安排邮寄时间，投标截止时间后，招标人不受理任何投标文件。</w:t>
      </w:r>
      <w:r>
        <w:rPr>
          <w:b/>
          <w:bCs/>
          <w:i/>
          <w:iCs/>
          <w:color w:val="auto"/>
          <w:sz w:val="28"/>
          <w:szCs w:val="28"/>
          <w:highlight w:val="none"/>
          <w:u w:val="single"/>
        </w:rPr>
        <w:t>（注：由于疫情管理，我单位不接收顺丰同城急送，请各投标单位合理安排时间并自行负责）。</w:t>
      </w:r>
      <w:r>
        <w:rPr>
          <w:bCs/>
          <w:color w:val="auto"/>
          <w:sz w:val="28"/>
          <w:szCs w:val="28"/>
          <w:highlight w:val="none"/>
        </w:rPr>
        <w:t>（若后期有调整，会将调整信息发送到各投标单位报名邮箱，请各投标单位在投标前密切关注报名邮箱）</w:t>
      </w:r>
    </w:p>
    <w:p>
      <w:pPr>
        <w:widowControl/>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（2）投标截止时间：202</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10</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09</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：00。</w:t>
      </w:r>
      <w:bookmarkStart w:id="7" w:name="_Hlk32349437"/>
      <w:bookmarkEnd w:id="7"/>
    </w:p>
    <w:p>
      <w:pPr>
        <w:widowControl/>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（3）邮寄送达地点：</w:t>
      </w:r>
      <w:r>
        <w:rPr>
          <w:rFonts w:hint="eastAsia" w:ascii="宋体" w:hAnsi="宋体" w:cs="宋体"/>
          <w:color w:val="auto"/>
          <w:kern w:val="0"/>
          <w:sz w:val="28"/>
          <w:szCs w:val="28"/>
          <w:highlight w:val="none"/>
        </w:rPr>
        <w:t>南京市浦口区宁六路219号</w:t>
      </w:r>
      <w:r>
        <w:rPr>
          <w:rFonts w:ascii="宋体" w:hAnsi="宋体" w:cs="宋体"/>
          <w:color w:val="auto"/>
          <w:kern w:val="0"/>
          <w:sz w:val="28"/>
          <w:szCs w:val="28"/>
          <w:highlight w:val="none"/>
        </w:rPr>
        <w:t>南京信息工程大学</w:t>
      </w:r>
      <w:r>
        <w:rPr>
          <w:rFonts w:hint="eastAsia" w:ascii="宋体" w:hAnsi="宋体"/>
          <w:color w:val="auto"/>
          <w:sz w:val="28"/>
          <w:szCs w:val="28"/>
          <w:highlight w:val="none"/>
        </w:rPr>
        <w:t>东苑大学生创业中心3号楼（体育馆北面三层小楼）210室</w:t>
      </w:r>
      <w:r>
        <w:rPr>
          <w:rFonts w:hint="eastAsia" w:ascii="宋体" w:hAnsi="宋体" w:cs="宋体"/>
          <w:color w:val="auto"/>
          <w:kern w:val="0"/>
          <w:sz w:val="28"/>
          <w:szCs w:val="28"/>
          <w:highlight w:val="none"/>
        </w:rPr>
        <w:t>招标办。联系人：马老师、罗老师、刘老师；联系电话：025-58731441。</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5.开标、唱标和评标</w:t>
      </w:r>
    </w:p>
    <w:p>
      <w:pPr>
        <w:widowControl/>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（1）开标、唱标：202</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10</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09</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：00；(不安排公开开标、唱标，由招标办工作人员在我校纪检监察部门监督见证下进行，开标、唱标工作全程视频监控并录像)。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（2）唱标和开标地点：南京信息工程大学东苑大学生创业中心</w:t>
      </w:r>
      <w:r>
        <w:rPr>
          <w:rFonts w:ascii="宋体" w:hAnsi="宋体"/>
          <w:color w:val="auto"/>
          <w:sz w:val="28"/>
          <w:szCs w:val="28"/>
          <w:highlight w:val="none"/>
        </w:rPr>
        <w:t>3</w:t>
      </w:r>
      <w:r>
        <w:rPr>
          <w:rFonts w:hint="eastAsia" w:ascii="宋体" w:hAnsi="宋体"/>
          <w:color w:val="auto"/>
          <w:sz w:val="28"/>
          <w:szCs w:val="28"/>
          <w:highlight w:val="none"/>
        </w:rPr>
        <w:t>号楼（体育馆北面三层小楼）</w:t>
      </w:r>
      <w:r>
        <w:rPr>
          <w:rFonts w:ascii="宋体" w:hAnsi="宋体"/>
          <w:color w:val="auto"/>
          <w:sz w:val="28"/>
          <w:szCs w:val="28"/>
          <w:highlight w:val="none"/>
        </w:rPr>
        <w:t>210</w:t>
      </w:r>
      <w:r>
        <w:rPr>
          <w:rFonts w:hint="eastAsia" w:ascii="宋体" w:hAnsi="宋体"/>
          <w:color w:val="auto"/>
          <w:sz w:val="28"/>
          <w:szCs w:val="28"/>
          <w:highlight w:val="none"/>
        </w:rPr>
        <w:t>室。</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6.相关单位联系人及电话</w:t>
      </w:r>
    </w:p>
    <w:p>
      <w:pPr>
        <w:snapToGrid w:val="0"/>
        <w:spacing w:line="360" w:lineRule="auto"/>
        <w:ind w:firstLine="425" w:firstLineChars="152"/>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1</w:t>
      </w:r>
      <w:r>
        <w:rPr>
          <w:rFonts w:hint="eastAsia" w:ascii="宋体" w:hAnsi="宋体"/>
          <w:color w:val="auto"/>
          <w:sz w:val="28"/>
          <w:szCs w:val="28"/>
          <w:highlight w:val="none"/>
        </w:rPr>
        <w:t>）招标办：联系电话：</w:t>
      </w:r>
      <w:r>
        <w:rPr>
          <w:rFonts w:ascii="宋体" w:hAnsi="宋体"/>
          <w:color w:val="auto"/>
          <w:sz w:val="28"/>
          <w:szCs w:val="28"/>
          <w:highlight w:val="none"/>
        </w:rPr>
        <w:t>025-58731441</w:t>
      </w:r>
      <w:r>
        <w:rPr>
          <w:rFonts w:hint="eastAsia" w:ascii="宋体" w:hAnsi="宋体"/>
          <w:color w:val="auto"/>
          <w:sz w:val="28"/>
          <w:szCs w:val="28"/>
          <w:highlight w:val="none"/>
        </w:rPr>
        <w:t>，联系人：马老师、罗老师、刘老师；</w:t>
      </w:r>
    </w:p>
    <w:p>
      <w:pPr>
        <w:snapToGrid w:val="0"/>
        <w:spacing w:line="360" w:lineRule="auto"/>
        <w:ind w:firstLine="425" w:firstLineChars="152"/>
        <w:rPr>
          <w:rFonts w:ascii="宋体" w:hAnsi="宋体"/>
          <w:color w:val="auto"/>
          <w:sz w:val="28"/>
          <w:szCs w:val="28"/>
          <w:highlight w:val="none"/>
        </w:rPr>
      </w:pPr>
      <w:r>
        <w:rPr>
          <w:rFonts w:hint="eastAsia" w:ascii="宋体" w:hAnsi="宋体"/>
          <w:color w:val="auto"/>
          <w:sz w:val="28"/>
          <w:szCs w:val="28"/>
          <w:highlight w:val="none"/>
        </w:rPr>
        <w:t>（2）</w:t>
      </w:r>
      <w:bookmarkEnd w:id="6"/>
      <w:r>
        <w:rPr>
          <w:rFonts w:hint="eastAsia" w:ascii="宋体" w:hAnsi="宋体"/>
          <w:color w:val="auto"/>
          <w:sz w:val="28"/>
          <w:szCs w:val="28"/>
          <w:highlight w:val="none"/>
        </w:rPr>
        <w:t>用户单位联系电话：</w:t>
      </w:r>
      <w:r>
        <w:rPr>
          <w:rFonts w:ascii="宋体" w:hAnsi="宋体"/>
          <w:color w:val="auto"/>
          <w:sz w:val="28"/>
          <w:szCs w:val="28"/>
          <w:highlight w:val="none"/>
        </w:rPr>
        <w:t>025-58731513</w:t>
      </w:r>
      <w:r>
        <w:rPr>
          <w:rFonts w:hint="eastAsia" w:ascii="宋体" w:hAnsi="宋体"/>
          <w:color w:val="auto"/>
          <w:sz w:val="28"/>
          <w:szCs w:val="28"/>
          <w:highlight w:val="none"/>
        </w:rPr>
        <w:t>，联系人：祁老师。</w:t>
      </w:r>
    </w:p>
    <w:p>
      <w:pPr>
        <w:pStyle w:val="8"/>
        <w:ind w:left="0" w:leftChars="0" w:right="0" w:rightChars="0"/>
        <w:rPr>
          <w:rFonts w:ascii="宋体" w:hAnsi="宋体"/>
          <w:color w:val="auto"/>
          <w:sz w:val="28"/>
          <w:szCs w:val="28"/>
          <w:highlight w:val="none"/>
        </w:rPr>
      </w:pPr>
    </w:p>
    <w:p>
      <w:pPr>
        <w:tabs>
          <w:tab w:val="left" w:pos="1260"/>
        </w:tabs>
        <w:spacing w:line="360" w:lineRule="auto"/>
        <w:ind w:left="1959" w:leftChars="933" w:firstLine="2530" w:firstLineChars="900"/>
        <w:rPr>
          <w:rFonts w:ascii="宋体"/>
          <w:b/>
          <w:color w:val="auto"/>
          <w:sz w:val="28"/>
          <w:szCs w:val="28"/>
          <w:highlight w:val="none"/>
        </w:rPr>
      </w:pPr>
      <w:bookmarkStart w:id="8" w:name="_Hlk9866962"/>
      <w:r>
        <w:rPr>
          <w:rFonts w:hint="eastAsia" w:ascii="宋体" w:hAnsi="宋体"/>
          <w:b/>
          <w:color w:val="auto"/>
          <w:sz w:val="28"/>
          <w:szCs w:val="28"/>
          <w:highlight w:val="none"/>
        </w:rPr>
        <w:t>南京信息工程大学招标办</w:t>
      </w:r>
    </w:p>
    <w:p>
      <w:pPr>
        <w:pStyle w:val="11"/>
        <w:spacing w:line="360" w:lineRule="auto"/>
        <w:ind w:left="99" w:leftChars="47" w:firstLine="4919" w:firstLineChars="1750"/>
        <w:rPr>
          <w:rStyle w:val="41"/>
          <w:rFonts w:ascii="宋体" w:hAnsi="Times New Roman" w:eastAsia="宋体"/>
          <w:color w:val="auto"/>
          <w:sz w:val="28"/>
          <w:szCs w:val="28"/>
          <w:highlight w:val="none"/>
        </w:rPr>
      </w:pPr>
      <w:r>
        <w:rPr>
          <w:rStyle w:val="41"/>
          <w:rFonts w:ascii="宋体" w:hAnsi="宋体" w:eastAsia="宋体"/>
          <w:color w:val="auto"/>
          <w:sz w:val="28"/>
          <w:szCs w:val="28"/>
          <w:highlight w:val="none"/>
        </w:rPr>
        <w:t>20</w:t>
      </w:r>
      <w:r>
        <w:rPr>
          <w:rStyle w:val="41"/>
          <w:rFonts w:hint="eastAsia" w:ascii="宋体" w:hAnsi="宋体" w:eastAsia="宋体"/>
          <w:color w:val="auto"/>
          <w:sz w:val="28"/>
          <w:szCs w:val="28"/>
          <w:highlight w:val="none"/>
        </w:rPr>
        <w:t>2</w:t>
      </w:r>
      <w:r>
        <w:rPr>
          <w:rStyle w:val="41"/>
          <w:rFonts w:hint="eastAsia" w:ascii="宋体" w:hAnsi="宋体"/>
          <w:color w:val="auto"/>
          <w:sz w:val="28"/>
          <w:szCs w:val="28"/>
          <w:highlight w:val="none"/>
          <w:lang w:val="en-US"/>
        </w:rPr>
        <w:t>2</w:t>
      </w:r>
      <w:r>
        <w:rPr>
          <w:rStyle w:val="41"/>
          <w:rFonts w:hint="eastAsia" w:ascii="宋体" w:hAnsi="宋体" w:eastAsia="宋体"/>
          <w:color w:val="auto"/>
          <w:sz w:val="28"/>
          <w:szCs w:val="28"/>
          <w:highlight w:val="none"/>
        </w:rPr>
        <w:t>年</w:t>
      </w:r>
      <w:r>
        <w:rPr>
          <w:rStyle w:val="41"/>
          <w:rFonts w:hint="eastAsia" w:ascii="宋体" w:hAnsi="宋体"/>
          <w:color w:val="auto"/>
          <w:sz w:val="28"/>
          <w:szCs w:val="28"/>
          <w:highlight w:val="none"/>
        </w:rPr>
        <w:t>0</w:t>
      </w:r>
      <w:r>
        <w:rPr>
          <w:rStyle w:val="41"/>
          <w:rFonts w:hint="eastAsia" w:ascii="宋体" w:hAnsi="宋体"/>
          <w:color w:val="auto"/>
          <w:sz w:val="28"/>
          <w:szCs w:val="28"/>
          <w:highlight w:val="none"/>
          <w:lang w:val="en-US"/>
        </w:rPr>
        <w:t>9</w:t>
      </w:r>
      <w:r>
        <w:rPr>
          <w:rStyle w:val="41"/>
          <w:rFonts w:hint="eastAsia" w:ascii="宋体" w:hAnsi="宋体" w:eastAsia="宋体"/>
          <w:color w:val="auto"/>
          <w:sz w:val="28"/>
          <w:szCs w:val="28"/>
          <w:highlight w:val="none"/>
        </w:rPr>
        <w:t>月</w:t>
      </w:r>
      <w:r>
        <w:rPr>
          <w:rStyle w:val="41"/>
          <w:rFonts w:hint="eastAsia" w:ascii="宋体" w:hAnsi="宋体"/>
          <w:color w:val="auto"/>
          <w:sz w:val="28"/>
          <w:szCs w:val="28"/>
          <w:highlight w:val="none"/>
          <w:lang w:val="en-US"/>
        </w:rPr>
        <w:t>15</w:t>
      </w:r>
      <w:r>
        <w:rPr>
          <w:rStyle w:val="41"/>
          <w:rFonts w:hint="eastAsia" w:ascii="宋体" w:hAnsi="宋体" w:eastAsia="宋体"/>
          <w:color w:val="auto"/>
          <w:sz w:val="28"/>
          <w:szCs w:val="28"/>
          <w:highlight w:val="none"/>
        </w:rPr>
        <w:t>日</w:t>
      </w:r>
      <w:bookmarkEnd w:id="8"/>
    </w:p>
    <w:p>
      <w:pPr>
        <w:pStyle w:val="10"/>
        <w:adjustRightInd w:val="0"/>
        <w:snapToGrid w:val="0"/>
        <w:spacing w:before="120" w:after="120" w:line="360" w:lineRule="auto"/>
        <w:rPr>
          <w:rStyle w:val="41"/>
          <w:rFonts w:ascii="宋体" w:hAnsi="宋体" w:eastAsia="宋体"/>
          <w:b w:val="0"/>
          <w:color w:val="auto"/>
          <w:sz w:val="28"/>
          <w:szCs w:val="28"/>
          <w:highlight w:val="none"/>
        </w:rPr>
      </w:pPr>
      <w:r>
        <w:rPr>
          <w:rStyle w:val="41"/>
          <w:rFonts w:ascii="宋体" w:hAnsi="Times New Roman" w:eastAsia="宋体"/>
          <w:b w:val="0"/>
          <w:color w:val="auto"/>
          <w:sz w:val="28"/>
          <w:szCs w:val="28"/>
          <w:highlight w:val="none"/>
        </w:rPr>
        <w:br w:type="page"/>
      </w:r>
      <w:bookmarkStart w:id="9" w:name="_Toc462564147"/>
      <w:r>
        <w:rPr>
          <w:rFonts w:ascii="Times New Roman" w:hAnsi="Times New Roman"/>
          <w:b/>
          <w:bCs/>
          <w:color w:val="auto"/>
          <w:sz w:val="24"/>
          <w:szCs w:val="24"/>
          <w:highlight w:val="none"/>
        </w:rPr>
        <w:t>附件1：</w:t>
      </w:r>
    </w:p>
    <w:p>
      <w:pPr>
        <w:spacing w:line="360" w:lineRule="auto"/>
        <w:ind w:left="180"/>
        <w:jc w:val="center"/>
        <w:rPr>
          <w:rFonts w:hAnsi="宋体"/>
          <w:b/>
          <w:color w:val="auto"/>
          <w:sz w:val="28"/>
          <w:szCs w:val="28"/>
          <w:highlight w:val="none"/>
        </w:rPr>
      </w:pPr>
      <w:r>
        <w:rPr>
          <w:rFonts w:hint="eastAsia" w:hAnsi="宋体"/>
          <w:b/>
          <w:color w:val="auto"/>
          <w:sz w:val="28"/>
          <w:szCs w:val="28"/>
          <w:highlight w:val="none"/>
        </w:rPr>
        <w:t>招标项目名称、数量、主要技术要求及其他要求</w:t>
      </w:r>
    </w:p>
    <w:p>
      <w:pPr>
        <w:widowControl/>
        <w:jc w:val="left"/>
        <w:rPr>
          <w:rFonts w:hAnsi="宋体"/>
          <w:b/>
          <w:color w:val="auto"/>
          <w:sz w:val="28"/>
          <w:szCs w:val="28"/>
          <w:highlight w:val="none"/>
        </w:rPr>
      </w:pPr>
      <w:r>
        <w:rPr>
          <w:rFonts w:hint="eastAsia" w:hAnsi="宋体"/>
          <w:b/>
          <w:color w:val="auto"/>
          <w:sz w:val="28"/>
          <w:szCs w:val="28"/>
          <w:highlight w:val="none"/>
        </w:rPr>
        <w:t>技术部分：</w:t>
      </w:r>
    </w:p>
    <w:tbl>
      <w:tblPr>
        <w:tblStyle w:val="17"/>
        <w:tblW w:w="10080" w:type="dxa"/>
        <w:tblInd w:w="93" w:type="dxa"/>
        <w:tblLayout w:type="autofit"/>
        <w:tblCellMar>
          <w:top w:w="0" w:type="dxa"/>
          <w:left w:w="108" w:type="dxa"/>
          <w:bottom w:w="0" w:type="dxa"/>
          <w:right w:w="108" w:type="dxa"/>
        </w:tblCellMar>
      </w:tblPr>
      <w:tblGrid>
        <w:gridCol w:w="709"/>
        <w:gridCol w:w="850"/>
        <w:gridCol w:w="7490"/>
        <w:gridCol w:w="1031"/>
      </w:tblGrid>
      <w:tr>
        <w:tblPrEx>
          <w:tblCellMar>
            <w:top w:w="0" w:type="dxa"/>
            <w:left w:w="108" w:type="dxa"/>
            <w:bottom w:w="0" w:type="dxa"/>
            <w:right w:w="108" w:type="dxa"/>
          </w:tblCellMar>
        </w:tblPrEx>
        <w:trPr>
          <w:trHeight w:val="624" w:hRule="atLeast"/>
        </w:trPr>
        <w:tc>
          <w:tcPr>
            <w:tcW w:w="70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序号</w:t>
            </w:r>
          </w:p>
        </w:tc>
        <w:tc>
          <w:tcPr>
            <w:tcW w:w="8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产品名称</w:t>
            </w:r>
          </w:p>
        </w:tc>
        <w:tc>
          <w:tcPr>
            <w:tcW w:w="749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拟采购型号及参数配置</w:t>
            </w:r>
          </w:p>
        </w:tc>
        <w:tc>
          <w:tcPr>
            <w:tcW w:w="103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数量</w:t>
            </w:r>
          </w:p>
        </w:tc>
      </w:tr>
      <w:tr>
        <w:tblPrEx>
          <w:tblCellMar>
            <w:top w:w="0" w:type="dxa"/>
            <w:left w:w="108" w:type="dxa"/>
            <w:bottom w:w="0" w:type="dxa"/>
            <w:right w:w="108" w:type="dxa"/>
          </w:tblCellMar>
        </w:tblPrEx>
        <w:trPr>
          <w:trHeight w:val="624" w:hRule="atLeast"/>
        </w:trPr>
        <w:tc>
          <w:tcPr>
            <w:tcW w:w="70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b/>
                <w:bCs/>
                <w:color w:val="auto"/>
                <w:sz w:val="28"/>
                <w:szCs w:val="28"/>
                <w:highlight w:val="none"/>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b/>
                <w:bCs/>
                <w:color w:val="auto"/>
                <w:sz w:val="28"/>
                <w:szCs w:val="28"/>
                <w:highlight w:val="none"/>
              </w:rPr>
            </w:pPr>
          </w:p>
        </w:tc>
        <w:tc>
          <w:tcPr>
            <w:tcW w:w="74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b/>
                <w:bCs/>
                <w:color w:val="auto"/>
                <w:sz w:val="28"/>
                <w:szCs w:val="28"/>
                <w:highlight w:val="none"/>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b/>
                <w:bCs/>
                <w:color w:val="auto"/>
                <w:sz w:val="28"/>
                <w:szCs w:val="28"/>
                <w:highlight w:val="none"/>
              </w:rPr>
            </w:pPr>
          </w:p>
        </w:tc>
      </w:tr>
      <w:tr>
        <w:tblPrEx>
          <w:tblCellMar>
            <w:top w:w="0" w:type="dxa"/>
            <w:left w:w="108" w:type="dxa"/>
            <w:bottom w:w="0" w:type="dxa"/>
            <w:right w:w="108" w:type="dxa"/>
          </w:tblCellMar>
        </w:tblPrEx>
        <w:trPr>
          <w:trHeight w:val="792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right"/>
              <w:textAlignment w:val="center"/>
              <w:rPr>
                <w:color w:val="auto"/>
                <w:szCs w:val="21"/>
                <w:highlight w:val="none"/>
              </w:rPr>
            </w:pPr>
            <w:r>
              <w:rPr>
                <w:color w:val="auto"/>
                <w:kern w:val="0"/>
                <w:szCs w:val="21"/>
                <w:highlight w:val="none"/>
                <w:lang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集成电路设计软件</w:t>
            </w:r>
          </w:p>
        </w:tc>
        <w:tc>
          <w:tcPr>
            <w:tcW w:w="74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color w:val="auto"/>
                <w:highlight w:val="none"/>
              </w:rPr>
            </w:pPr>
            <w:r>
              <w:rPr>
                <w:rFonts w:hint="eastAsia"/>
                <w:color w:val="auto"/>
                <w:highlight w:val="none"/>
              </w:rPr>
              <w:t>1、▲覆盖整个数字前端，以设计架构为起点，以生成综合的网表为终点。帮助学生掌握基本的RTL编程和仿真，前端设计包括IC系统设计、验证、综合、STA、逻辑等值验证等数字先进流程。</w:t>
            </w:r>
          </w:p>
          <w:p>
            <w:pPr>
              <w:widowControl/>
              <w:jc w:val="left"/>
              <w:textAlignment w:val="center"/>
              <w:rPr>
                <w:color w:val="auto"/>
                <w:highlight w:val="none"/>
              </w:rPr>
            </w:pPr>
            <w:r>
              <w:rPr>
                <w:rFonts w:hint="eastAsia"/>
                <w:color w:val="auto"/>
                <w:highlight w:val="none"/>
              </w:rPr>
              <w:t>2、具备全面的扫描及压缩设计规则检查</w:t>
            </w:r>
          </w:p>
          <w:p>
            <w:pPr>
              <w:widowControl/>
              <w:jc w:val="left"/>
              <w:textAlignment w:val="center"/>
              <w:rPr>
                <w:color w:val="auto"/>
                <w:highlight w:val="none"/>
              </w:rPr>
            </w:pPr>
            <w:r>
              <w:rPr>
                <w:rFonts w:hint="eastAsia"/>
                <w:color w:val="auto"/>
                <w:highlight w:val="none"/>
              </w:rPr>
              <w:t>3、</w:t>
            </w:r>
            <w:r>
              <w:rPr>
                <w:rFonts w:hint="eastAsia"/>
                <w:color w:val="auto"/>
                <w:highlight w:val="none"/>
                <w:lang w:eastAsia="zh-Hans"/>
              </w:rPr>
              <w:t>具备</w:t>
            </w:r>
            <w:r>
              <w:rPr>
                <w:rFonts w:hint="eastAsia"/>
                <w:color w:val="auto"/>
                <w:highlight w:val="none"/>
              </w:rPr>
              <w:t>集成故障模拟器，评定结构测试向量的故障覆盖率</w:t>
            </w:r>
          </w:p>
          <w:p>
            <w:pPr>
              <w:widowControl/>
              <w:jc w:val="left"/>
              <w:textAlignment w:val="center"/>
              <w:rPr>
                <w:color w:val="auto"/>
                <w:highlight w:val="none"/>
              </w:rPr>
            </w:pPr>
            <w:r>
              <w:rPr>
                <w:rFonts w:hint="eastAsia"/>
                <w:color w:val="auto"/>
                <w:highlight w:val="none"/>
              </w:rPr>
              <w:t>4、</w:t>
            </w:r>
            <w:r>
              <w:rPr>
                <w:rFonts w:hint="eastAsia"/>
                <w:color w:val="auto"/>
                <w:highlight w:val="none"/>
                <w:lang w:eastAsia="zh-Hans"/>
              </w:rPr>
              <w:t>具备</w:t>
            </w:r>
            <w:r>
              <w:rPr>
                <w:rFonts w:hint="eastAsia"/>
                <w:color w:val="auto"/>
                <w:highlight w:val="none"/>
              </w:rPr>
              <w:t>自动缺陷隔离进行硅诊断</w:t>
            </w:r>
          </w:p>
          <w:p>
            <w:pPr>
              <w:widowControl/>
              <w:jc w:val="left"/>
              <w:textAlignment w:val="center"/>
              <w:rPr>
                <w:color w:val="auto"/>
                <w:highlight w:val="none"/>
              </w:rPr>
            </w:pPr>
            <w:r>
              <w:rPr>
                <w:rFonts w:hint="eastAsia"/>
                <w:color w:val="auto"/>
                <w:highlight w:val="none"/>
              </w:rPr>
              <w:t>5、</w:t>
            </w:r>
            <w:r>
              <w:rPr>
                <w:rFonts w:hint="eastAsia"/>
                <w:color w:val="auto"/>
                <w:highlight w:val="none"/>
                <w:lang w:eastAsia="zh-Hans"/>
              </w:rPr>
              <w:t>具备</w:t>
            </w:r>
            <w:r>
              <w:rPr>
                <w:rFonts w:hint="eastAsia"/>
                <w:color w:val="auto"/>
                <w:highlight w:val="none"/>
              </w:rPr>
              <w:t>使用形式静态技术来确定某一设计的两个版本之间是否具有等效功能</w:t>
            </w:r>
          </w:p>
          <w:p>
            <w:pPr>
              <w:widowControl/>
              <w:jc w:val="left"/>
              <w:textAlignment w:val="center"/>
              <w:rPr>
                <w:color w:val="auto"/>
                <w:highlight w:val="none"/>
              </w:rPr>
            </w:pPr>
            <w:r>
              <w:rPr>
                <w:rFonts w:hint="eastAsia"/>
                <w:color w:val="auto"/>
                <w:highlight w:val="none"/>
              </w:rPr>
              <w:t>6、具备直观的图形或基于脚本的环境</w:t>
            </w:r>
          </w:p>
          <w:p>
            <w:pPr>
              <w:widowControl/>
              <w:jc w:val="left"/>
              <w:textAlignment w:val="center"/>
              <w:rPr>
                <w:color w:val="auto"/>
                <w:highlight w:val="none"/>
              </w:rPr>
            </w:pPr>
            <w:r>
              <w:rPr>
                <w:rFonts w:hint="eastAsia"/>
                <w:color w:val="auto"/>
                <w:highlight w:val="none"/>
              </w:rPr>
              <w:t>7、具备时序、面积、功耗和测试同时优化</w:t>
            </w:r>
          </w:p>
          <w:p>
            <w:pPr>
              <w:widowControl/>
              <w:jc w:val="left"/>
              <w:textAlignment w:val="center"/>
              <w:rPr>
                <w:color w:val="auto"/>
                <w:highlight w:val="none"/>
              </w:rPr>
            </w:pPr>
            <w:r>
              <w:rPr>
                <w:rFonts w:hint="eastAsia"/>
                <w:color w:val="auto"/>
                <w:highlight w:val="none"/>
              </w:rPr>
              <w:t>8、</w:t>
            </w:r>
            <w:r>
              <w:rPr>
                <w:rFonts w:hint="eastAsia"/>
                <w:color w:val="auto"/>
                <w:highlight w:val="none"/>
                <w:lang w:eastAsia="zh-Hans"/>
              </w:rPr>
              <w:t>具备</w:t>
            </w:r>
            <w:r>
              <w:rPr>
                <w:rFonts w:hint="eastAsia"/>
                <w:color w:val="auto"/>
                <w:highlight w:val="none"/>
              </w:rPr>
              <w:t>建立快速关键路径</w:t>
            </w:r>
            <w:r>
              <w:rPr>
                <w:rFonts w:hint="eastAsia"/>
                <w:color w:val="auto"/>
                <w:highlight w:val="none"/>
                <w:lang w:eastAsia="zh-Hans"/>
              </w:rPr>
              <w:t>，</w:t>
            </w:r>
            <w:r>
              <w:rPr>
                <w:rFonts w:hint="eastAsia"/>
                <w:color w:val="auto"/>
                <w:highlight w:val="none"/>
              </w:rPr>
              <w:t>清除时序瓶颈</w:t>
            </w:r>
            <w:r>
              <w:rPr>
                <w:rFonts w:hint="eastAsia"/>
                <w:color w:val="auto"/>
                <w:highlight w:val="none"/>
                <w:lang w:eastAsia="zh-Hans"/>
              </w:rPr>
              <w:t>的功能</w:t>
            </w:r>
          </w:p>
          <w:p>
            <w:pPr>
              <w:widowControl/>
              <w:jc w:val="left"/>
              <w:textAlignment w:val="center"/>
              <w:rPr>
                <w:color w:val="auto"/>
                <w:highlight w:val="none"/>
                <w:lang w:eastAsia="zh-Hans"/>
              </w:rPr>
            </w:pPr>
            <w:r>
              <w:rPr>
                <w:rFonts w:hint="eastAsia"/>
                <w:color w:val="auto"/>
                <w:highlight w:val="none"/>
              </w:rPr>
              <w:t>9、</w:t>
            </w:r>
            <w:r>
              <w:rPr>
                <w:rFonts w:hint="eastAsia"/>
                <w:color w:val="auto"/>
                <w:highlight w:val="none"/>
                <w:lang w:eastAsia="zh-Hans"/>
              </w:rPr>
              <w:t>具备</w:t>
            </w:r>
            <w:r>
              <w:rPr>
                <w:rFonts w:hint="eastAsia"/>
                <w:color w:val="auto"/>
                <w:highlight w:val="none"/>
              </w:rPr>
              <w:t>集成静态时序分析、测试综合和功耗综合</w:t>
            </w:r>
            <w:r>
              <w:rPr>
                <w:rFonts w:hint="eastAsia"/>
                <w:color w:val="auto"/>
                <w:highlight w:val="none"/>
                <w:lang w:eastAsia="zh-Hans"/>
              </w:rPr>
              <w:t>功能</w:t>
            </w:r>
          </w:p>
          <w:p>
            <w:pPr>
              <w:widowControl/>
              <w:jc w:val="left"/>
              <w:textAlignment w:val="center"/>
              <w:rPr>
                <w:color w:val="auto"/>
                <w:highlight w:val="none"/>
              </w:rPr>
            </w:pPr>
            <w:r>
              <w:rPr>
                <w:rFonts w:hint="eastAsia"/>
                <w:color w:val="auto"/>
                <w:highlight w:val="none"/>
              </w:rPr>
              <w:t>10、</w:t>
            </w:r>
            <w:r>
              <w:rPr>
                <w:rFonts w:hint="eastAsia"/>
                <w:color w:val="auto"/>
                <w:highlight w:val="none"/>
                <w:lang w:eastAsia="zh-Hans"/>
              </w:rPr>
              <w:t>具备</w:t>
            </w:r>
            <w:r>
              <w:rPr>
                <w:rFonts w:hint="eastAsia"/>
                <w:color w:val="auto"/>
                <w:highlight w:val="none"/>
              </w:rPr>
              <w:t>自动实现UPF驱动的低功耗技术</w:t>
            </w:r>
          </w:p>
          <w:p>
            <w:pPr>
              <w:widowControl/>
              <w:jc w:val="left"/>
              <w:textAlignment w:val="center"/>
              <w:rPr>
                <w:color w:val="auto"/>
                <w:highlight w:val="none"/>
              </w:rPr>
            </w:pPr>
            <w:r>
              <w:rPr>
                <w:rFonts w:hint="eastAsia"/>
                <w:color w:val="auto"/>
                <w:highlight w:val="none"/>
              </w:rPr>
              <w:t>11、</w:t>
            </w:r>
            <w:r>
              <w:rPr>
                <w:rFonts w:hint="eastAsia"/>
                <w:color w:val="auto"/>
                <w:highlight w:val="none"/>
                <w:lang w:eastAsia="zh-Hans"/>
              </w:rPr>
              <w:t>具备</w:t>
            </w:r>
            <w:r>
              <w:rPr>
                <w:rFonts w:hint="eastAsia"/>
                <w:color w:val="auto"/>
                <w:highlight w:val="none"/>
              </w:rPr>
              <w:t>时钟门控和低功耗布局，</w:t>
            </w:r>
            <w:r>
              <w:rPr>
                <w:rFonts w:hint="eastAsia"/>
                <w:color w:val="auto"/>
                <w:highlight w:val="none"/>
                <w:lang w:eastAsia="zh-Hans"/>
              </w:rPr>
              <w:t>可</w:t>
            </w:r>
            <w:r>
              <w:rPr>
                <w:rFonts w:hint="eastAsia"/>
                <w:color w:val="auto"/>
                <w:highlight w:val="none"/>
              </w:rPr>
              <w:t>实现低动态功耗</w:t>
            </w:r>
          </w:p>
          <w:p>
            <w:pPr>
              <w:widowControl/>
              <w:jc w:val="left"/>
              <w:textAlignment w:val="center"/>
              <w:rPr>
                <w:color w:val="auto"/>
                <w:highlight w:val="none"/>
              </w:rPr>
            </w:pPr>
            <w:r>
              <w:rPr>
                <w:rFonts w:hint="eastAsia"/>
                <w:color w:val="auto"/>
                <w:highlight w:val="none"/>
              </w:rPr>
              <w:t>12、▲</w:t>
            </w:r>
            <w:r>
              <w:rPr>
                <w:rFonts w:hint="eastAsia"/>
                <w:color w:val="auto"/>
                <w:highlight w:val="none"/>
                <w:lang w:eastAsia="zh-Hans"/>
              </w:rPr>
              <w:t>具备</w:t>
            </w:r>
            <w:r>
              <w:rPr>
                <w:rFonts w:hint="eastAsia"/>
                <w:color w:val="auto"/>
                <w:highlight w:val="none"/>
              </w:rPr>
              <w:t>全功能本征测试平台，</w:t>
            </w:r>
            <w:r>
              <w:rPr>
                <w:rFonts w:hint="eastAsia"/>
                <w:color w:val="auto"/>
                <w:highlight w:val="none"/>
                <w:lang w:eastAsia="zh-Hans"/>
              </w:rPr>
              <w:t>和对</w:t>
            </w:r>
            <w:r>
              <w:rPr>
                <w:rFonts w:hint="eastAsia"/>
                <w:color w:val="auto"/>
                <w:highlight w:val="none"/>
              </w:rPr>
              <w:t>SystemVerilog语言的支持</w:t>
            </w:r>
          </w:p>
          <w:p>
            <w:pPr>
              <w:widowControl/>
              <w:jc w:val="left"/>
              <w:textAlignment w:val="center"/>
              <w:rPr>
                <w:color w:val="auto"/>
                <w:highlight w:val="none"/>
              </w:rPr>
            </w:pPr>
            <w:r>
              <w:rPr>
                <w:rFonts w:hint="eastAsia"/>
                <w:color w:val="auto"/>
                <w:highlight w:val="none"/>
              </w:rPr>
              <w:t>13、▲NTB</w:t>
            </w:r>
            <w:r>
              <w:rPr>
                <w:rFonts w:hint="eastAsia"/>
                <w:color w:val="auto"/>
                <w:highlight w:val="none"/>
                <w:lang w:eastAsia="zh-Hans"/>
              </w:rPr>
              <w:t>具备</w:t>
            </w:r>
            <w:r>
              <w:rPr>
                <w:rFonts w:hint="eastAsia"/>
                <w:color w:val="auto"/>
                <w:highlight w:val="none"/>
              </w:rPr>
              <w:t>全功能SystemVerilog 和OpenVera 测试平台的本征编译支持</w:t>
            </w:r>
          </w:p>
          <w:p>
            <w:pPr>
              <w:widowControl/>
              <w:jc w:val="left"/>
              <w:textAlignment w:val="center"/>
              <w:rPr>
                <w:color w:val="auto"/>
                <w:highlight w:val="none"/>
              </w:rPr>
            </w:pPr>
            <w:r>
              <w:rPr>
                <w:rFonts w:hint="eastAsia"/>
                <w:color w:val="auto"/>
                <w:highlight w:val="none"/>
              </w:rPr>
              <w:t>14、</w:t>
            </w:r>
            <w:r>
              <w:rPr>
                <w:rFonts w:hint="eastAsia"/>
                <w:color w:val="auto"/>
                <w:highlight w:val="none"/>
                <w:lang w:eastAsia="zh-Hans"/>
              </w:rPr>
              <w:t>具备</w:t>
            </w:r>
            <w:r>
              <w:rPr>
                <w:rFonts w:hint="eastAsia"/>
                <w:color w:val="auto"/>
                <w:highlight w:val="none"/>
              </w:rPr>
              <w:t>测量验证覆盖率完整性的高性、内置覆盖率技术</w:t>
            </w:r>
          </w:p>
          <w:p>
            <w:pPr>
              <w:widowControl/>
              <w:jc w:val="left"/>
              <w:textAlignment w:val="center"/>
              <w:rPr>
                <w:color w:val="auto"/>
                <w:highlight w:val="none"/>
              </w:rPr>
            </w:pPr>
            <w:r>
              <w:rPr>
                <w:rFonts w:hint="eastAsia"/>
                <w:color w:val="auto"/>
                <w:highlight w:val="none"/>
              </w:rPr>
              <w:t>15、▲</w:t>
            </w:r>
            <w:r>
              <w:rPr>
                <w:rFonts w:hint="eastAsia"/>
                <w:color w:val="auto"/>
                <w:highlight w:val="none"/>
                <w:lang w:eastAsia="zh-Hans"/>
              </w:rPr>
              <w:t>具备</w:t>
            </w:r>
            <w:r>
              <w:rPr>
                <w:rFonts w:hint="eastAsia"/>
                <w:color w:val="auto"/>
                <w:highlight w:val="none"/>
              </w:rPr>
              <w:t>用于设计和验证的SystemVerilog、覆盖率分析、多语言支持VIP 库</w:t>
            </w:r>
          </w:p>
          <w:p>
            <w:pPr>
              <w:widowControl/>
              <w:jc w:val="left"/>
              <w:textAlignment w:val="center"/>
              <w:rPr>
                <w:color w:val="auto"/>
                <w:highlight w:val="none"/>
              </w:rPr>
            </w:pPr>
            <w:r>
              <w:rPr>
                <w:rFonts w:hint="eastAsia"/>
                <w:color w:val="auto"/>
                <w:highlight w:val="none"/>
              </w:rPr>
              <w:t>16、</w:t>
            </w:r>
            <w:r>
              <w:rPr>
                <w:rFonts w:hint="eastAsia"/>
                <w:color w:val="auto"/>
                <w:highlight w:val="none"/>
                <w:lang w:eastAsia="zh-Hans"/>
              </w:rPr>
              <w:t>可</w:t>
            </w:r>
            <w:r>
              <w:rPr>
                <w:rFonts w:hint="eastAsia"/>
                <w:color w:val="auto"/>
                <w:highlight w:val="none"/>
              </w:rPr>
              <w:t>验证具有不同结构的设计的等效性，不依赖于任何同构状态映射关系</w:t>
            </w:r>
          </w:p>
          <w:p>
            <w:pPr>
              <w:widowControl/>
              <w:jc w:val="left"/>
              <w:textAlignment w:val="center"/>
              <w:rPr>
                <w:color w:val="auto"/>
                <w:highlight w:val="none"/>
              </w:rPr>
            </w:pPr>
            <w:r>
              <w:rPr>
                <w:rFonts w:hint="eastAsia"/>
                <w:color w:val="auto"/>
                <w:highlight w:val="none"/>
              </w:rPr>
              <w:t>17、</w:t>
            </w:r>
            <w:r>
              <w:rPr>
                <w:rFonts w:hint="eastAsia"/>
                <w:color w:val="auto"/>
                <w:highlight w:val="none"/>
                <w:lang w:eastAsia="zh-Hans"/>
              </w:rPr>
              <w:t>具备</w:t>
            </w:r>
            <w:r>
              <w:rPr>
                <w:rFonts w:hint="eastAsia"/>
                <w:color w:val="auto"/>
                <w:highlight w:val="none"/>
              </w:rPr>
              <w:t>异步时钟、脉冲逻辑和自定时逻辑</w:t>
            </w:r>
            <w:r>
              <w:rPr>
                <w:rFonts w:hint="eastAsia"/>
                <w:color w:val="auto"/>
                <w:highlight w:val="none"/>
                <w:lang w:eastAsia="zh-Hans"/>
              </w:rPr>
              <w:t>功能</w:t>
            </w:r>
          </w:p>
          <w:p>
            <w:pPr>
              <w:widowControl/>
              <w:jc w:val="left"/>
              <w:textAlignment w:val="center"/>
              <w:rPr>
                <w:color w:val="auto"/>
                <w:highlight w:val="none"/>
              </w:rPr>
            </w:pPr>
            <w:r>
              <w:rPr>
                <w:rFonts w:hint="eastAsia"/>
                <w:color w:val="auto"/>
                <w:highlight w:val="none"/>
              </w:rPr>
              <w:t>18、▲</w:t>
            </w:r>
            <w:r>
              <w:rPr>
                <w:rFonts w:hint="eastAsia"/>
                <w:color w:val="auto"/>
                <w:highlight w:val="none"/>
                <w:lang w:eastAsia="zh-Hans"/>
              </w:rPr>
              <w:t>具备</w:t>
            </w:r>
            <w:r>
              <w:rPr>
                <w:rFonts w:hint="eastAsia"/>
                <w:color w:val="auto"/>
                <w:highlight w:val="none"/>
              </w:rPr>
              <w:t>同时进行时序和SI分析</w:t>
            </w:r>
            <w:r>
              <w:rPr>
                <w:rFonts w:hint="eastAsia"/>
                <w:color w:val="auto"/>
                <w:highlight w:val="none"/>
                <w:lang w:eastAsia="zh-Hans"/>
              </w:rPr>
              <w:t>功能</w:t>
            </w:r>
          </w:p>
          <w:p>
            <w:pPr>
              <w:widowControl/>
              <w:jc w:val="left"/>
              <w:textAlignment w:val="center"/>
              <w:rPr>
                <w:color w:val="auto"/>
                <w:highlight w:val="none"/>
              </w:rPr>
            </w:pPr>
            <w:r>
              <w:rPr>
                <w:rFonts w:hint="eastAsia"/>
                <w:color w:val="auto"/>
                <w:highlight w:val="none"/>
              </w:rPr>
              <w:t>19、</w:t>
            </w:r>
            <w:r>
              <w:rPr>
                <w:rFonts w:hint="eastAsia"/>
                <w:color w:val="auto"/>
                <w:highlight w:val="none"/>
                <w:lang w:eastAsia="zh-Hans"/>
              </w:rPr>
              <w:t>具备</w:t>
            </w:r>
            <w:r>
              <w:rPr>
                <w:rFonts w:hint="eastAsia"/>
                <w:color w:val="auto"/>
                <w:highlight w:val="none"/>
              </w:rPr>
              <w:t>进行时序、信号完整性、功耗和变化感知型分析</w:t>
            </w:r>
            <w:r>
              <w:rPr>
                <w:rFonts w:hint="eastAsia"/>
                <w:color w:val="auto"/>
                <w:highlight w:val="none"/>
                <w:lang w:eastAsia="zh-Hans"/>
              </w:rPr>
              <w:t>功能</w:t>
            </w:r>
          </w:p>
          <w:p>
            <w:pPr>
              <w:widowControl/>
              <w:jc w:val="left"/>
              <w:textAlignment w:val="center"/>
              <w:rPr>
                <w:color w:val="auto"/>
                <w:highlight w:val="none"/>
              </w:rPr>
            </w:pPr>
            <w:r>
              <w:rPr>
                <w:rFonts w:hint="eastAsia"/>
                <w:color w:val="auto"/>
                <w:highlight w:val="none"/>
              </w:rPr>
              <w:t>2</w:t>
            </w:r>
            <w:r>
              <w:rPr>
                <w:color w:val="auto"/>
                <w:highlight w:val="none"/>
              </w:rPr>
              <w:t>0</w:t>
            </w:r>
            <w:r>
              <w:rPr>
                <w:rFonts w:hint="eastAsia"/>
                <w:color w:val="auto"/>
                <w:highlight w:val="none"/>
              </w:rPr>
              <w:t>、▲具</w:t>
            </w:r>
            <w:r>
              <w:rPr>
                <w:rFonts w:hint="eastAsia"/>
                <w:color w:val="auto"/>
                <w:highlight w:val="none"/>
                <w:lang w:eastAsia="zh-Hans"/>
              </w:rPr>
              <w:t>备</w:t>
            </w:r>
            <w:r>
              <w:rPr>
                <w:rFonts w:hint="eastAsia"/>
                <w:color w:val="auto"/>
                <w:highlight w:val="none"/>
              </w:rPr>
              <w:t>功耗分析扩展、无向量分析、NLDM/NLPM或CCS建模</w:t>
            </w:r>
            <w:r>
              <w:rPr>
                <w:rFonts w:hint="eastAsia"/>
                <w:color w:val="auto"/>
                <w:highlight w:val="none"/>
                <w:lang w:eastAsia="zh-Hans"/>
              </w:rPr>
              <w:t>功能</w:t>
            </w:r>
          </w:p>
          <w:p>
            <w:pPr>
              <w:widowControl/>
              <w:jc w:val="left"/>
              <w:textAlignment w:val="center"/>
              <w:rPr>
                <w:color w:val="auto"/>
                <w:highlight w:val="none"/>
              </w:rPr>
            </w:pPr>
            <w:r>
              <w:rPr>
                <w:rFonts w:hint="eastAsia"/>
                <w:color w:val="auto"/>
                <w:highlight w:val="none"/>
              </w:rPr>
              <w:t>2</w:t>
            </w:r>
            <w:r>
              <w:rPr>
                <w:color w:val="auto"/>
                <w:highlight w:val="none"/>
              </w:rPr>
              <w:t>1</w:t>
            </w:r>
            <w:r>
              <w:rPr>
                <w:rFonts w:hint="eastAsia"/>
                <w:color w:val="auto"/>
                <w:highlight w:val="none"/>
              </w:rPr>
              <w:t>、可辨识出为达成完整能见度而必须录制的关键信号组</w:t>
            </w:r>
          </w:p>
          <w:p>
            <w:pPr>
              <w:widowControl/>
              <w:jc w:val="left"/>
              <w:textAlignment w:val="center"/>
              <w:rPr>
                <w:color w:val="auto"/>
                <w:highlight w:val="none"/>
              </w:rPr>
            </w:pPr>
            <w:r>
              <w:rPr>
                <w:rFonts w:hint="eastAsia"/>
                <w:color w:val="auto"/>
                <w:highlight w:val="none"/>
              </w:rPr>
              <w:t>2</w:t>
            </w:r>
            <w:r>
              <w:rPr>
                <w:color w:val="auto"/>
                <w:highlight w:val="none"/>
              </w:rPr>
              <w:t>2</w:t>
            </w:r>
            <w:r>
              <w:rPr>
                <w:rFonts w:hint="eastAsia"/>
                <w:color w:val="auto"/>
                <w:highlight w:val="none"/>
              </w:rPr>
              <w:t>、可根据录制的关键信号组，再依使用者实际需求自动计算出其它未录制的内部信号</w:t>
            </w:r>
          </w:p>
          <w:p>
            <w:pPr>
              <w:widowControl/>
              <w:jc w:val="left"/>
              <w:textAlignment w:val="center"/>
              <w:rPr>
                <w:color w:val="auto"/>
                <w:highlight w:val="none"/>
              </w:rPr>
            </w:pPr>
            <w:r>
              <w:rPr>
                <w:rFonts w:hint="eastAsia"/>
                <w:color w:val="auto"/>
                <w:highlight w:val="none"/>
              </w:rPr>
              <w:t>2</w:t>
            </w:r>
            <w:r>
              <w:rPr>
                <w:color w:val="auto"/>
                <w:highlight w:val="none"/>
              </w:rPr>
              <w:t>3</w:t>
            </w:r>
            <w:r>
              <w:rPr>
                <w:rFonts w:hint="eastAsia"/>
                <w:color w:val="auto"/>
                <w:highlight w:val="none"/>
              </w:rPr>
              <w:t>、</w:t>
            </w:r>
            <w:r>
              <w:rPr>
                <w:rFonts w:hint="eastAsia"/>
                <w:color w:val="auto"/>
                <w:highlight w:val="none"/>
                <w:lang w:eastAsia="zh-Hans"/>
              </w:rPr>
              <w:t>具备可</w:t>
            </w:r>
            <w:r>
              <w:rPr>
                <w:rFonts w:hint="eastAsia"/>
                <w:color w:val="auto"/>
                <w:highlight w:val="none"/>
              </w:rPr>
              <w:t>随时显示和分析活动</w:t>
            </w:r>
            <w:r>
              <w:rPr>
                <w:rFonts w:hint="eastAsia"/>
                <w:color w:val="auto"/>
                <w:highlight w:val="none"/>
                <w:lang w:eastAsia="zh-Hans"/>
              </w:rPr>
              <w:t>的</w:t>
            </w:r>
            <w:r>
              <w:rPr>
                <w:rFonts w:hint="eastAsia"/>
                <w:color w:val="auto"/>
                <w:highlight w:val="none"/>
              </w:rPr>
              <w:t>波型显示器</w:t>
            </w:r>
          </w:p>
          <w:p>
            <w:pPr>
              <w:widowControl/>
              <w:jc w:val="left"/>
              <w:textAlignment w:val="center"/>
              <w:rPr>
                <w:color w:val="auto"/>
                <w:highlight w:val="none"/>
              </w:rPr>
            </w:pPr>
            <w:r>
              <w:rPr>
                <w:rFonts w:hint="eastAsia"/>
                <w:color w:val="auto"/>
                <w:highlight w:val="none"/>
              </w:rPr>
              <w:t>2</w:t>
            </w:r>
            <w:r>
              <w:rPr>
                <w:color w:val="auto"/>
                <w:highlight w:val="none"/>
              </w:rPr>
              <w:t>4</w:t>
            </w:r>
            <w:r>
              <w:rPr>
                <w:rFonts w:hint="eastAsia"/>
                <w:color w:val="auto"/>
                <w:highlight w:val="none"/>
              </w:rPr>
              <w:t>、</w:t>
            </w:r>
            <w:r>
              <w:rPr>
                <w:rFonts w:hint="eastAsia"/>
                <w:color w:val="auto"/>
                <w:highlight w:val="none"/>
                <w:lang w:eastAsia="zh-Hans"/>
              </w:rPr>
              <w:t>具备用</w:t>
            </w:r>
            <w:r>
              <w:rPr>
                <w:rFonts w:hint="eastAsia"/>
                <w:color w:val="auto"/>
                <w:highlight w:val="none"/>
              </w:rPr>
              <w:t>熟悉的符号来追踪电路和连线</w:t>
            </w:r>
            <w:r>
              <w:rPr>
                <w:rFonts w:hint="eastAsia"/>
                <w:color w:val="auto"/>
                <w:highlight w:val="none"/>
                <w:lang w:eastAsia="zh-Hans"/>
              </w:rPr>
              <w:t>的</w:t>
            </w:r>
            <w:r>
              <w:rPr>
                <w:rFonts w:hint="eastAsia"/>
                <w:color w:val="auto"/>
                <w:highlight w:val="none"/>
              </w:rPr>
              <w:t>电路图、区块图</w:t>
            </w:r>
            <w:r>
              <w:rPr>
                <w:rFonts w:hint="eastAsia"/>
                <w:color w:val="auto"/>
                <w:highlight w:val="none"/>
                <w:lang w:eastAsia="zh-Hans"/>
              </w:rPr>
              <w:t>和</w:t>
            </w:r>
            <w:r>
              <w:rPr>
                <w:rFonts w:hint="eastAsia"/>
                <w:color w:val="auto"/>
                <w:highlight w:val="none"/>
              </w:rPr>
              <w:t>局部电路图</w:t>
            </w:r>
          </w:p>
          <w:p>
            <w:pPr>
              <w:widowControl/>
              <w:jc w:val="left"/>
              <w:textAlignment w:val="center"/>
              <w:rPr>
                <w:color w:val="auto"/>
                <w:highlight w:val="none"/>
              </w:rPr>
            </w:pPr>
            <w:r>
              <w:rPr>
                <w:rFonts w:hint="eastAsia"/>
                <w:color w:val="auto"/>
                <w:highlight w:val="none"/>
              </w:rPr>
              <w:t>2</w:t>
            </w:r>
            <w:r>
              <w:rPr>
                <w:color w:val="auto"/>
                <w:highlight w:val="none"/>
              </w:rPr>
              <w:t>5</w:t>
            </w:r>
            <w:r>
              <w:rPr>
                <w:rFonts w:hint="eastAsia"/>
                <w:color w:val="auto"/>
                <w:highlight w:val="none"/>
              </w:rPr>
              <w:t>、</w:t>
            </w:r>
            <w:r>
              <w:rPr>
                <w:rFonts w:hint="eastAsia"/>
                <w:color w:val="auto"/>
                <w:highlight w:val="none"/>
                <w:lang w:eastAsia="zh-Hans"/>
              </w:rPr>
              <w:t>具备</w:t>
            </w:r>
            <w:r>
              <w:rPr>
                <w:rFonts w:hint="eastAsia"/>
                <w:color w:val="auto"/>
                <w:highlight w:val="none"/>
              </w:rPr>
              <w:t>了解有限状态机运作</w:t>
            </w:r>
            <w:r>
              <w:rPr>
                <w:rFonts w:hint="eastAsia"/>
                <w:color w:val="auto"/>
                <w:highlight w:val="none"/>
                <w:lang w:eastAsia="zh-Hans"/>
              </w:rPr>
              <w:t>的</w:t>
            </w:r>
            <w:r>
              <w:rPr>
                <w:rFonts w:hint="eastAsia"/>
                <w:color w:val="auto"/>
                <w:highlight w:val="none"/>
              </w:rPr>
              <w:t>气泡图</w:t>
            </w:r>
          </w:p>
          <w:p>
            <w:pPr>
              <w:widowControl/>
              <w:jc w:val="left"/>
              <w:textAlignment w:val="center"/>
              <w:rPr>
                <w:color w:val="auto"/>
                <w:highlight w:val="none"/>
              </w:rPr>
            </w:pPr>
            <w:r>
              <w:rPr>
                <w:rFonts w:hint="eastAsia"/>
                <w:color w:val="auto"/>
                <w:highlight w:val="none"/>
              </w:rPr>
              <w:t>2</w:t>
            </w:r>
            <w:r>
              <w:rPr>
                <w:color w:val="auto"/>
                <w:highlight w:val="none"/>
              </w:rPr>
              <w:t>6</w:t>
            </w:r>
            <w:r>
              <w:rPr>
                <w:rFonts w:hint="eastAsia"/>
                <w:color w:val="auto"/>
                <w:highlight w:val="none"/>
              </w:rPr>
              <w:t>、具备功耗计划兼容检查</w:t>
            </w:r>
          </w:p>
          <w:p>
            <w:pPr>
              <w:pStyle w:val="9"/>
              <w:ind w:left="0" w:leftChars="0"/>
              <w:rPr>
                <w:color w:val="auto"/>
                <w:highlight w:val="none"/>
              </w:rPr>
            </w:pPr>
            <w:r>
              <w:rPr>
                <w:rFonts w:ascii="宋体" w:hAnsi="宋体" w:cs="宋体"/>
                <w:color w:val="auto"/>
                <w:kern w:val="0"/>
                <w:szCs w:val="21"/>
                <w:highlight w:val="none"/>
                <w:lang w:bidi="ar"/>
              </w:rPr>
              <w:t>27</w:t>
            </w:r>
            <w:r>
              <w:rPr>
                <w:rFonts w:hint="eastAsia" w:ascii="宋体" w:hAnsi="宋体" w:cs="宋体"/>
                <w:color w:val="auto"/>
                <w:kern w:val="0"/>
                <w:szCs w:val="21"/>
                <w:highlight w:val="none"/>
                <w:lang w:eastAsia="zh-Hans" w:bidi="ar"/>
              </w:rPr>
              <w:t>、账号使用年限不低于三年</w:t>
            </w:r>
          </w:p>
        </w:tc>
        <w:tc>
          <w:tcPr>
            <w:tcW w:w="10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right"/>
              <w:textAlignment w:val="center"/>
              <w:rPr>
                <w:color w:val="auto"/>
                <w:szCs w:val="21"/>
                <w:highlight w:val="none"/>
              </w:rPr>
            </w:pPr>
            <w:r>
              <w:rPr>
                <w:color w:val="auto"/>
                <w:kern w:val="0"/>
                <w:szCs w:val="21"/>
                <w:highlight w:val="none"/>
                <w:lang w:bidi="ar"/>
              </w:rPr>
              <w:t>5</w:t>
            </w:r>
            <w:r>
              <w:rPr>
                <w:rFonts w:hint="eastAsia"/>
                <w:color w:val="auto"/>
                <w:kern w:val="0"/>
                <w:szCs w:val="21"/>
                <w:highlight w:val="none"/>
                <w:lang w:eastAsia="zh-Hans" w:bidi="ar"/>
              </w:rPr>
              <w:t>个</w:t>
            </w:r>
          </w:p>
        </w:tc>
      </w:tr>
    </w:tbl>
    <w:p>
      <w:pPr>
        <w:spacing w:line="360" w:lineRule="auto"/>
        <w:ind w:left="180"/>
        <w:rPr>
          <w:rFonts w:hAnsi="宋体"/>
          <w:b/>
          <w:color w:val="auto"/>
          <w:sz w:val="28"/>
          <w:szCs w:val="28"/>
          <w:highlight w:val="none"/>
        </w:rPr>
      </w:pPr>
    </w:p>
    <w:p>
      <w:pPr>
        <w:widowControl/>
        <w:jc w:val="left"/>
        <w:rPr>
          <w:rFonts w:hAnsi="宋体"/>
          <w:b/>
          <w:color w:val="auto"/>
          <w:sz w:val="36"/>
          <w:szCs w:val="36"/>
          <w:highlight w:val="none"/>
        </w:rPr>
      </w:pPr>
      <w:r>
        <w:rPr>
          <w:rFonts w:hint="eastAsia" w:hAnsi="宋体"/>
          <w:b/>
          <w:color w:val="auto"/>
          <w:sz w:val="28"/>
          <w:szCs w:val="28"/>
          <w:highlight w:val="none"/>
        </w:rPr>
        <w:t>附件</w:t>
      </w:r>
      <w:r>
        <w:rPr>
          <w:rFonts w:hAnsi="宋体"/>
          <w:b/>
          <w:color w:val="auto"/>
          <w:sz w:val="28"/>
          <w:szCs w:val="28"/>
          <w:highlight w:val="none"/>
        </w:rPr>
        <w:t>2</w:t>
      </w:r>
      <w:r>
        <w:rPr>
          <w:rFonts w:hint="eastAsia" w:hAnsi="宋体"/>
          <w:b/>
          <w:color w:val="auto"/>
          <w:sz w:val="28"/>
          <w:szCs w:val="28"/>
          <w:highlight w:val="none"/>
        </w:rPr>
        <w:t>：</w:t>
      </w:r>
    </w:p>
    <w:p>
      <w:pPr>
        <w:tabs>
          <w:tab w:val="left" w:pos="3270"/>
        </w:tabs>
        <w:autoSpaceDE w:val="0"/>
        <w:autoSpaceDN w:val="0"/>
        <w:adjustRightInd w:val="0"/>
        <w:spacing w:line="360" w:lineRule="exact"/>
        <w:rPr>
          <w:rFonts w:ascii="宋体" w:hAnsi="宋体"/>
          <w:b/>
          <w:color w:val="auto"/>
          <w:sz w:val="24"/>
          <w:highlight w:val="none"/>
          <w:lang w:val="zh-CN"/>
        </w:rPr>
      </w:pPr>
      <w:bookmarkStart w:id="10" w:name="_Hlk9862420"/>
    </w:p>
    <w:p>
      <w:pPr>
        <w:autoSpaceDE w:val="0"/>
        <w:autoSpaceDN w:val="0"/>
        <w:adjustRightInd w:val="0"/>
        <w:spacing w:line="360" w:lineRule="exact"/>
        <w:ind w:firstLine="723" w:firstLineChars="200"/>
        <w:jc w:val="center"/>
        <w:rPr>
          <w:rFonts w:ascii="宋体" w:hAnsi="宋体"/>
          <w:b/>
          <w:color w:val="auto"/>
          <w:sz w:val="36"/>
          <w:szCs w:val="36"/>
          <w:highlight w:val="none"/>
          <w:lang w:val="zh-CN"/>
        </w:rPr>
      </w:pPr>
      <w:r>
        <w:rPr>
          <w:rFonts w:hint="eastAsia" w:ascii="宋体" w:hAnsi="宋体"/>
          <w:b/>
          <w:color w:val="auto"/>
          <w:sz w:val="36"/>
          <w:szCs w:val="36"/>
          <w:highlight w:val="none"/>
          <w:lang w:val="zh-CN"/>
        </w:rPr>
        <w:t>投标函</w:t>
      </w:r>
    </w:p>
    <w:p>
      <w:pPr>
        <w:autoSpaceDE w:val="0"/>
        <w:autoSpaceDN w:val="0"/>
        <w:adjustRightInd w:val="0"/>
        <w:spacing w:line="300" w:lineRule="auto"/>
        <w:rPr>
          <w:rFonts w:ascii="宋体" w:hAnsi="宋体"/>
          <w:color w:val="auto"/>
          <w:sz w:val="24"/>
          <w:highlight w:val="none"/>
          <w:lang w:val="zh-CN"/>
        </w:rPr>
      </w:pPr>
      <w:r>
        <w:rPr>
          <w:rFonts w:hint="eastAsia" w:ascii="宋体" w:hAnsi="宋体"/>
          <w:color w:val="auto"/>
          <w:sz w:val="24"/>
          <w:highlight w:val="none"/>
          <w:lang w:val="zh-CN"/>
        </w:rPr>
        <w:t>致：南京信息工程大学</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根据贵方（项目名称）（项目编号）投标邀请，正式授权下述签字人</w:t>
      </w:r>
      <w:r>
        <w:rPr>
          <w:rFonts w:ascii="宋体" w:hAnsi="宋体"/>
          <w:color w:val="auto"/>
          <w:sz w:val="24"/>
          <w:highlight w:val="none"/>
          <w:lang w:val="zh-CN"/>
        </w:rPr>
        <w:t>(</w:t>
      </w:r>
      <w:r>
        <w:rPr>
          <w:rFonts w:hint="eastAsia" w:ascii="宋体" w:hAnsi="宋体"/>
          <w:color w:val="auto"/>
          <w:sz w:val="24"/>
          <w:highlight w:val="none"/>
          <w:lang w:val="zh-CN"/>
        </w:rPr>
        <w:t>姓名和职务</w:t>
      </w:r>
      <w:r>
        <w:rPr>
          <w:rFonts w:ascii="宋体" w:hAnsi="宋体"/>
          <w:color w:val="auto"/>
          <w:sz w:val="24"/>
          <w:highlight w:val="none"/>
          <w:lang w:val="zh-CN"/>
        </w:rPr>
        <w:t>)</w:t>
      </w:r>
      <w:r>
        <w:rPr>
          <w:rFonts w:hint="eastAsia" w:ascii="宋体" w:hAnsi="宋体"/>
          <w:color w:val="auto"/>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color w:val="auto"/>
          <w:sz w:val="24"/>
          <w:highlight w:val="none"/>
        </w:rPr>
      </w:pPr>
      <w:r>
        <w:rPr>
          <w:rFonts w:ascii="宋体" w:hAnsi="宋体"/>
          <w:color w:val="auto"/>
          <w:sz w:val="24"/>
          <w:highlight w:val="none"/>
          <w:lang w:val="zh-CN"/>
        </w:rPr>
        <w:t>1</w:t>
      </w:r>
      <w:r>
        <w:rPr>
          <w:rFonts w:hint="eastAsia" w:ascii="宋体" w:hAnsi="宋体"/>
          <w:color w:val="auto"/>
          <w:sz w:val="24"/>
          <w:highlight w:val="none"/>
          <w:lang w:val="zh-CN"/>
        </w:rPr>
        <w:t>、</w:t>
      </w:r>
      <w:r>
        <w:rPr>
          <w:rFonts w:hint="eastAsia" w:ascii="宋体" w:hAnsi="宋体"/>
          <w:b/>
          <w:color w:val="auto"/>
          <w:sz w:val="24"/>
          <w:highlight w:val="none"/>
          <w:lang w:val="zh-CN"/>
        </w:rPr>
        <w:t>我们的资格条件完全符合政府采购法和本次招标要求</w:t>
      </w:r>
      <w:r>
        <w:rPr>
          <w:rFonts w:hint="eastAsia" w:ascii="宋体" w:hAnsi="宋体"/>
          <w:color w:val="auto"/>
          <w:sz w:val="24"/>
          <w:highlight w:val="none"/>
          <w:lang w:val="zh-CN"/>
        </w:rPr>
        <w:t>，</w:t>
      </w:r>
      <w:r>
        <w:rPr>
          <w:rFonts w:hint="eastAsia" w:ascii="宋体" w:hAnsi="宋体"/>
          <w:color w:val="auto"/>
          <w:sz w:val="24"/>
          <w:highlight w:val="none"/>
        </w:rPr>
        <w:t>我们</w:t>
      </w:r>
      <w:r>
        <w:rPr>
          <w:rFonts w:hint="eastAsia" w:ascii="宋体" w:hAnsi="宋体"/>
          <w:color w:val="auto"/>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color w:val="auto"/>
          <w:sz w:val="24"/>
          <w:highlight w:val="none"/>
          <w:lang w:val="zh-CN"/>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zh-CN"/>
        </w:rPr>
        <w:t>按招标要求，我们的投标总报价为人民币大写</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小写：</w:t>
      </w:r>
      <w:r>
        <w:rPr>
          <w:rFonts w:hint="eastAsia" w:ascii="宋体" w:hAnsi="宋体"/>
          <w:color w:val="auto"/>
          <w:sz w:val="24"/>
          <w:highlight w:val="none"/>
          <w:u w:val="single"/>
          <w:lang w:val="zh-CN"/>
        </w:rPr>
        <w:t>￥         。</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3、项目负责人</w:t>
      </w:r>
      <w:r>
        <w:rPr>
          <w:rFonts w:ascii="宋体" w:hAnsi="宋体"/>
          <w:color w:val="auto"/>
          <w:sz w:val="24"/>
          <w:highlight w:val="none"/>
          <w:lang w:val="zh-CN"/>
        </w:rPr>
        <w:t>(</w:t>
      </w:r>
      <w:r>
        <w:rPr>
          <w:rFonts w:hint="eastAsia" w:ascii="宋体" w:hAnsi="宋体"/>
          <w:color w:val="auto"/>
          <w:sz w:val="24"/>
          <w:highlight w:val="none"/>
          <w:lang w:val="zh-CN"/>
        </w:rPr>
        <w:t>姓名</w:t>
      </w:r>
      <w:r>
        <w:rPr>
          <w:rFonts w:ascii="宋体" w:hAnsi="宋体"/>
          <w:color w:val="auto"/>
          <w:sz w:val="24"/>
          <w:highlight w:val="none"/>
          <w:lang w:val="zh-CN"/>
        </w:rPr>
        <w:t>)</w:t>
      </w:r>
      <w:r>
        <w:rPr>
          <w:rFonts w:hint="eastAsia" w:ascii="宋体" w:hAnsi="宋体"/>
          <w:color w:val="auto"/>
          <w:sz w:val="24"/>
          <w:highlight w:val="none"/>
          <w:lang w:val="zh-CN"/>
        </w:rPr>
        <w:t>，身份证号。</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4、我们已详细审核全部招标文件及其有效补充文件，我们放弃对招标文件任何误解的权利，提交投标文件后，</w:t>
      </w:r>
      <w:r>
        <w:rPr>
          <w:rFonts w:hint="eastAsia" w:ascii="宋体" w:hAnsi="宋体"/>
          <w:b/>
          <w:color w:val="auto"/>
          <w:sz w:val="24"/>
          <w:highlight w:val="none"/>
          <w:lang w:val="zh-CN"/>
        </w:rPr>
        <w:t>不对招标文件本身提出质疑</w:t>
      </w:r>
      <w:r>
        <w:rPr>
          <w:rFonts w:hint="eastAsia" w:ascii="宋体" w:hAnsi="宋体"/>
          <w:color w:val="auto"/>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6、一旦我方中标，我方将根据招标文件的规定严格履行合同，并保证于承诺的时间完成服务的启动</w:t>
      </w:r>
      <w:r>
        <w:rPr>
          <w:rFonts w:ascii="宋体" w:hAnsi="宋体"/>
          <w:color w:val="auto"/>
          <w:sz w:val="24"/>
          <w:highlight w:val="none"/>
          <w:lang w:val="zh-CN"/>
        </w:rPr>
        <w:t>/</w:t>
      </w:r>
      <w:r>
        <w:rPr>
          <w:rFonts w:hint="eastAsia" w:ascii="宋体" w:hAnsi="宋体"/>
          <w:color w:val="auto"/>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color w:val="auto"/>
          <w:sz w:val="24"/>
          <w:highlight w:val="none"/>
          <w:lang w:val="zh-CN"/>
        </w:rPr>
      </w:pPr>
      <w:r>
        <w:rPr>
          <w:rFonts w:ascii="宋体" w:hAnsi="宋体"/>
          <w:color w:val="auto"/>
          <w:sz w:val="24"/>
          <w:highlight w:val="none"/>
          <w:lang w:val="zh-CN"/>
        </w:rPr>
        <w:t>8</w:t>
      </w:r>
      <w:r>
        <w:rPr>
          <w:rFonts w:hint="eastAsia" w:ascii="宋体" w:hAnsi="宋体"/>
          <w:color w:val="auto"/>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地址：</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电话：</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传真：</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开户银行：</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银行账号：</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投标人法定代表人姓名（签字）：</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投标人名称：（盖章）</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日期：     年   月    日</w:t>
      </w:r>
    </w:p>
    <w:p>
      <w:pPr>
        <w:spacing w:line="360" w:lineRule="auto"/>
        <w:rPr>
          <w:rFonts w:asci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ascii="宋体" w:hAnsi="宋体"/>
          <w:b/>
          <w:color w:val="auto"/>
          <w:sz w:val="28"/>
          <w:szCs w:val="28"/>
          <w:highlight w:val="none"/>
        </w:rPr>
        <w:t>3</w:t>
      </w:r>
      <w:r>
        <w:rPr>
          <w:rFonts w:hint="eastAsia" w:ascii="宋体" w:hAnsi="宋体"/>
          <w:b/>
          <w:color w:val="auto"/>
          <w:sz w:val="28"/>
          <w:szCs w:val="28"/>
          <w:highlight w:val="none"/>
        </w:rPr>
        <w:t>：</w:t>
      </w:r>
    </w:p>
    <w:p>
      <w:pPr>
        <w:spacing w:line="360" w:lineRule="auto"/>
        <w:jc w:val="center"/>
        <w:rPr>
          <w:rFonts w:ascii="宋体"/>
          <w:color w:val="auto"/>
          <w:sz w:val="44"/>
          <w:szCs w:val="44"/>
          <w:highlight w:val="none"/>
        </w:rPr>
      </w:pPr>
      <w:r>
        <w:rPr>
          <w:rFonts w:hint="eastAsia" w:ascii="宋体" w:hAnsi="宋体"/>
          <w:color w:val="auto"/>
          <w:sz w:val="44"/>
          <w:szCs w:val="44"/>
          <w:highlight w:val="none"/>
        </w:rPr>
        <w:t>投标项目报价明细表</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投标人</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招标编号及分包号</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投标报价</w:t>
      </w:r>
    </w:p>
    <w:tbl>
      <w:tblPr>
        <w:tblStyle w:val="1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color w:val="auto"/>
                <w:sz w:val="28"/>
                <w:szCs w:val="28"/>
                <w:highlight w:val="none"/>
              </w:rPr>
            </w:pPr>
            <w:r>
              <w:rPr>
                <w:rFonts w:hint="eastAsia" w:ascii="宋体" w:hAnsi="宋体"/>
                <w:b/>
                <w:color w:val="auto"/>
                <w:sz w:val="28"/>
                <w:szCs w:val="28"/>
                <w:highlight w:val="none"/>
              </w:rPr>
              <w:t>分包号</w:t>
            </w:r>
          </w:p>
        </w:tc>
        <w:tc>
          <w:tcPr>
            <w:tcW w:w="1065" w:type="dxa"/>
            <w:vAlign w:val="center"/>
          </w:tcPr>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品牌</w:t>
            </w:r>
          </w:p>
        </w:tc>
        <w:tc>
          <w:tcPr>
            <w:tcW w:w="1065"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货物</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名称</w:t>
            </w:r>
          </w:p>
        </w:tc>
        <w:tc>
          <w:tcPr>
            <w:tcW w:w="1065"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货物</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描述</w:t>
            </w:r>
          </w:p>
        </w:tc>
        <w:tc>
          <w:tcPr>
            <w:tcW w:w="1065"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计量</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单位</w:t>
            </w:r>
          </w:p>
        </w:tc>
        <w:tc>
          <w:tcPr>
            <w:tcW w:w="1065"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数量</w:t>
            </w:r>
          </w:p>
        </w:tc>
        <w:tc>
          <w:tcPr>
            <w:tcW w:w="1065"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单价</w:t>
            </w:r>
          </w:p>
        </w:tc>
        <w:tc>
          <w:tcPr>
            <w:tcW w:w="1066"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每项</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总价</w:t>
            </w:r>
          </w:p>
        </w:tc>
        <w:tc>
          <w:tcPr>
            <w:tcW w:w="1066" w:type="dxa"/>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质保</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color w:val="auto"/>
                <w:sz w:val="28"/>
                <w:szCs w:val="28"/>
                <w:highlight w:val="none"/>
              </w:rPr>
            </w:pPr>
          </w:p>
        </w:tc>
        <w:tc>
          <w:tcPr>
            <w:tcW w:w="2130" w:type="dxa"/>
            <w:gridSpan w:val="2"/>
            <w:vAlign w:val="center"/>
          </w:tcPr>
          <w:p>
            <w:pPr>
              <w:spacing w:line="360" w:lineRule="auto"/>
              <w:jc w:val="center"/>
              <w:rPr>
                <w:rFonts w:ascii="宋体"/>
                <w:color w:val="auto"/>
                <w:sz w:val="28"/>
                <w:szCs w:val="28"/>
                <w:highlight w:val="none"/>
              </w:rPr>
            </w:pPr>
            <w:r>
              <w:rPr>
                <w:rFonts w:hint="eastAsia" w:ascii="宋体" w:hAnsi="宋体"/>
                <w:color w:val="auto"/>
                <w:sz w:val="28"/>
                <w:szCs w:val="28"/>
                <w:highlight w:val="none"/>
              </w:rPr>
              <w:t>合计总价</w:t>
            </w:r>
          </w:p>
        </w:tc>
        <w:tc>
          <w:tcPr>
            <w:tcW w:w="6392" w:type="dxa"/>
            <w:gridSpan w:val="6"/>
            <w:vAlign w:val="center"/>
          </w:tcPr>
          <w:p>
            <w:pPr>
              <w:spacing w:line="360" w:lineRule="auto"/>
              <w:rPr>
                <w:rFonts w:ascii="宋体"/>
                <w:color w:val="auto"/>
                <w:sz w:val="28"/>
                <w:szCs w:val="28"/>
                <w:highlight w:val="none"/>
                <w:u w:val="single"/>
              </w:rPr>
            </w:pPr>
            <w:r>
              <w:rPr>
                <w:rFonts w:hint="eastAsia" w:ascii="宋体" w:hAnsi="宋体"/>
                <w:color w:val="auto"/>
                <w:sz w:val="28"/>
                <w:szCs w:val="28"/>
                <w:highlight w:val="none"/>
              </w:rPr>
              <w:t>大写：小写：元</w:t>
            </w:r>
          </w:p>
        </w:tc>
      </w:tr>
    </w:tbl>
    <w:p>
      <w:pPr>
        <w:spacing w:line="360" w:lineRule="auto"/>
        <w:rPr>
          <w:rFonts w:ascii="宋体"/>
          <w:color w:val="auto"/>
          <w:sz w:val="28"/>
          <w:szCs w:val="28"/>
          <w:highlight w:val="none"/>
        </w:rPr>
      </w:pPr>
      <w:r>
        <w:rPr>
          <w:rFonts w:hint="eastAsia" w:ascii="宋体" w:hAnsi="宋体"/>
          <w:color w:val="auto"/>
          <w:sz w:val="28"/>
          <w:szCs w:val="28"/>
          <w:highlight w:val="none"/>
        </w:rPr>
        <w:t>（可续页）</w:t>
      </w:r>
    </w:p>
    <w:p>
      <w:pPr>
        <w:spacing w:line="360" w:lineRule="auto"/>
        <w:rPr>
          <w:rFonts w:ascii="宋体"/>
          <w:color w:val="auto"/>
          <w:sz w:val="28"/>
          <w:szCs w:val="28"/>
          <w:highlight w:val="none"/>
        </w:rPr>
      </w:pPr>
    </w:p>
    <w:p>
      <w:pPr>
        <w:spacing w:line="360" w:lineRule="auto"/>
        <w:rPr>
          <w:rFonts w:ascii="宋体"/>
          <w:color w:val="auto"/>
          <w:sz w:val="28"/>
          <w:szCs w:val="28"/>
          <w:highlight w:val="none"/>
          <w:u w:val="single"/>
        </w:rPr>
      </w:pPr>
      <w:r>
        <w:rPr>
          <w:rFonts w:hint="eastAsia" w:ascii="宋体" w:hAnsi="宋体"/>
          <w:color w:val="auto"/>
          <w:sz w:val="28"/>
          <w:szCs w:val="28"/>
          <w:highlight w:val="none"/>
        </w:rPr>
        <w:t>单位盖章：</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授权代表签字：</w:t>
      </w:r>
    </w:p>
    <w:p>
      <w:pPr>
        <w:spacing w:line="360" w:lineRule="auto"/>
        <w:rPr>
          <w:rFonts w:ascii="宋体"/>
          <w:color w:val="auto"/>
          <w:sz w:val="28"/>
          <w:szCs w:val="28"/>
          <w:highlight w:val="none"/>
        </w:rPr>
      </w:pPr>
    </w:p>
    <w:p>
      <w:pPr>
        <w:spacing w:line="360" w:lineRule="auto"/>
        <w:rPr>
          <w:rFonts w:ascii="宋体"/>
          <w:color w:val="auto"/>
          <w:sz w:val="28"/>
          <w:szCs w:val="28"/>
          <w:highlight w:val="none"/>
        </w:rPr>
      </w:pPr>
      <w:r>
        <w:rPr>
          <w:rFonts w:hint="eastAsia" w:ascii="宋体" w:hAnsi="宋体"/>
          <w:color w:val="auto"/>
          <w:sz w:val="28"/>
          <w:szCs w:val="28"/>
          <w:highlight w:val="none"/>
        </w:rPr>
        <w:t>年月日</w:t>
      </w:r>
      <w:bookmarkEnd w:id="9"/>
      <w:bookmarkEnd w:id="10"/>
    </w:p>
    <w:p>
      <w:pPr>
        <w:jc w:val="left"/>
        <w:rPr>
          <w:b/>
          <w:color w:val="auto"/>
          <w:sz w:val="28"/>
          <w:szCs w:val="28"/>
          <w:highlight w:val="none"/>
        </w:rPr>
      </w:pPr>
    </w:p>
    <w:p>
      <w:pPr>
        <w:jc w:val="left"/>
        <w:rPr>
          <w:b/>
          <w:color w:val="auto"/>
          <w:sz w:val="28"/>
          <w:szCs w:val="28"/>
          <w:highlight w:val="none"/>
        </w:rPr>
      </w:pPr>
      <w:r>
        <w:rPr>
          <w:rFonts w:hint="eastAsia"/>
          <w:b/>
          <w:color w:val="auto"/>
          <w:sz w:val="28"/>
          <w:szCs w:val="28"/>
          <w:highlight w:val="none"/>
        </w:rPr>
        <w:t>附件</w:t>
      </w:r>
      <w:r>
        <w:rPr>
          <w:b/>
          <w:color w:val="auto"/>
          <w:sz w:val="28"/>
          <w:szCs w:val="28"/>
          <w:highlight w:val="none"/>
        </w:rPr>
        <w:t>4</w:t>
      </w:r>
      <w:r>
        <w:rPr>
          <w:rFonts w:hint="eastAsia"/>
          <w:b/>
          <w:color w:val="auto"/>
          <w:sz w:val="28"/>
          <w:szCs w:val="28"/>
          <w:highlight w:val="none"/>
        </w:rPr>
        <w:t>：服务要求</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2176"/>
        <w:gridCol w:w="67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03" w:type="dxa"/>
            <w:tcBorders>
              <w:top w:val="single" w:color="auto" w:sz="4" w:space="0"/>
              <w:left w:val="single" w:color="auto" w:sz="4" w:space="0"/>
              <w:bottom w:val="single" w:color="auto" w:sz="4" w:space="0"/>
              <w:right w:val="single" w:color="auto" w:sz="4" w:space="0"/>
            </w:tcBorders>
            <w:vAlign w:val="center"/>
          </w:tcPr>
          <w:p>
            <w:pPr>
              <w:jc w:val="left"/>
              <w:rPr>
                <w:b/>
                <w:color w:val="auto"/>
                <w:sz w:val="28"/>
                <w:szCs w:val="28"/>
                <w:highlight w:val="none"/>
              </w:rPr>
            </w:pPr>
            <w:r>
              <w:rPr>
                <w:rFonts w:hint="eastAsia"/>
                <w:b/>
                <w:color w:val="auto"/>
                <w:sz w:val="28"/>
                <w:szCs w:val="28"/>
                <w:highlight w:val="none"/>
              </w:rPr>
              <w:t>序号</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b/>
                <w:color w:val="auto"/>
                <w:sz w:val="28"/>
                <w:szCs w:val="28"/>
                <w:highlight w:val="none"/>
              </w:rPr>
            </w:pPr>
            <w:r>
              <w:rPr>
                <w:rFonts w:hint="eastAsia"/>
                <w:b/>
                <w:color w:val="auto"/>
                <w:sz w:val="28"/>
                <w:szCs w:val="28"/>
                <w:highlight w:val="none"/>
              </w:rPr>
              <w:t>项目</w:t>
            </w:r>
          </w:p>
        </w:tc>
        <w:tc>
          <w:tcPr>
            <w:tcW w:w="6724" w:type="dxa"/>
            <w:tcBorders>
              <w:top w:val="single" w:color="auto" w:sz="4" w:space="0"/>
              <w:left w:val="single" w:color="auto" w:sz="4" w:space="0"/>
              <w:bottom w:val="single" w:color="auto" w:sz="4" w:space="0"/>
              <w:right w:val="single" w:color="auto" w:sz="4" w:space="0"/>
            </w:tcBorders>
            <w:vAlign w:val="center"/>
          </w:tcPr>
          <w:p>
            <w:pPr>
              <w:jc w:val="left"/>
              <w:rPr>
                <w:b/>
                <w:color w:val="auto"/>
                <w:sz w:val="28"/>
                <w:szCs w:val="28"/>
                <w:highlight w:val="none"/>
              </w:rPr>
            </w:pPr>
            <w:r>
              <w:rPr>
                <w:rFonts w:hint="eastAsia"/>
                <w:b/>
                <w:color w:val="auto"/>
                <w:sz w:val="28"/>
                <w:szCs w:val="28"/>
                <w:highlight w:val="none"/>
              </w:rPr>
              <w:t>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质保期</w:t>
            </w:r>
          </w:p>
        </w:tc>
        <w:tc>
          <w:tcPr>
            <w:tcW w:w="6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一年（自项目验收合格之日起）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2</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安装培训服务要求</w:t>
            </w:r>
          </w:p>
        </w:tc>
        <w:tc>
          <w:tcPr>
            <w:tcW w:w="67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auto"/>
                <w:sz w:val="24"/>
                <w:highlight w:val="none"/>
              </w:rPr>
            </w:pPr>
            <w:r>
              <w:rPr>
                <w:rFonts w:hint="eastAsia" w:ascii="宋体" w:hAnsi="宋体"/>
                <w:color w:val="auto"/>
                <w:sz w:val="24"/>
                <w:highlight w:val="none"/>
              </w:rPr>
              <w:t>由制造商或者中标供应商提供上门安装培训服务，免费对买方使用人员培训，培训内容包括设备的使用操作、维修、保养等，参加人数不限。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3</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项目完成时间</w:t>
            </w:r>
          </w:p>
        </w:tc>
        <w:tc>
          <w:tcPr>
            <w:tcW w:w="6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合同签订后</w:t>
            </w:r>
            <w:r>
              <w:rPr>
                <w:rFonts w:ascii="宋体" w:hAnsi="宋体"/>
                <w:color w:val="auto"/>
                <w:sz w:val="24"/>
                <w:highlight w:val="none"/>
              </w:rPr>
              <w:t>2</w:t>
            </w:r>
            <w:r>
              <w:rPr>
                <w:rFonts w:hint="eastAsia" w:ascii="宋体" w:hAnsi="宋体"/>
                <w:color w:val="auto"/>
                <w:sz w:val="24"/>
                <w:highlight w:val="none"/>
              </w:rPr>
              <w:t>0个工作日内送货安装完成。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交货方式</w:t>
            </w:r>
          </w:p>
        </w:tc>
        <w:tc>
          <w:tcPr>
            <w:tcW w:w="6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中标人送货至用户指定地点交货，所有运费、运杂费、装卸费由中标方承担。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6</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付款方式</w:t>
            </w:r>
          </w:p>
        </w:tc>
        <w:tc>
          <w:tcPr>
            <w:tcW w:w="672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120" w:after="120" w:line="360" w:lineRule="auto"/>
              <w:rPr>
                <w:rFonts w:hAnsi="宋体"/>
                <w:color w:val="auto"/>
                <w:sz w:val="24"/>
                <w:szCs w:val="24"/>
                <w:highlight w:val="none"/>
              </w:rPr>
            </w:pPr>
            <w:r>
              <w:rPr>
                <w:rFonts w:hint="eastAsia" w:hAnsi="宋体"/>
                <w:color w:val="auto"/>
                <w:sz w:val="24"/>
                <w:szCs w:val="24"/>
                <w:highlight w:val="none"/>
              </w:rPr>
              <w:t>履约保证金和质量保证金：签订合同前中标单位支付合同总金额的10%作为履约保证金，验收合格后退还履约保证金的50%，剩余的50%转为质量保证金。</w:t>
            </w:r>
          </w:p>
          <w:p>
            <w:pPr>
              <w:rPr>
                <w:rFonts w:ascii="宋体" w:hAnsi="宋体"/>
                <w:color w:val="auto"/>
                <w:sz w:val="24"/>
                <w:highlight w:val="none"/>
              </w:rPr>
            </w:pPr>
            <w:r>
              <w:rPr>
                <w:rFonts w:hint="eastAsia" w:hAnsi="宋体"/>
                <w:color w:val="auto"/>
                <w:sz w:val="24"/>
                <w:highlight w:val="none"/>
              </w:rPr>
              <w:t>签订合同后，2</w:t>
            </w:r>
            <w:r>
              <w:rPr>
                <w:rFonts w:hAnsi="宋体"/>
                <w:color w:val="auto"/>
                <w:sz w:val="24"/>
                <w:highlight w:val="none"/>
              </w:rPr>
              <w:t>0</w:t>
            </w:r>
            <w:r>
              <w:rPr>
                <w:rFonts w:hint="eastAsia" w:hAnsi="宋体"/>
                <w:color w:val="auto"/>
                <w:sz w:val="24"/>
                <w:highlight w:val="none"/>
              </w:rPr>
              <w:t>日内预付合同金额的3</w:t>
            </w:r>
            <w:r>
              <w:rPr>
                <w:rFonts w:hAnsi="宋体"/>
                <w:color w:val="auto"/>
                <w:sz w:val="24"/>
                <w:highlight w:val="none"/>
              </w:rPr>
              <w:t>0%</w:t>
            </w:r>
            <w:r>
              <w:rPr>
                <w:rFonts w:hint="eastAsia" w:hAnsi="宋体"/>
                <w:color w:val="auto"/>
                <w:sz w:val="24"/>
                <w:highlight w:val="none"/>
              </w:rPr>
              <w:t>，全部货物交货并验收合格后，凭验收凭证和货物验收合格等文件20日内支付至合同金额的100%，质量保证金在质保期满后无质量问题的情况下，由中标商提交质保金支付申请，20日内无息退还。</w:t>
            </w:r>
          </w:p>
        </w:tc>
      </w:tr>
    </w:tbl>
    <w:p>
      <w:pPr>
        <w:pStyle w:val="8"/>
        <w:ind w:left="0" w:leftChars="0" w:right="1470"/>
        <w:rPr>
          <w:rFonts w:ascii="宋体" w:hAnsi="宋体" w:cs="仿宋"/>
          <w:b/>
          <w:bCs/>
          <w:color w:val="auto"/>
          <w:sz w:val="28"/>
          <w:szCs w:val="28"/>
          <w:highlight w:val="none"/>
        </w:rPr>
      </w:pPr>
    </w:p>
    <w:p>
      <w:pPr>
        <w:pStyle w:val="8"/>
        <w:ind w:left="1470" w:right="1470"/>
        <w:rPr>
          <w:rFonts w:ascii="宋体" w:hAnsi="宋体" w:cs="仿宋"/>
          <w:b/>
          <w:bCs/>
          <w:color w:val="auto"/>
          <w:sz w:val="28"/>
          <w:szCs w:val="28"/>
          <w:highlight w:val="none"/>
        </w:rPr>
      </w:pPr>
    </w:p>
    <w:p>
      <w:pPr>
        <w:pStyle w:val="8"/>
        <w:ind w:left="1470" w:right="1470"/>
        <w:rPr>
          <w:rFonts w:ascii="宋体" w:hAnsi="宋体" w:cs="仿宋"/>
          <w:b/>
          <w:bCs/>
          <w:color w:val="auto"/>
          <w:sz w:val="28"/>
          <w:szCs w:val="28"/>
          <w:highlight w:val="none"/>
        </w:rPr>
      </w:pPr>
    </w:p>
    <w:p>
      <w:pPr>
        <w:pStyle w:val="8"/>
        <w:ind w:left="1470" w:right="1470"/>
        <w:rPr>
          <w:rFonts w:ascii="宋体" w:hAnsi="宋体" w:cs="仿宋"/>
          <w:b/>
          <w:bCs/>
          <w:color w:val="auto"/>
          <w:sz w:val="28"/>
          <w:szCs w:val="28"/>
          <w:highlight w:val="none"/>
        </w:rPr>
      </w:pPr>
    </w:p>
    <w:p>
      <w:pPr>
        <w:pStyle w:val="8"/>
        <w:ind w:left="1470" w:right="1470"/>
        <w:rPr>
          <w:rFonts w:ascii="宋体" w:hAnsi="宋体" w:cs="仿宋"/>
          <w:b/>
          <w:bCs/>
          <w:color w:val="auto"/>
          <w:sz w:val="28"/>
          <w:szCs w:val="28"/>
          <w:highlight w:val="none"/>
        </w:rPr>
      </w:pPr>
    </w:p>
    <w:p>
      <w:pPr>
        <w:pStyle w:val="8"/>
        <w:ind w:left="1470" w:right="1470"/>
        <w:rPr>
          <w:rFonts w:ascii="宋体" w:hAnsi="宋体" w:cs="仿宋"/>
          <w:b/>
          <w:bCs/>
          <w:color w:val="auto"/>
          <w:sz w:val="28"/>
          <w:szCs w:val="28"/>
          <w:highlight w:val="none"/>
        </w:rPr>
      </w:pPr>
    </w:p>
    <w:p>
      <w:pPr>
        <w:pStyle w:val="8"/>
        <w:ind w:left="1470" w:right="1470"/>
        <w:rPr>
          <w:rFonts w:ascii="宋体" w:hAnsi="宋体" w:cs="仿宋"/>
          <w:b/>
          <w:bCs/>
          <w:color w:val="auto"/>
          <w:sz w:val="28"/>
          <w:szCs w:val="28"/>
          <w:highlight w:val="none"/>
        </w:rPr>
      </w:pPr>
    </w:p>
    <w:p>
      <w:pPr>
        <w:pStyle w:val="8"/>
        <w:ind w:left="1470" w:right="1470"/>
        <w:rPr>
          <w:rFonts w:ascii="宋体" w:hAnsi="宋体" w:cs="仿宋"/>
          <w:b/>
          <w:bCs/>
          <w:color w:val="auto"/>
          <w:sz w:val="28"/>
          <w:szCs w:val="28"/>
          <w:highlight w:val="none"/>
        </w:rPr>
      </w:pPr>
    </w:p>
    <w:p>
      <w:pPr>
        <w:pStyle w:val="8"/>
        <w:ind w:left="1470" w:right="1470"/>
        <w:rPr>
          <w:rFonts w:ascii="宋体" w:hAnsi="宋体" w:cs="仿宋"/>
          <w:b/>
          <w:bCs/>
          <w:color w:val="auto"/>
          <w:sz w:val="28"/>
          <w:szCs w:val="28"/>
          <w:highlight w:val="none"/>
        </w:rPr>
      </w:pPr>
    </w:p>
    <w:p>
      <w:pPr>
        <w:adjustRightInd w:val="0"/>
        <w:snapToGrid w:val="0"/>
        <w:spacing w:line="360" w:lineRule="auto"/>
        <w:rPr>
          <w:rFonts w:ascii="宋体" w:hAnsi="宋体" w:cs="仿宋"/>
          <w:b/>
          <w:bCs/>
          <w:color w:val="auto"/>
          <w:sz w:val="28"/>
          <w:szCs w:val="28"/>
          <w:highlight w:val="none"/>
        </w:rPr>
      </w:pPr>
    </w:p>
    <w:p>
      <w:pPr>
        <w:adjustRightInd w:val="0"/>
        <w:snapToGrid w:val="0"/>
        <w:spacing w:line="360" w:lineRule="auto"/>
        <w:rPr>
          <w:rFonts w:ascii="宋体" w:hAnsi="宋体" w:cs="仿宋"/>
          <w:b/>
          <w:bCs/>
          <w:color w:val="auto"/>
          <w:sz w:val="28"/>
          <w:szCs w:val="28"/>
          <w:highlight w:val="none"/>
        </w:rPr>
      </w:pPr>
    </w:p>
    <w:p>
      <w:pPr>
        <w:adjustRightInd w:val="0"/>
        <w:snapToGrid w:val="0"/>
        <w:spacing w:line="360" w:lineRule="auto"/>
        <w:rPr>
          <w:rFonts w:ascii="宋体" w:hAnsi="宋体" w:cs="仿宋"/>
          <w:b/>
          <w:bCs/>
          <w:color w:val="auto"/>
          <w:sz w:val="28"/>
          <w:szCs w:val="28"/>
          <w:highlight w:val="none"/>
        </w:rPr>
      </w:pPr>
      <w:r>
        <w:rPr>
          <w:rFonts w:hint="eastAsia" w:ascii="宋体" w:hAnsi="宋体" w:cs="仿宋"/>
          <w:b/>
          <w:bCs/>
          <w:color w:val="auto"/>
          <w:sz w:val="28"/>
          <w:szCs w:val="28"/>
          <w:highlight w:val="none"/>
        </w:rPr>
        <w:t>附件</w:t>
      </w:r>
      <w:r>
        <w:rPr>
          <w:rFonts w:ascii="宋体" w:hAnsi="宋体" w:cs="仿宋"/>
          <w:b/>
          <w:bCs/>
          <w:color w:val="auto"/>
          <w:sz w:val="28"/>
          <w:szCs w:val="28"/>
          <w:highlight w:val="none"/>
        </w:rPr>
        <w:t>5</w:t>
      </w:r>
      <w:r>
        <w:rPr>
          <w:rFonts w:hint="eastAsia" w:ascii="宋体" w:hAnsi="宋体" w:cs="仿宋"/>
          <w:b/>
          <w:bCs/>
          <w:color w:val="auto"/>
          <w:sz w:val="28"/>
          <w:szCs w:val="28"/>
          <w:highlight w:val="none"/>
        </w:rPr>
        <w:t>：评标办法</w:t>
      </w:r>
    </w:p>
    <w:p>
      <w:pPr>
        <w:spacing w:line="360" w:lineRule="auto"/>
        <w:ind w:firstLine="480" w:firstLineChars="200"/>
        <w:rPr>
          <w:color w:val="auto"/>
          <w:highlight w:val="none"/>
        </w:rPr>
      </w:pPr>
      <w:r>
        <w:rPr>
          <w:rFonts w:hint="eastAsia" w:ascii="宋体" w:hAnsi="宋体"/>
          <w:color w:val="auto"/>
          <w:sz w:val="24"/>
          <w:highlight w:val="none"/>
        </w:rPr>
        <w:t>本项目采用综合评分法，总分为：</w:t>
      </w:r>
      <w:r>
        <w:rPr>
          <w:rFonts w:ascii="宋体" w:hAnsi="宋体"/>
          <w:color w:val="auto"/>
          <w:sz w:val="24"/>
          <w:highlight w:val="none"/>
        </w:rPr>
        <w:t>100</w:t>
      </w:r>
      <w:r>
        <w:rPr>
          <w:rFonts w:hint="eastAsia" w:ascii="宋体" w:hAnsi="宋体"/>
          <w:color w:val="auto"/>
          <w:sz w:val="24"/>
          <w:highlight w:val="none"/>
        </w:rPr>
        <w:t>分。</w:t>
      </w:r>
    </w:p>
    <w:tbl>
      <w:tblPr>
        <w:tblStyle w:val="17"/>
        <w:tblW w:w="9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276"/>
        <w:gridCol w:w="5103"/>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4" w:type="dxa"/>
          </w:tcPr>
          <w:p>
            <w:pPr>
              <w:kinsoku w:val="0"/>
              <w:overflowPunct w:val="0"/>
              <w:spacing w:before="88" w:after="120"/>
              <w:rPr>
                <w:rFonts w:ascii="宋体" w:hAnsi="宋体" w:cs="宋体"/>
                <w:color w:val="auto"/>
                <w:szCs w:val="21"/>
                <w:highlight w:val="none"/>
              </w:rPr>
            </w:pPr>
            <w:r>
              <w:rPr>
                <w:rFonts w:hint="eastAsia" w:ascii="宋体" w:hAnsi="宋体" w:cs="宋体"/>
                <w:color w:val="auto"/>
                <w:szCs w:val="21"/>
                <w:highlight w:val="none"/>
              </w:rPr>
              <w:t>序号</w:t>
            </w:r>
          </w:p>
        </w:tc>
        <w:tc>
          <w:tcPr>
            <w:tcW w:w="1276" w:type="dxa"/>
          </w:tcPr>
          <w:p>
            <w:pPr>
              <w:kinsoku w:val="0"/>
              <w:overflowPunct w:val="0"/>
              <w:spacing w:before="88" w:after="120"/>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5103" w:type="dxa"/>
          </w:tcPr>
          <w:p>
            <w:pPr>
              <w:kinsoku w:val="0"/>
              <w:overflowPunct w:val="0"/>
              <w:spacing w:before="88" w:after="120"/>
              <w:ind w:right="34" w:rightChars="16"/>
              <w:jc w:val="center"/>
              <w:rPr>
                <w:rFonts w:ascii="宋体" w:hAnsi="宋体" w:cs="宋体"/>
                <w:color w:val="auto"/>
                <w:szCs w:val="21"/>
                <w:highlight w:val="none"/>
              </w:rPr>
            </w:pPr>
            <w:r>
              <w:rPr>
                <w:rFonts w:hint="eastAsia" w:ascii="宋体" w:hAnsi="宋体" w:cs="宋体"/>
                <w:color w:val="auto"/>
                <w:szCs w:val="21"/>
                <w:highlight w:val="none"/>
              </w:rPr>
              <w:t>评分细节</w:t>
            </w:r>
          </w:p>
        </w:tc>
        <w:tc>
          <w:tcPr>
            <w:tcW w:w="1048" w:type="dxa"/>
          </w:tcPr>
          <w:p>
            <w:pPr>
              <w:kinsoku w:val="0"/>
              <w:overflowPunct w:val="0"/>
              <w:spacing w:before="88" w:after="120"/>
              <w:ind w:left="172"/>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131" w:type="dxa"/>
            <w:gridSpan w:val="4"/>
          </w:tcPr>
          <w:p>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1、价格部分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704" w:type="dxa"/>
            <w:vAlign w:val="center"/>
          </w:tcPr>
          <w:p>
            <w:pPr>
              <w:kinsoku w:val="0"/>
              <w:overflowPunct w:val="0"/>
              <w:spacing w:after="120"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276" w:type="dxa"/>
            <w:vAlign w:val="center"/>
          </w:tcPr>
          <w:p>
            <w:pPr>
              <w:kinsoku w:val="0"/>
              <w:overflowPunct w:val="0"/>
              <w:spacing w:after="120" w:line="360" w:lineRule="exact"/>
              <w:ind w:right="155"/>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5103" w:type="dxa"/>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价格分采用低价优先法计算，即满足招标文件要求且投标价格最低的投标报价为评标基准价，其价格分为满分30分。其他投标人的价格分按照下列公式计算：</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投标报价得分=（评标基准价／投标报价）×30（精确到小数点后两位）</w:t>
            </w:r>
          </w:p>
        </w:tc>
        <w:tc>
          <w:tcPr>
            <w:tcW w:w="1048"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131" w:type="dxa"/>
            <w:gridSpan w:val="4"/>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3" w:hRule="atLeast"/>
          <w:jc w:val="center"/>
        </w:trPr>
        <w:tc>
          <w:tcPr>
            <w:tcW w:w="1704" w:type="dxa"/>
          </w:tcPr>
          <w:p>
            <w:pPr>
              <w:spacing w:line="360" w:lineRule="exact"/>
              <w:rPr>
                <w:rFonts w:ascii="宋体" w:hAnsi="宋体" w:cs="宋体"/>
                <w:color w:val="auto"/>
                <w:kern w:val="0"/>
                <w:szCs w:val="21"/>
                <w:highlight w:val="none"/>
              </w:rPr>
            </w:pPr>
          </w:p>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276" w:type="dxa"/>
          </w:tcPr>
          <w:p>
            <w:pPr>
              <w:spacing w:line="360" w:lineRule="exact"/>
              <w:rPr>
                <w:rFonts w:ascii="宋体" w:hAnsi="宋体" w:cs="宋体"/>
                <w:color w:val="auto"/>
                <w:kern w:val="0"/>
                <w:szCs w:val="21"/>
                <w:highlight w:val="none"/>
              </w:rPr>
            </w:pPr>
          </w:p>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技术参数</w:t>
            </w:r>
          </w:p>
        </w:tc>
        <w:tc>
          <w:tcPr>
            <w:tcW w:w="5103" w:type="dxa"/>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lang w:eastAsia="zh-Hans"/>
              </w:rPr>
              <w:t>设备</w:t>
            </w:r>
            <w:r>
              <w:rPr>
                <w:rFonts w:hint="eastAsia" w:ascii="宋体" w:hAnsi="宋体" w:cs="宋体"/>
                <w:color w:val="auto"/>
                <w:kern w:val="0"/>
                <w:szCs w:val="21"/>
                <w:highlight w:val="none"/>
              </w:rPr>
              <w:t>满足所有技术指标</w:t>
            </w:r>
            <w:r>
              <w:rPr>
                <w:rFonts w:hint="eastAsia" w:ascii="宋体" w:hAnsi="宋体" w:cs="宋体"/>
                <w:color w:val="auto"/>
                <w:kern w:val="0"/>
                <w:szCs w:val="21"/>
                <w:highlight w:val="none"/>
                <w:lang w:eastAsia="zh-Hans"/>
              </w:rPr>
              <w:t>要求得满分</w:t>
            </w:r>
            <w:r>
              <w:rPr>
                <w:rFonts w:hint="eastAsia" w:ascii="宋体" w:hAnsi="宋体" w:cs="宋体"/>
                <w:color w:val="auto"/>
                <w:kern w:val="0"/>
                <w:szCs w:val="21"/>
                <w:highlight w:val="none"/>
              </w:rPr>
              <w:t>，打▲项为重要指标项，有一项负偏离扣</w:t>
            </w:r>
            <w:r>
              <w:rPr>
                <w:rFonts w:ascii="宋体" w:hAnsi="宋体" w:cs="宋体"/>
                <w:color w:val="auto"/>
                <w:kern w:val="0"/>
                <w:szCs w:val="21"/>
                <w:highlight w:val="none"/>
              </w:rPr>
              <w:t>8</w:t>
            </w:r>
            <w:r>
              <w:rPr>
                <w:rFonts w:hint="eastAsia" w:ascii="宋体" w:hAnsi="宋体" w:cs="宋体"/>
                <w:color w:val="auto"/>
                <w:kern w:val="0"/>
                <w:szCs w:val="21"/>
                <w:highlight w:val="none"/>
              </w:rPr>
              <w:t>分，扣完为止。非打▲号指标，有一项负偏离扣</w:t>
            </w:r>
            <w:r>
              <w:rPr>
                <w:rFonts w:ascii="宋体" w:hAnsi="宋体" w:cs="宋体"/>
                <w:color w:val="auto"/>
                <w:kern w:val="0"/>
                <w:szCs w:val="21"/>
                <w:highlight w:val="none"/>
              </w:rPr>
              <w:t>3</w:t>
            </w:r>
            <w:r>
              <w:rPr>
                <w:rFonts w:hint="eastAsia" w:ascii="宋体" w:hAnsi="宋体" w:cs="宋体"/>
                <w:color w:val="auto"/>
                <w:kern w:val="0"/>
                <w:szCs w:val="21"/>
                <w:highlight w:val="none"/>
              </w:rPr>
              <w:t>分，扣完为止。严重负偏离影响设备性能的经半数以上评委认定，本项得零分。</w:t>
            </w:r>
          </w:p>
        </w:tc>
        <w:tc>
          <w:tcPr>
            <w:tcW w:w="1048" w:type="dxa"/>
            <w:vAlign w:val="center"/>
          </w:tcPr>
          <w:p>
            <w:pPr>
              <w:spacing w:line="360" w:lineRule="exact"/>
              <w:jc w:val="center"/>
              <w:rPr>
                <w:rFonts w:ascii="宋体" w:hAnsi="宋体" w:cs="宋体"/>
                <w:color w:val="auto"/>
                <w:kern w:val="0"/>
                <w:szCs w:val="21"/>
                <w:highlight w:val="none"/>
              </w:rPr>
            </w:pPr>
          </w:p>
          <w:p>
            <w:pPr>
              <w:spacing w:line="360" w:lineRule="exact"/>
              <w:jc w:val="center"/>
              <w:rPr>
                <w:rFonts w:ascii="宋体" w:hAnsi="宋体" w:cs="宋体"/>
                <w:color w:val="auto"/>
                <w:kern w:val="0"/>
                <w:szCs w:val="21"/>
                <w:highlight w:val="none"/>
              </w:rPr>
            </w:pPr>
            <w:r>
              <w:rPr>
                <w:rFonts w:ascii="宋体" w:hAnsi="宋体" w:cs="宋体"/>
                <w:color w:val="auto"/>
                <w:kern w:val="0"/>
                <w:szCs w:val="21"/>
                <w:highlight w:val="none"/>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131" w:type="dxa"/>
            <w:gridSpan w:val="4"/>
          </w:tcPr>
          <w:p>
            <w:pPr>
              <w:kinsoku w:val="0"/>
              <w:overflowPunct w:val="0"/>
              <w:spacing w:before="88" w:after="120" w:line="360" w:lineRule="exact"/>
              <w:rPr>
                <w:rFonts w:ascii="宋体" w:hAnsi="宋体" w:cs="宋体"/>
                <w:color w:val="auto"/>
                <w:szCs w:val="21"/>
                <w:highlight w:val="none"/>
              </w:rPr>
            </w:pPr>
            <w:r>
              <w:rPr>
                <w:rFonts w:hint="eastAsia" w:ascii="宋体" w:hAnsi="宋体" w:cs="宋体"/>
                <w:color w:val="auto"/>
                <w:szCs w:val="21"/>
                <w:highlight w:val="none"/>
              </w:rPr>
              <w:t>3、服务部分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2" w:hRule="atLeast"/>
          <w:jc w:val="center"/>
        </w:trPr>
        <w:tc>
          <w:tcPr>
            <w:tcW w:w="1704" w:type="dxa"/>
            <w:vAlign w:val="center"/>
          </w:tcPr>
          <w:p>
            <w:pPr>
              <w:spacing w:line="360" w:lineRule="exact"/>
              <w:jc w:val="center"/>
              <w:rPr>
                <w:rFonts w:ascii="宋体" w:hAnsi="宋体" w:cs="宋体"/>
                <w:color w:val="auto"/>
                <w:kern w:val="0"/>
                <w:szCs w:val="21"/>
                <w:highlight w:val="none"/>
              </w:rPr>
            </w:pPr>
          </w:p>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276" w:type="dxa"/>
            <w:vAlign w:val="center"/>
          </w:tcPr>
          <w:p>
            <w:pPr>
              <w:kinsoku w:val="0"/>
              <w:overflowPunct w:val="0"/>
              <w:spacing w:after="120" w:line="360" w:lineRule="exact"/>
              <w:ind w:left="337"/>
              <w:jc w:val="center"/>
              <w:rPr>
                <w:rFonts w:ascii="宋体" w:hAnsi="宋体" w:cs="宋体"/>
                <w:color w:val="auto"/>
                <w:szCs w:val="21"/>
                <w:highlight w:val="none"/>
              </w:rPr>
            </w:pPr>
          </w:p>
          <w:p>
            <w:pPr>
              <w:kinsoku w:val="0"/>
              <w:overflowPunct w:val="0"/>
              <w:spacing w:after="120" w:line="360" w:lineRule="exact"/>
              <w:jc w:val="center"/>
              <w:rPr>
                <w:rFonts w:ascii="宋体" w:hAnsi="宋体" w:cs="宋体"/>
                <w:color w:val="auto"/>
                <w:szCs w:val="21"/>
                <w:highlight w:val="none"/>
              </w:rPr>
            </w:pPr>
            <w:r>
              <w:rPr>
                <w:rFonts w:hint="eastAsia" w:ascii="宋体" w:hAnsi="宋体" w:cs="宋体"/>
                <w:color w:val="auto"/>
                <w:szCs w:val="21"/>
                <w:highlight w:val="none"/>
              </w:rPr>
              <w:t>售后服务方案</w:t>
            </w:r>
          </w:p>
          <w:p>
            <w:pPr>
              <w:spacing w:line="360" w:lineRule="exact"/>
              <w:jc w:val="center"/>
              <w:rPr>
                <w:rFonts w:ascii="宋体" w:hAnsi="宋体" w:cs="宋体"/>
                <w:color w:val="auto"/>
                <w:kern w:val="0"/>
                <w:szCs w:val="21"/>
                <w:highlight w:val="none"/>
              </w:rPr>
            </w:pPr>
          </w:p>
        </w:tc>
        <w:tc>
          <w:tcPr>
            <w:tcW w:w="5103" w:type="dxa"/>
            <w:vAlign w:val="center"/>
          </w:tcPr>
          <w:p>
            <w:pPr>
              <w:kinsoku w:val="0"/>
              <w:overflowPunct w:val="0"/>
              <w:spacing w:before="88" w:after="120" w:line="320" w:lineRule="exact"/>
              <w:jc w:val="left"/>
              <w:rPr>
                <w:rFonts w:ascii="宋体" w:hAnsi="宋体" w:cs="宋体"/>
                <w:color w:val="auto"/>
                <w:szCs w:val="21"/>
                <w:highlight w:val="none"/>
              </w:rPr>
            </w:pPr>
            <w:r>
              <w:rPr>
                <w:rFonts w:hint="eastAsia" w:ascii="宋体" w:hAnsi="宋体" w:cs="宋体"/>
                <w:color w:val="auto"/>
                <w:szCs w:val="21"/>
                <w:highlight w:val="none"/>
              </w:rPr>
              <w:t>根据投标人的售后服务、技术支持能力与承诺情况：</w:t>
            </w:r>
          </w:p>
          <w:p>
            <w:pPr>
              <w:kinsoku w:val="0"/>
              <w:overflowPunct w:val="0"/>
              <w:spacing w:before="88" w:after="120" w:line="320" w:lineRule="exact"/>
              <w:jc w:val="left"/>
              <w:rPr>
                <w:rFonts w:ascii="宋体" w:hAnsi="宋体" w:cs="宋体"/>
                <w:color w:val="auto"/>
                <w:szCs w:val="21"/>
                <w:highlight w:val="none"/>
              </w:rPr>
            </w:pPr>
            <w:r>
              <w:rPr>
                <w:rFonts w:hint="eastAsia" w:ascii="宋体" w:hAnsi="宋体" w:cs="宋体"/>
                <w:color w:val="auto"/>
                <w:szCs w:val="21"/>
                <w:highlight w:val="none"/>
              </w:rPr>
              <w:t>a)售后服务保障体系及措施完善，技术支持能力强，</w:t>
            </w:r>
            <w:r>
              <w:rPr>
                <w:rFonts w:hint="eastAsia" w:ascii="宋体" w:hAnsi="宋体" w:cs="宋体"/>
                <w:color w:val="auto"/>
                <w:szCs w:val="21"/>
                <w:highlight w:val="none"/>
                <w:lang w:eastAsia="zh-Hans"/>
              </w:rPr>
              <w:t xml:space="preserve"> </w:t>
            </w:r>
            <w:r>
              <w:rPr>
                <w:rFonts w:ascii="宋体" w:hAnsi="宋体" w:cs="宋体"/>
                <w:color w:val="auto"/>
                <w:szCs w:val="21"/>
                <w:highlight w:val="none"/>
                <w:lang w:eastAsia="zh-Hans"/>
              </w:rPr>
              <w:t>8</w:t>
            </w:r>
            <w:r>
              <w:rPr>
                <w:rFonts w:hint="eastAsia" w:ascii="宋体" w:hAnsi="宋体" w:cs="宋体"/>
                <w:color w:val="auto"/>
                <w:szCs w:val="21"/>
                <w:highlight w:val="none"/>
                <w:lang w:eastAsia="zh-Hans"/>
              </w:rPr>
              <w:t>小时内响应，</w:t>
            </w:r>
            <w:r>
              <w:rPr>
                <w:rFonts w:ascii="宋体" w:hAnsi="宋体" w:cs="宋体"/>
                <w:color w:val="auto"/>
                <w:szCs w:val="21"/>
                <w:highlight w:val="none"/>
                <w:lang w:eastAsia="zh-Hans"/>
              </w:rPr>
              <w:t>12</w:t>
            </w:r>
            <w:r>
              <w:rPr>
                <w:rFonts w:hint="eastAsia" w:ascii="宋体" w:hAnsi="宋体" w:cs="宋体"/>
                <w:color w:val="auto"/>
                <w:szCs w:val="21"/>
                <w:highlight w:val="none"/>
                <w:lang w:eastAsia="zh-Hans"/>
              </w:rPr>
              <w:t>小时内现场支持</w:t>
            </w:r>
            <w:r>
              <w:rPr>
                <w:rFonts w:hint="eastAsia" w:ascii="宋体" w:hAnsi="宋体" w:cs="宋体"/>
                <w:color w:val="auto"/>
                <w:szCs w:val="21"/>
                <w:highlight w:val="none"/>
              </w:rPr>
              <w:t>得1</w:t>
            </w:r>
            <w:r>
              <w:rPr>
                <w:rFonts w:ascii="宋体" w:hAnsi="宋体" w:cs="宋体"/>
                <w:color w:val="auto"/>
                <w:szCs w:val="21"/>
                <w:highlight w:val="none"/>
              </w:rPr>
              <w:t>0</w:t>
            </w:r>
            <w:r>
              <w:rPr>
                <w:rFonts w:hint="eastAsia" w:ascii="宋体" w:hAnsi="宋体" w:cs="宋体"/>
                <w:color w:val="auto"/>
                <w:szCs w:val="21"/>
                <w:highlight w:val="none"/>
              </w:rPr>
              <w:t>分；</w:t>
            </w:r>
          </w:p>
          <w:p>
            <w:pPr>
              <w:kinsoku w:val="0"/>
              <w:overflowPunct w:val="0"/>
              <w:spacing w:before="88" w:after="120" w:line="320" w:lineRule="exact"/>
              <w:jc w:val="left"/>
              <w:rPr>
                <w:rFonts w:ascii="宋体" w:hAnsi="宋体" w:cs="宋体"/>
                <w:color w:val="auto"/>
                <w:szCs w:val="21"/>
                <w:highlight w:val="none"/>
              </w:rPr>
            </w:pPr>
            <w:r>
              <w:rPr>
                <w:rFonts w:hint="eastAsia" w:ascii="宋体" w:hAnsi="宋体" w:cs="宋体"/>
                <w:color w:val="auto"/>
                <w:szCs w:val="21"/>
                <w:highlight w:val="none"/>
              </w:rPr>
              <w:t>b)售后服务保障体系及措施较好，技术支持能力较强</w:t>
            </w:r>
            <w:r>
              <w:rPr>
                <w:rFonts w:hint="eastAsia" w:ascii="宋体" w:hAnsi="宋体" w:cs="宋体"/>
                <w:color w:val="auto"/>
                <w:szCs w:val="21"/>
                <w:highlight w:val="none"/>
                <w:lang w:eastAsia="zh-Hans"/>
              </w:rPr>
              <w:t xml:space="preserve">， </w:t>
            </w:r>
            <w:r>
              <w:rPr>
                <w:rFonts w:ascii="宋体" w:hAnsi="宋体" w:cs="宋体"/>
                <w:color w:val="auto"/>
                <w:szCs w:val="21"/>
                <w:highlight w:val="none"/>
                <w:lang w:eastAsia="zh-Hans"/>
              </w:rPr>
              <w:t>8</w:t>
            </w:r>
            <w:r>
              <w:rPr>
                <w:rFonts w:hint="eastAsia" w:ascii="宋体" w:hAnsi="宋体" w:cs="宋体"/>
                <w:color w:val="auto"/>
                <w:szCs w:val="21"/>
                <w:highlight w:val="none"/>
                <w:lang w:eastAsia="zh-Hans"/>
              </w:rPr>
              <w:t>小时内响应，</w:t>
            </w:r>
            <w:r>
              <w:rPr>
                <w:rFonts w:ascii="宋体" w:hAnsi="宋体" w:cs="宋体"/>
                <w:color w:val="auto"/>
                <w:szCs w:val="21"/>
                <w:highlight w:val="none"/>
                <w:lang w:eastAsia="zh-Hans"/>
              </w:rPr>
              <w:t>24</w:t>
            </w:r>
            <w:r>
              <w:rPr>
                <w:rFonts w:hint="eastAsia" w:ascii="宋体" w:hAnsi="宋体" w:cs="宋体"/>
                <w:color w:val="auto"/>
                <w:szCs w:val="21"/>
                <w:highlight w:val="none"/>
                <w:lang w:eastAsia="zh-Hans"/>
              </w:rPr>
              <w:t>小时内现场支持</w:t>
            </w:r>
            <w:r>
              <w:rPr>
                <w:rFonts w:hint="eastAsia" w:ascii="宋体" w:hAnsi="宋体" w:cs="宋体"/>
                <w:color w:val="auto"/>
                <w:szCs w:val="21"/>
                <w:highlight w:val="none"/>
              </w:rPr>
              <w:t>，得</w:t>
            </w:r>
            <w:r>
              <w:rPr>
                <w:rFonts w:ascii="宋体" w:hAnsi="宋体" w:cs="宋体"/>
                <w:color w:val="auto"/>
                <w:szCs w:val="21"/>
                <w:highlight w:val="none"/>
              </w:rPr>
              <w:t>7</w:t>
            </w:r>
            <w:r>
              <w:rPr>
                <w:rFonts w:hint="eastAsia" w:ascii="宋体" w:hAnsi="宋体" w:cs="宋体"/>
                <w:color w:val="auto"/>
                <w:szCs w:val="21"/>
                <w:highlight w:val="none"/>
              </w:rPr>
              <w:t>分；</w:t>
            </w:r>
          </w:p>
          <w:p>
            <w:pPr>
              <w:kinsoku w:val="0"/>
              <w:overflowPunct w:val="0"/>
              <w:spacing w:before="88" w:after="120" w:line="320" w:lineRule="exact"/>
              <w:jc w:val="left"/>
              <w:rPr>
                <w:rFonts w:ascii="宋体" w:hAnsi="宋体" w:cs="宋体"/>
                <w:color w:val="auto"/>
                <w:szCs w:val="21"/>
                <w:highlight w:val="none"/>
              </w:rPr>
            </w:pPr>
            <w:r>
              <w:rPr>
                <w:rFonts w:hint="eastAsia" w:ascii="宋体" w:hAnsi="宋体" w:cs="宋体"/>
                <w:color w:val="auto"/>
                <w:szCs w:val="21"/>
                <w:highlight w:val="none"/>
              </w:rPr>
              <w:t>c)售后服务保障体系及措施基本符合招标要求，技术支持能力</w:t>
            </w:r>
            <w:r>
              <w:rPr>
                <w:rFonts w:hint="eastAsia" w:ascii="宋体" w:hAnsi="宋体" w:cs="宋体"/>
                <w:color w:val="auto"/>
                <w:szCs w:val="21"/>
                <w:highlight w:val="none"/>
                <w:lang w:eastAsia="zh-Hans"/>
              </w:rPr>
              <w:t>一般</w:t>
            </w:r>
            <w:r>
              <w:rPr>
                <w:rFonts w:hint="eastAsia" w:ascii="宋体" w:hAnsi="宋体" w:cs="宋体"/>
                <w:color w:val="auto"/>
                <w:szCs w:val="21"/>
                <w:highlight w:val="none"/>
              </w:rPr>
              <w:t>，</w:t>
            </w:r>
            <w:r>
              <w:rPr>
                <w:rFonts w:ascii="宋体" w:hAnsi="宋体" w:cs="宋体"/>
                <w:color w:val="auto"/>
                <w:szCs w:val="21"/>
                <w:highlight w:val="none"/>
                <w:lang w:eastAsia="zh-Hans"/>
              </w:rPr>
              <w:t>12</w:t>
            </w:r>
            <w:r>
              <w:rPr>
                <w:rFonts w:hint="eastAsia" w:ascii="宋体" w:hAnsi="宋体" w:cs="宋体"/>
                <w:color w:val="auto"/>
                <w:szCs w:val="21"/>
                <w:highlight w:val="none"/>
                <w:lang w:eastAsia="zh-Hans"/>
              </w:rPr>
              <w:t>小时内响应，</w:t>
            </w:r>
            <w:r>
              <w:rPr>
                <w:rFonts w:ascii="宋体" w:hAnsi="宋体" w:cs="宋体"/>
                <w:color w:val="auto"/>
                <w:szCs w:val="21"/>
                <w:highlight w:val="none"/>
                <w:lang w:eastAsia="zh-Hans"/>
              </w:rPr>
              <w:t>48</w:t>
            </w:r>
            <w:r>
              <w:rPr>
                <w:rFonts w:hint="eastAsia" w:ascii="宋体" w:hAnsi="宋体" w:cs="宋体"/>
                <w:color w:val="auto"/>
                <w:szCs w:val="21"/>
                <w:highlight w:val="none"/>
                <w:lang w:eastAsia="zh-Hans"/>
              </w:rPr>
              <w:t>小时内现场支持</w:t>
            </w:r>
            <w:r>
              <w:rPr>
                <w:rFonts w:hint="eastAsia" w:ascii="宋体" w:hAnsi="宋体" w:cs="宋体"/>
                <w:color w:val="auto"/>
                <w:szCs w:val="21"/>
                <w:highlight w:val="none"/>
              </w:rPr>
              <w:t>，得3分。</w:t>
            </w:r>
          </w:p>
          <w:p>
            <w:pPr>
              <w:kinsoku w:val="0"/>
              <w:overflowPunct w:val="0"/>
              <w:spacing w:before="88" w:after="120" w:line="320" w:lineRule="exact"/>
              <w:jc w:val="left"/>
              <w:rPr>
                <w:rFonts w:ascii="宋体" w:hAnsi="宋体" w:cs="宋体"/>
                <w:color w:val="auto"/>
                <w:szCs w:val="21"/>
                <w:highlight w:val="none"/>
              </w:rPr>
            </w:pPr>
            <w:r>
              <w:rPr>
                <w:rFonts w:hint="eastAsia" w:ascii="宋体" w:hAnsi="宋体" w:cs="宋体"/>
                <w:color w:val="auto"/>
                <w:szCs w:val="21"/>
                <w:highlight w:val="none"/>
              </w:rPr>
              <w:t>d</w:t>
            </w:r>
            <w:r>
              <w:rPr>
                <w:rFonts w:ascii="宋体" w:hAnsi="宋体" w:cs="宋体"/>
                <w:color w:val="auto"/>
                <w:szCs w:val="21"/>
                <w:highlight w:val="none"/>
              </w:rPr>
              <w:t>)</w:t>
            </w:r>
            <w:r>
              <w:rPr>
                <w:rFonts w:hint="eastAsia" w:ascii="宋体" w:hAnsi="宋体" w:cs="宋体"/>
                <w:color w:val="auto"/>
                <w:szCs w:val="21"/>
                <w:highlight w:val="none"/>
              </w:rPr>
              <w:t>售后服务保障体系及措施不符合招标要求，得0分。</w:t>
            </w:r>
          </w:p>
        </w:tc>
        <w:tc>
          <w:tcPr>
            <w:tcW w:w="1048" w:type="dxa"/>
            <w:vAlign w:val="center"/>
          </w:tcPr>
          <w:p>
            <w:pPr>
              <w:spacing w:line="360" w:lineRule="exact"/>
              <w:jc w:val="center"/>
              <w:rPr>
                <w:rFonts w:ascii="宋体" w:hAnsi="宋体" w:cs="宋体"/>
                <w:color w:val="auto"/>
                <w:kern w:val="0"/>
                <w:szCs w:val="21"/>
                <w:highlight w:val="none"/>
              </w:rPr>
            </w:pPr>
          </w:p>
          <w:p>
            <w:pPr>
              <w:spacing w:line="360" w:lineRule="exact"/>
              <w:jc w:val="center"/>
              <w:rPr>
                <w:rFonts w:ascii="宋体" w:hAnsi="宋体" w:cs="宋体"/>
                <w:color w:val="auto"/>
                <w:kern w:val="0"/>
                <w:szCs w:val="21"/>
                <w:highlight w:val="none"/>
              </w:rPr>
            </w:pPr>
            <w:r>
              <w:rPr>
                <w:rFonts w:ascii="宋体" w:hAnsi="宋体" w:cs="宋体"/>
                <w:color w:val="auto"/>
                <w:kern w:val="0"/>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9131" w:type="dxa"/>
            <w:gridSpan w:val="4"/>
          </w:tcPr>
          <w:p>
            <w:pPr>
              <w:kinsoku w:val="0"/>
              <w:overflowPunct w:val="0"/>
              <w:spacing w:before="88" w:after="120" w:line="360" w:lineRule="exact"/>
              <w:ind w:left="123"/>
              <w:rPr>
                <w:rFonts w:ascii="宋体" w:hAnsi="宋体" w:cs="宋体"/>
                <w:color w:val="auto"/>
                <w:szCs w:val="21"/>
                <w:highlight w:val="none"/>
              </w:rPr>
            </w:pPr>
            <w:r>
              <w:rPr>
                <w:rFonts w:hint="eastAsia" w:ascii="宋体" w:hAnsi="宋体" w:cs="宋体"/>
                <w:color w:val="auto"/>
                <w:szCs w:val="21"/>
                <w:highlight w:val="none"/>
              </w:rPr>
              <w:t>4、业绩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 w:hRule="atLeast"/>
          <w:jc w:val="center"/>
        </w:trPr>
        <w:tc>
          <w:tcPr>
            <w:tcW w:w="1704" w:type="dxa"/>
          </w:tcPr>
          <w:p>
            <w:pPr>
              <w:kinsoku w:val="0"/>
              <w:overflowPunct w:val="0"/>
              <w:spacing w:after="120" w:line="360" w:lineRule="exact"/>
              <w:ind w:left="213"/>
              <w:rPr>
                <w:rFonts w:ascii="宋体" w:hAnsi="宋体" w:cs="宋体"/>
                <w:color w:val="auto"/>
                <w:szCs w:val="21"/>
                <w:highlight w:val="none"/>
              </w:rPr>
            </w:pPr>
          </w:p>
          <w:p>
            <w:pPr>
              <w:kinsoku w:val="0"/>
              <w:overflowPunct w:val="0"/>
              <w:spacing w:after="120" w:line="360" w:lineRule="exact"/>
              <w:ind w:left="213"/>
              <w:rPr>
                <w:rFonts w:ascii="宋体" w:hAnsi="宋体" w:cs="宋体"/>
                <w:color w:val="auto"/>
                <w:szCs w:val="21"/>
                <w:highlight w:val="none"/>
              </w:rPr>
            </w:pPr>
            <w:r>
              <w:rPr>
                <w:rFonts w:hint="eastAsia" w:ascii="宋体" w:hAnsi="宋体" w:cs="宋体"/>
                <w:color w:val="auto"/>
                <w:szCs w:val="21"/>
                <w:highlight w:val="none"/>
              </w:rPr>
              <w:t>4.1</w:t>
            </w:r>
          </w:p>
        </w:tc>
        <w:tc>
          <w:tcPr>
            <w:tcW w:w="1276" w:type="dxa"/>
          </w:tcPr>
          <w:p>
            <w:pPr>
              <w:kinsoku w:val="0"/>
              <w:overflowPunct w:val="0"/>
              <w:spacing w:after="120" w:line="360" w:lineRule="exact"/>
              <w:ind w:left="155" w:right="155"/>
              <w:jc w:val="center"/>
              <w:rPr>
                <w:rFonts w:ascii="宋体" w:hAnsi="宋体" w:cs="宋体"/>
                <w:color w:val="auto"/>
                <w:szCs w:val="21"/>
                <w:highlight w:val="none"/>
              </w:rPr>
            </w:pPr>
          </w:p>
          <w:p>
            <w:pPr>
              <w:kinsoku w:val="0"/>
              <w:overflowPunct w:val="0"/>
              <w:spacing w:after="120" w:line="360" w:lineRule="exact"/>
              <w:ind w:left="155" w:right="155"/>
              <w:jc w:val="center"/>
              <w:rPr>
                <w:rFonts w:ascii="宋体" w:hAnsi="宋体" w:cs="宋体"/>
                <w:color w:val="auto"/>
                <w:kern w:val="0"/>
                <w:szCs w:val="21"/>
                <w:highlight w:val="none"/>
              </w:rPr>
            </w:pPr>
            <w:r>
              <w:rPr>
                <w:rFonts w:hint="eastAsia" w:ascii="宋体" w:hAnsi="宋体" w:cs="宋体"/>
                <w:color w:val="auto"/>
                <w:szCs w:val="21"/>
                <w:highlight w:val="none"/>
              </w:rPr>
              <w:t>业绩</w:t>
            </w:r>
          </w:p>
        </w:tc>
        <w:tc>
          <w:tcPr>
            <w:tcW w:w="5103" w:type="dxa"/>
          </w:tcPr>
          <w:p>
            <w:pPr>
              <w:kinsoku w:val="0"/>
              <w:overflowPunct w:val="0"/>
              <w:spacing w:before="88" w:after="120" w:line="360" w:lineRule="exact"/>
              <w:ind w:right="155"/>
              <w:rPr>
                <w:rFonts w:ascii="宋体" w:hAnsi="宋体" w:cs="宋体"/>
                <w:color w:val="auto"/>
                <w:szCs w:val="21"/>
                <w:highlight w:val="none"/>
              </w:rPr>
            </w:pPr>
            <w:r>
              <w:rPr>
                <w:rFonts w:hint="eastAsia" w:ascii="宋体" w:hAnsi="宋体" w:cs="宋体"/>
                <w:color w:val="auto"/>
                <w:szCs w:val="21"/>
                <w:highlight w:val="none"/>
              </w:rPr>
              <w:t>投标人近三年具有同类项目的实施经验并能够提供相关的业绩证明（以合同签署日期为准，合同复印件加盖公章），每提供一个得2分，总分10分。</w:t>
            </w:r>
          </w:p>
        </w:tc>
        <w:tc>
          <w:tcPr>
            <w:tcW w:w="1048" w:type="dxa"/>
          </w:tcPr>
          <w:p>
            <w:pPr>
              <w:spacing w:line="360" w:lineRule="exact"/>
              <w:rPr>
                <w:rFonts w:ascii="宋体" w:hAnsi="宋体" w:cs="宋体"/>
                <w:color w:val="auto"/>
                <w:kern w:val="0"/>
                <w:szCs w:val="21"/>
                <w:highlight w:val="none"/>
              </w:rPr>
            </w:pPr>
          </w:p>
          <w:p>
            <w:pPr>
              <w:spacing w:line="360" w:lineRule="exact"/>
              <w:ind w:firstLine="210" w:firstLineChars="100"/>
              <w:rPr>
                <w:rFonts w:ascii="宋体" w:hAnsi="宋体" w:cs="宋体"/>
                <w:color w:val="auto"/>
                <w:kern w:val="0"/>
                <w:szCs w:val="21"/>
                <w:highlight w:val="none"/>
              </w:rPr>
            </w:pPr>
            <w:r>
              <w:rPr>
                <w:rFonts w:ascii="宋体" w:hAnsi="宋体" w:cs="宋体"/>
                <w:color w:val="auto"/>
                <w:kern w:val="0"/>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31" w:type="dxa"/>
            <w:gridSpan w:val="4"/>
            <w:vAlign w:val="center"/>
          </w:tcPr>
          <w:p>
            <w:pPr>
              <w:jc w:val="left"/>
              <w:rPr>
                <w:rFonts w:ascii="宋体" w:hAnsi="宋体"/>
                <w:color w:val="auto"/>
                <w:szCs w:val="21"/>
                <w:highlight w:val="none"/>
              </w:rPr>
            </w:pPr>
            <w:r>
              <w:rPr>
                <w:rFonts w:hint="eastAsia" w:ascii="宋体" w:hAnsi="宋体"/>
                <w:color w:val="auto"/>
                <w:szCs w:val="21"/>
                <w:highlight w:val="none"/>
              </w:rPr>
              <w:t>5、投标文件制作分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04" w:type="dxa"/>
            <w:vAlign w:val="center"/>
          </w:tcPr>
          <w:p>
            <w:pPr>
              <w:jc w:val="center"/>
              <w:rPr>
                <w:rFonts w:ascii="宋体" w:hAnsi="宋体"/>
                <w:color w:val="auto"/>
                <w:szCs w:val="21"/>
                <w:highlight w:val="none"/>
              </w:rPr>
            </w:pPr>
            <w:r>
              <w:rPr>
                <w:rFonts w:hint="eastAsia" w:ascii="宋体" w:hAnsi="宋体"/>
                <w:color w:val="auto"/>
                <w:szCs w:val="21"/>
                <w:highlight w:val="none"/>
              </w:rPr>
              <w:t>5.1</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投标文件便于评审</w:t>
            </w:r>
          </w:p>
        </w:tc>
        <w:tc>
          <w:tcPr>
            <w:tcW w:w="5103" w:type="dxa"/>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文件内容完备，格式规范，封装整齐，满足招标文件要求得2分。未经胶封（如文件夹或订书机等）此项不得分。</w:t>
            </w:r>
          </w:p>
        </w:tc>
        <w:tc>
          <w:tcPr>
            <w:tcW w:w="1048"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r>
    </w:tbl>
    <w:p>
      <w:pPr>
        <w:spacing w:line="360" w:lineRule="auto"/>
        <w:rPr>
          <w:b/>
          <w:color w:val="auto"/>
          <w:sz w:val="28"/>
          <w:szCs w:val="28"/>
          <w:highlight w:val="none"/>
        </w:rPr>
      </w:pPr>
      <w:r>
        <w:rPr>
          <w:rFonts w:hint="eastAsia"/>
          <w:b/>
          <w:color w:val="auto"/>
          <w:sz w:val="28"/>
          <w:szCs w:val="28"/>
          <w:highlight w:val="none"/>
        </w:rPr>
        <w:t>附件</w:t>
      </w:r>
      <w:r>
        <w:rPr>
          <w:b/>
          <w:color w:val="auto"/>
          <w:sz w:val="28"/>
          <w:szCs w:val="28"/>
          <w:highlight w:val="none"/>
        </w:rPr>
        <w:t>6</w:t>
      </w:r>
      <w:r>
        <w:rPr>
          <w:rFonts w:hint="eastAsia"/>
          <w:b/>
          <w:color w:val="auto"/>
          <w:sz w:val="28"/>
          <w:szCs w:val="28"/>
          <w:highlight w:val="none"/>
        </w:rPr>
        <w:t>：</w:t>
      </w:r>
    </w:p>
    <w:p>
      <w:pPr>
        <w:adjustRightInd w:val="0"/>
        <w:snapToGrid w:val="0"/>
        <w:spacing w:before="156" w:beforeLines="50" w:after="156" w:afterLines="50" w:line="360" w:lineRule="auto"/>
        <w:jc w:val="center"/>
        <w:outlineLvl w:val="0"/>
        <w:rPr>
          <w:rFonts w:ascii="黑体" w:hAnsi="黑体" w:eastAsia="黑体"/>
          <w:b/>
          <w:color w:val="auto"/>
          <w:sz w:val="34"/>
          <w:highlight w:val="none"/>
        </w:rPr>
      </w:pPr>
      <w:r>
        <w:rPr>
          <w:rFonts w:hint="eastAsia" w:ascii="黑体" w:hAnsi="黑体" w:eastAsia="黑体"/>
          <w:b/>
          <w:color w:val="auto"/>
          <w:sz w:val="34"/>
          <w:highlight w:val="none"/>
        </w:rPr>
        <w:t>采购合同</w:t>
      </w:r>
    </w:p>
    <w:p>
      <w:pPr>
        <w:pStyle w:val="2"/>
        <w:jc w:val="center"/>
        <w:rPr>
          <w:rFonts w:hint="eastAsia"/>
          <w:color w:val="auto"/>
          <w:sz w:val="28"/>
          <w:highlight w:val="none"/>
        </w:rPr>
      </w:pPr>
      <w:r>
        <w:rPr>
          <w:rFonts w:hint="eastAsia"/>
          <w:color w:val="auto"/>
          <w:sz w:val="28"/>
          <w:highlight w:val="none"/>
        </w:rPr>
        <w:t>参考文本，最终以采购方审核意见为准。</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项目名称：</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项目编号：</w:t>
      </w:r>
    </w:p>
    <w:p>
      <w:pPr>
        <w:pStyle w:val="10"/>
        <w:adjustRightInd w:val="0"/>
        <w:snapToGrid w:val="0"/>
        <w:spacing w:before="120" w:after="120" w:line="360" w:lineRule="auto"/>
        <w:ind w:firstLine="658"/>
        <w:rPr>
          <w:rFonts w:hAnsi="宋体"/>
          <w:color w:val="auto"/>
          <w:sz w:val="24"/>
          <w:szCs w:val="24"/>
          <w:highlight w:val="none"/>
          <w:u w:val="single"/>
        </w:rPr>
      </w:pPr>
      <w:r>
        <w:rPr>
          <w:rFonts w:hint="eastAsia" w:hAnsi="宋体"/>
          <w:color w:val="auto"/>
          <w:sz w:val="24"/>
          <w:szCs w:val="24"/>
          <w:highlight w:val="none"/>
        </w:rPr>
        <w:t>甲方：（买方）</w:t>
      </w:r>
      <w:r>
        <w:rPr>
          <w:rFonts w:hAnsi="宋体"/>
          <w:color w:val="auto"/>
          <w:sz w:val="24"/>
          <w:szCs w:val="24"/>
          <w:highlight w:val="none"/>
        </w:rPr>
        <w:t>__________________</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乙方：（卖方）</w:t>
      </w:r>
      <w:r>
        <w:rPr>
          <w:rFonts w:hAnsi="宋体"/>
          <w:color w:val="auto"/>
          <w:sz w:val="24"/>
          <w:szCs w:val="24"/>
          <w:highlight w:val="none"/>
        </w:rPr>
        <w:t>__________________</w:t>
      </w:r>
    </w:p>
    <w:p>
      <w:pPr>
        <w:pStyle w:val="10"/>
        <w:adjustRightInd w:val="0"/>
        <w:snapToGrid w:val="0"/>
        <w:spacing w:before="120" w:after="120" w:line="360" w:lineRule="auto"/>
        <w:ind w:firstLine="658"/>
        <w:rPr>
          <w:rFonts w:hAnsi="宋体"/>
          <w:b/>
          <w:color w:val="auto"/>
          <w:sz w:val="24"/>
          <w:szCs w:val="24"/>
          <w:highlight w:val="none"/>
        </w:rPr>
      </w:pPr>
      <w:r>
        <w:rPr>
          <w:rFonts w:hint="eastAsia" w:hAnsi="宋体"/>
          <w:color w:val="auto"/>
          <w:sz w:val="24"/>
          <w:szCs w:val="24"/>
          <w:highlight w:val="none"/>
        </w:rPr>
        <w:t>甲、乙双方根据甲方项目采购谈判的结果，签署本合同。</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一、货物内容</w:t>
      </w:r>
    </w:p>
    <w:tbl>
      <w:tblPr>
        <w:tblStyle w:val="17"/>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5"/>
        <w:gridCol w:w="1115"/>
        <w:gridCol w:w="1160"/>
        <w:gridCol w:w="1160"/>
        <w:gridCol w:w="1160"/>
        <w:gridCol w:w="1160"/>
        <w:gridCol w:w="116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分包号</w:t>
            </w:r>
          </w:p>
        </w:tc>
        <w:tc>
          <w:tcPr>
            <w:tcW w:w="1165"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货物</w:t>
            </w:r>
          </w:p>
          <w:p>
            <w:pPr>
              <w:spacing w:line="360" w:lineRule="auto"/>
              <w:jc w:val="center"/>
              <w:rPr>
                <w:rFonts w:ascii="宋体"/>
                <w:b/>
                <w:color w:val="auto"/>
                <w:sz w:val="24"/>
                <w:highlight w:val="none"/>
              </w:rPr>
            </w:pPr>
            <w:r>
              <w:rPr>
                <w:rFonts w:hint="eastAsia" w:ascii="宋体" w:hAnsi="宋体"/>
                <w:b/>
                <w:color w:val="auto"/>
                <w:sz w:val="24"/>
                <w:highlight w:val="none"/>
              </w:rPr>
              <w:t>名称</w:t>
            </w:r>
          </w:p>
        </w:tc>
        <w:tc>
          <w:tcPr>
            <w:tcW w:w="1115"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型号</w:t>
            </w:r>
            <w:r>
              <w:rPr>
                <w:rFonts w:ascii="宋体" w:hAnsi="宋体"/>
                <w:b/>
                <w:color w:val="auto"/>
                <w:sz w:val="24"/>
                <w:highlight w:val="none"/>
              </w:rPr>
              <w:t>/</w:t>
            </w:r>
          </w:p>
          <w:p>
            <w:pPr>
              <w:spacing w:line="360" w:lineRule="auto"/>
              <w:jc w:val="center"/>
              <w:rPr>
                <w:rFonts w:ascii="宋体"/>
                <w:b/>
                <w:color w:val="auto"/>
                <w:sz w:val="24"/>
                <w:highlight w:val="none"/>
              </w:rPr>
            </w:pPr>
            <w:r>
              <w:rPr>
                <w:rFonts w:hint="eastAsia" w:ascii="宋体" w:hAnsi="宋体"/>
                <w:b/>
                <w:color w:val="auto"/>
                <w:sz w:val="24"/>
                <w:highlight w:val="none"/>
              </w:rPr>
              <w:t>规格</w:t>
            </w:r>
          </w:p>
        </w:tc>
        <w:tc>
          <w:tcPr>
            <w:tcW w:w="1160"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品牌</w:t>
            </w:r>
            <w:r>
              <w:rPr>
                <w:rFonts w:ascii="宋体" w:hAnsi="宋体"/>
                <w:b/>
                <w:color w:val="auto"/>
                <w:sz w:val="24"/>
                <w:highlight w:val="none"/>
              </w:rPr>
              <w:t>/</w:t>
            </w:r>
            <w:r>
              <w:rPr>
                <w:rFonts w:hint="eastAsia" w:ascii="宋体" w:hAnsi="宋体"/>
                <w:b/>
                <w:color w:val="auto"/>
                <w:sz w:val="24"/>
                <w:highlight w:val="none"/>
              </w:rPr>
              <w:t>生产厂家</w:t>
            </w:r>
            <w:r>
              <w:rPr>
                <w:rFonts w:ascii="宋体" w:hAnsi="宋体"/>
                <w:b/>
                <w:color w:val="auto"/>
                <w:sz w:val="24"/>
                <w:highlight w:val="none"/>
              </w:rPr>
              <w:t>/</w:t>
            </w:r>
            <w:r>
              <w:rPr>
                <w:rFonts w:hint="eastAsia" w:ascii="宋体" w:hAnsi="宋体"/>
                <w:b/>
                <w:color w:val="auto"/>
                <w:sz w:val="24"/>
                <w:highlight w:val="none"/>
              </w:rPr>
              <w:t>国别</w:t>
            </w:r>
          </w:p>
        </w:tc>
        <w:tc>
          <w:tcPr>
            <w:tcW w:w="1160"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计量</w:t>
            </w:r>
          </w:p>
          <w:p>
            <w:pPr>
              <w:spacing w:line="360" w:lineRule="auto"/>
              <w:jc w:val="center"/>
              <w:rPr>
                <w:rFonts w:ascii="宋体"/>
                <w:b/>
                <w:color w:val="auto"/>
                <w:sz w:val="24"/>
                <w:highlight w:val="none"/>
              </w:rPr>
            </w:pPr>
            <w:r>
              <w:rPr>
                <w:rFonts w:hint="eastAsia" w:ascii="宋体" w:hAnsi="宋体"/>
                <w:b/>
                <w:color w:val="auto"/>
                <w:sz w:val="24"/>
                <w:highlight w:val="none"/>
              </w:rPr>
              <w:t>单位</w:t>
            </w:r>
          </w:p>
        </w:tc>
        <w:tc>
          <w:tcPr>
            <w:tcW w:w="1160"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数量</w:t>
            </w:r>
          </w:p>
        </w:tc>
        <w:tc>
          <w:tcPr>
            <w:tcW w:w="1160"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单价</w:t>
            </w:r>
          </w:p>
        </w:tc>
        <w:tc>
          <w:tcPr>
            <w:tcW w:w="1162"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每项</w:t>
            </w:r>
          </w:p>
          <w:p>
            <w:pPr>
              <w:spacing w:line="360" w:lineRule="auto"/>
              <w:jc w:val="center"/>
              <w:rPr>
                <w:rFonts w:ascii="宋体"/>
                <w:b/>
                <w:color w:val="auto"/>
                <w:sz w:val="24"/>
                <w:highlight w:val="none"/>
              </w:rPr>
            </w:pPr>
            <w:r>
              <w:rPr>
                <w:rFonts w:hint="eastAsia" w:ascii="宋体" w:hAnsi="宋体"/>
                <w:b/>
                <w:color w:val="auto"/>
                <w:sz w:val="24"/>
                <w:highlight w:val="none"/>
              </w:rPr>
              <w:t>总价</w:t>
            </w:r>
          </w:p>
        </w:tc>
        <w:tc>
          <w:tcPr>
            <w:tcW w:w="1171"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color w:val="auto"/>
                <w:sz w:val="24"/>
                <w:highlight w:val="none"/>
              </w:rPr>
            </w:pPr>
          </w:p>
        </w:tc>
        <w:tc>
          <w:tcPr>
            <w:tcW w:w="1165" w:type="dxa"/>
            <w:vAlign w:val="center"/>
          </w:tcPr>
          <w:p>
            <w:pPr>
              <w:spacing w:line="360" w:lineRule="auto"/>
              <w:jc w:val="center"/>
              <w:rPr>
                <w:rFonts w:ascii="宋体"/>
                <w:color w:val="auto"/>
                <w:sz w:val="24"/>
                <w:highlight w:val="none"/>
              </w:rPr>
            </w:pPr>
          </w:p>
        </w:tc>
        <w:tc>
          <w:tcPr>
            <w:tcW w:w="1115" w:type="dxa"/>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2" w:type="dxa"/>
            <w:vAlign w:val="center"/>
          </w:tcPr>
          <w:p>
            <w:pPr>
              <w:spacing w:line="360" w:lineRule="auto"/>
              <w:jc w:val="center"/>
              <w:rPr>
                <w:rFonts w:ascii="宋体"/>
                <w:color w:val="auto"/>
                <w:sz w:val="24"/>
                <w:highlight w:val="none"/>
              </w:rPr>
            </w:pPr>
          </w:p>
        </w:tc>
        <w:tc>
          <w:tcPr>
            <w:tcW w:w="1171" w:type="dxa"/>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color w:val="auto"/>
                <w:sz w:val="24"/>
                <w:highlight w:val="none"/>
              </w:rPr>
            </w:pPr>
          </w:p>
        </w:tc>
        <w:tc>
          <w:tcPr>
            <w:tcW w:w="1165" w:type="dxa"/>
            <w:vAlign w:val="center"/>
          </w:tcPr>
          <w:p>
            <w:pPr>
              <w:spacing w:line="360" w:lineRule="auto"/>
              <w:jc w:val="center"/>
              <w:rPr>
                <w:rFonts w:ascii="宋体"/>
                <w:color w:val="auto"/>
                <w:sz w:val="24"/>
                <w:highlight w:val="none"/>
              </w:rPr>
            </w:pPr>
          </w:p>
        </w:tc>
        <w:tc>
          <w:tcPr>
            <w:tcW w:w="1115" w:type="dxa"/>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2" w:type="dxa"/>
            <w:vAlign w:val="center"/>
          </w:tcPr>
          <w:p>
            <w:pPr>
              <w:spacing w:line="360" w:lineRule="auto"/>
              <w:jc w:val="center"/>
              <w:rPr>
                <w:rFonts w:ascii="宋体"/>
                <w:color w:val="auto"/>
                <w:sz w:val="24"/>
                <w:highlight w:val="none"/>
              </w:rPr>
            </w:pPr>
          </w:p>
        </w:tc>
        <w:tc>
          <w:tcPr>
            <w:tcW w:w="1171" w:type="dxa"/>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color w:val="auto"/>
                <w:sz w:val="24"/>
                <w:highlight w:val="none"/>
              </w:rPr>
            </w:pPr>
          </w:p>
        </w:tc>
        <w:tc>
          <w:tcPr>
            <w:tcW w:w="1165" w:type="dxa"/>
            <w:vAlign w:val="center"/>
          </w:tcPr>
          <w:p>
            <w:pPr>
              <w:spacing w:line="360" w:lineRule="auto"/>
              <w:jc w:val="center"/>
              <w:rPr>
                <w:rFonts w:ascii="宋体"/>
                <w:color w:val="auto"/>
                <w:sz w:val="24"/>
                <w:highlight w:val="none"/>
              </w:rPr>
            </w:pPr>
          </w:p>
        </w:tc>
        <w:tc>
          <w:tcPr>
            <w:tcW w:w="1115" w:type="dxa"/>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2" w:type="dxa"/>
            <w:vAlign w:val="center"/>
          </w:tcPr>
          <w:p>
            <w:pPr>
              <w:spacing w:line="360" w:lineRule="auto"/>
              <w:jc w:val="center"/>
              <w:rPr>
                <w:rFonts w:ascii="宋体"/>
                <w:color w:val="auto"/>
                <w:sz w:val="24"/>
                <w:highlight w:val="none"/>
              </w:rPr>
            </w:pPr>
          </w:p>
        </w:tc>
        <w:tc>
          <w:tcPr>
            <w:tcW w:w="1171" w:type="dxa"/>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color w:val="auto"/>
                <w:sz w:val="24"/>
                <w:highlight w:val="none"/>
              </w:rPr>
            </w:pPr>
          </w:p>
        </w:tc>
        <w:tc>
          <w:tcPr>
            <w:tcW w:w="1165" w:type="dxa"/>
            <w:vAlign w:val="center"/>
          </w:tcPr>
          <w:p>
            <w:pPr>
              <w:spacing w:line="360" w:lineRule="auto"/>
              <w:jc w:val="center"/>
              <w:rPr>
                <w:rFonts w:ascii="宋体"/>
                <w:color w:val="auto"/>
                <w:sz w:val="24"/>
                <w:highlight w:val="none"/>
              </w:rPr>
            </w:pPr>
          </w:p>
        </w:tc>
        <w:tc>
          <w:tcPr>
            <w:tcW w:w="1115" w:type="dxa"/>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2" w:type="dxa"/>
            <w:vAlign w:val="center"/>
          </w:tcPr>
          <w:p>
            <w:pPr>
              <w:spacing w:line="360" w:lineRule="auto"/>
              <w:jc w:val="center"/>
              <w:rPr>
                <w:rFonts w:ascii="宋体"/>
                <w:color w:val="auto"/>
                <w:sz w:val="24"/>
                <w:highlight w:val="none"/>
              </w:rPr>
            </w:pPr>
          </w:p>
        </w:tc>
        <w:tc>
          <w:tcPr>
            <w:tcW w:w="1171" w:type="dxa"/>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color w:val="auto"/>
                <w:sz w:val="24"/>
                <w:highlight w:val="none"/>
              </w:rPr>
            </w:pPr>
          </w:p>
        </w:tc>
        <w:tc>
          <w:tcPr>
            <w:tcW w:w="1165" w:type="dxa"/>
            <w:vAlign w:val="center"/>
          </w:tcPr>
          <w:p>
            <w:pPr>
              <w:spacing w:line="360" w:lineRule="auto"/>
              <w:jc w:val="center"/>
              <w:rPr>
                <w:rFonts w:ascii="宋体"/>
                <w:color w:val="auto"/>
                <w:sz w:val="24"/>
                <w:highlight w:val="none"/>
              </w:rPr>
            </w:pPr>
          </w:p>
        </w:tc>
        <w:tc>
          <w:tcPr>
            <w:tcW w:w="1115" w:type="dxa"/>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2" w:type="dxa"/>
            <w:vAlign w:val="center"/>
          </w:tcPr>
          <w:p>
            <w:pPr>
              <w:spacing w:line="360" w:lineRule="auto"/>
              <w:jc w:val="center"/>
              <w:rPr>
                <w:rFonts w:ascii="宋体"/>
                <w:color w:val="auto"/>
                <w:sz w:val="24"/>
                <w:highlight w:val="none"/>
              </w:rPr>
            </w:pPr>
          </w:p>
        </w:tc>
        <w:tc>
          <w:tcPr>
            <w:tcW w:w="1171" w:type="dxa"/>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gridSpan w:val="2"/>
            <w:vAlign w:val="center"/>
          </w:tcPr>
          <w:p>
            <w:pPr>
              <w:spacing w:line="360" w:lineRule="auto"/>
              <w:jc w:val="center"/>
              <w:rPr>
                <w:rFonts w:ascii="宋体"/>
                <w:color w:val="auto"/>
                <w:sz w:val="24"/>
                <w:highlight w:val="none"/>
              </w:rPr>
            </w:pPr>
            <w:r>
              <w:rPr>
                <w:rFonts w:hint="eastAsia" w:ascii="宋体" w:hAnsi="宋体"/>
                <w:color w:val="auto"/>
                <w:sz w:val="24"/>
                <w:highlight w:val="none"/>
              </w:rPr>
              <w:t>合计总价</w:t>
            </w:r>
          </w:p>
        </w:tc>
        <w:tc>
          <w:tcPr>
            <w:tcW w:w="8088" w:type="dxa"/>
            <w:gridSpan w:val="7"/>
            <w:vAlign w:val="center"/>
          </w:tcPr>
          <w:p>
            <w:pPr>
              <w:spacing w:line="360" w:lineRule="auto"/>
              <w:rPr>
                <w:rFonts w:ascii="宋体"/>
                <w:color w:val="auto"/>
                <w:sz w:val="24"/>
                <w:highlight w:val="none"/>
                <w:u w:val="single"/>
              </w:rPr>
            </w:pPr>
            <w:r>
              <w:rPr>
                <w:rFonts w:hint="eastAsia" w:ascii="宋体" w:hAnsi="宋体"/>
                <w:color w:val="auto"/>
                <w:sz w:val="24"/>
                <w:highlight w:val="none"/>
              </w:rPr>
              <w:t>大写：      小写：      元</w:t>
            </w:r>
          </w:p>
        </w:tc>
      </w:tr>
    </w:tbl>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二、合同金额</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2.1 </w:t>
      </w:r>
      <w:r>
        <w:rPr>
          <w:rFonts w:hint="eastAsia" w:hAnsi="宋体"/>
          <w:color w:val="auto"/>
          <w:sz w:val="24"/>
          <w:szCs w:val="24"/>
          <w:highlight w:val="none"/>
        </w:rPr>
        <w:t>本合同金额为（大写）：</w:t>
      </w:r>
      <w:r>
        <w:rPr>
          <w:rFonts w:hAnsi="宋体"/>
          <w:color w:val="auto"/>
          <w:sz w:val="24"/>
          <w:szCs w:val="24"/>
          <w:highlight w:val="none"/>
        </w:rPr>
        <w:t>________________________</w:t>
      </w:r>
      <w:r>
        <w:rPr>
          <w:rFonts w:hint="eastAsia" w:hAnsi="宋体"/>
          <w:color w:val="auto"/>
          <w:sz w:val="24"/>
          <w:szCs w:val="24"/>
          <w:highlight w:val="none"/>
        </w:rPr>
        <w:t>元人民币。</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三、技术资料</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3.1</w:t>
      </w:r>
      <w:r>
        <w:rPr>
          <w:rFonts w:hint="eastAsia" w:hAnsi="宋体"/>
          <w:color w:val="auto"/>
          <w:sz w:val="24"/>
          <w:szCs w:val="24"/>
          <w:highlight w:val="none"/>
        </w:rPr>
        <w:t>乙方应按采购文件规定的时间向甲方提供使用货物的有关技术资料。</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3.2 </w:t>
      </w:r>
      <w:r>
        <w:rPr>
          <w:rFonts w:hint="eastAsia" w:hAnsi="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val="0"/>
        <w:snapToGrid w:val="0"/>
        <w:spacing w:before="120" w:after="120" w:line="360" w:lineRule="auto"/>
        <w:ind w:left="50" w:firstLine="660"/>
        <w:rPr>
          <w:rFonts w:hAnsi="宋体"/>
          <w:b/>
          <w:color w:val="auto"/>
          <w:sz w:val="24"/>
          <w:szCs w:val="24"/>
          <w:highlight w:val="none"/>
        </w:rPr>
      </w:pPr>
      <w:r>
        <w:rPr>
          <w:rFonts w:hint="eastAsia" w:hAnsi="宋体"/>
          <w:b/>
          <w:color w:val="auto"/>
          <w:sz w:val="24"/>
          <w:szCs w:val="24"/>
          <w:highlight w:val="none"/>
        </w:rPr>
        <w:t>四、知识产权</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乙方应保证甲方在使用、接受本合同货物和服务或其任何一部分时不受第三方提出侵犯其专利权、版权、商标权和工业设计权等知识产权的起诉。一旦出现侵权，由乙方负全部责任。</w:t>
      </w:r>
    </w:p>
    <w:p>
      <w:pPr>
        <w:pStyle w:val="10"/>
        <w:adjustRightInd w:val="0"/>
        <w:snapToGrid w:val="0"/>
        <w:spacing w:before="120" w:after="120" w:line="360" w:lineRule="auto"/>
        <w:ind w:firstLine="660"/>
        <w:rPr>
          <w:rFonts w:hAnsi="宋体"/>
          <w:color w:val="auto"/>
          <w:sz w:val="24"/>
          <w:szCs w:val="24"/>
          <w:highlight w:val="none"/>
          <w:u w:val="single"/>
        </w:rPr>
      </w:pPr>
      <w:r>
        <w:rPr>
          <w:rFonts w:hint="eastAsia" w:hAnsi="宋体"/>
          <w:b/>
          <w:color w:val="auto"/>
          <w:sz w:val="24"/>
          <w:szCs w:val="24"/>
          <w:highlight w:val="none"/>
        </w:rPr>
        <w:t>五、产权担保</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5.1 </w:t>
      </w:r>
      <w:r>
        <w:rPr>
          <w:rFonts w:hint="eastAsia" w:hAnsi="宋体"/>
          <w:color w:val="auto"/>
          <w:sz w:val="24"/>
          <w:szCs w:val="24"/>
          <w:highlight w:val="none"/>
        </w:rPr>
        <w:t>乙方保证所交付的货物的所有权完全属于乙方且无任何抵押、查封等产权瑕疵。</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六、履约保证金</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6.1 </w:t>
      </w:r>
      <w:r>
        <w:rPr>
          <w:rFonts w:hint="eastAsia" w:hAnsi="宋体"/>
          <w:color w:val="auto"/>
          <w:sz w:val="24"/>
          <w:szCs w:val="24"/>
          <w:highlight w:val="none"/>
        </w:rPr>
        <w:t>乙方交纳人民币</w:t>
      </w:r>
      <w:r>
        <w:rPr>
          <w:rFonts w:hAnsi="宋体"/>
          <w:color w:val="auto"/>
          <w:sz w:val="24"/>
          <w:szCs w:val="24"/>
          <w:highlight w:val="none"/>
        </w:rPr>
        <w:t>_____</w:t>
      </w:r>
      <w:r>
        <w:rPr>
          <w:rFonts w:hint="eastAsia" w:hAnsi="宋体"/>
          <w:color w:val="auto"/>
          <w:sz w:val="24"/>
          <w:szCs w:val="24"/>
          <w:highlight w:val="none"/>
        </w:rPr>
        <w:t>元作为本合同的履约保证金。</w:t>
      </w:r>
    </w:p>
    <w:p>
      <w:pPr>
        <w:adjustRightInd w:val="0"/>
        <w:snapToGrid w:val="0"/>
        <w:spacing w:before="156" w:beforeLines="50" w:after="156" w:afterLines="50" w:line="360" w:lineRule="auto"/>
        <w:ind w:firstLine="480"/>
        <w:rPr>
          <w:rFonts w:ascii="宋体" w:cs="Courier New"/>
          <w:b/>
          <w:color w:val="auto"/>
          <w:sz w:val="24"/>
          <w:highlight w:val="none"/>
        </w:rPr>
      </w:pPr>
      <w:r>
        <w:rPr>
          <w:rFonts w:hint="eastAsia" w:ascii="宋体" w:hAnsi="宋体" w:cs="Courier New"/>
          <w:b/>
          <w:color w:val="auto"/>
          <w:sz w:val="24"/>
          <w:highlight w:val="none"/>
        </w:rPr>
        <w:t>七</w:t>
      </w:r>
      <w:r>
        <w:rPr>
          <w:rFonts w:ascii="宋体" w:cs="Courier New"/>
          <w:b/>
          <w:color w:val="auto"/>
          <w:sz w:val="24"/>
          <w:highlight w:val="none"/>
        </w:rPr>
        <w:t>.</w:t>
      </w:r>
      <w:r>
        <w:rPr>
          <w:rFonts w:hint="eastAsia" w:ascii="宋体" w:hAnsi="宋体" w:cs="Courier New"/>
          <w:b/>
          <w:color w:val="auto"/>
          <w:sz w:val="24"/>
          <w:highlight w:val="none"/>
        </w:rPr>
        <w:t>转包或分包</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7.1</w:t>
      </w:r>
      <w:r>
        <w:rPr>
          <w:rFonts w:hint="eastAsia" w:hAnsi="宋体"/>
          <w:color w:val="auto"/>
          <w:sz w:val="24"/>
          <w:szCs w:val="24"/>
          <w:highlight w:val="none"/>
        </w:rPr>
        <w:t>本合同范围的货物，应由乙方直接供应，不得转让他人供应；</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7.2</w:t>
      </w:r>
      <w:r>
        <w:rPr>
          <w:rFonts w:hint="eastAsia" w:hAnsi="宋体"/>
          <w:color w:val="auto"/>
          <w:sz w:val="24"/>
          <w:szCs w:val="24"/>
          <w:highlight w:val="none"/>
        </w:rPr>
        <w:t>除非得到甲方的书面同意，乙方不得部分分包给他人供应。</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7.3</w:t>
      </w:r>
      <w:r>
        <w:rPr>
          <w:rFonts w:hint="eastAsia" w:hAnsi="宋体"/>
          <w:color w:val="auto"/>
          <w:sz w:val="24"/>
          <w:szCs w:val="24"/>
          <w:highlight w:val="none"/>
        </w:rPr>
        <w:t>如有转让和未经甲方同意的分包行为，甲方有权给予终止合同。</w:t>
      </w:r>
    </w:p>
    <w:p>
      <w:pPr>
        <w:pStyle w:val="10"/>
        <w:adjustRightInd w:val="0"/>
        <w:snapToGrid w:val="0"/>
        <w:spacing w:before="120" w:after="120" w:line="360" w:lineRule="auto"/>
        <w:ind w:firstLine="660"/>
        <w:rPr>
          <w:rFonts w:hAnsi="宋体"/>
          <w:color w:val="auto"/>
          <w:sz w:val="24"/>
          <w:szCs w:val="24"/>
          <w:highlight w:val="none"/>
        </w:rPr>
      </w:pPr>
      <w:r>
        <w:rPr>
          <w:rFonts w:hint="eastAsia" w:hAnsi="宋体"/>
          <w:b/>
          <w:color w:val="auto"/>
          <w:sz w:val="24"/>
          <w:szCs w:val="24"/>
          <w:highlight w:val="none"/>
        </w:rPr>
        <w:t>八、质保期</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8.1</w:t>
      </w:r>
      <w:r>
        <w:rPr>
          <w:rFonts w:hint="eastAsia" w:hAnsi="宋体"/>
          <w:color w:val="auto"/>
          <w:sz w:val="24"/>
          <w:szCs w:val="24"/>
          <w:highlight w:val="none"/>
        </w:rPr>
        <w:t>质保期</w:t>
      </w:r>
      <w:r>
        <w:rPr>
          <w:rFonts w:hAnsi="宋体"/>
          <w:color w:val="auto"/>
          <w:sz w:val="24"/>
          <w:szCs w:val="24"/>
          <w:highlight w:val="none"/>
        </w:rPr>
        <w:t>1</w:t>
      </w:r>
      <w:r>
        <w:rPr>
          <w:rFonts w:hint="eastAsia" w:hAnsi="宋体"/>
          <w:color w:val="auto"/>
          <w:sz w:val="24"/>
          <w:szCs w:val="24"/>
          <w:highlight w:val="none"/>
        </w:rPr>
        <w:t>年。（自交货验收合格之日起计）</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九、交货期、交货方式及交货地点</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9.1 </w:t>
      </w:r>
      <w:r>
        <w:rPr>
          <w:rFonts w:hint="eastAsia" w:hAnsi="宋体"/>
          <w:color w:val="auto"/>
          <w:sz w:val="24"/>
          <w:szCs w:val="24"/>
          <w:highlight w:val="none"/>
        </w:rPr>
        <w:t>交货期：</w:t>
      </w:r>
      <w:r>
        <w:rPr>
          <w:rFonts w:hAnsi="宋体"/>
          <w:color w:val="auto"/>
          <w:sz w:val="24"/>
          <w:szCs w:val="24"/>
          <w:highlight w:val="none"/>
        </w:rPr>
        <w:t>_________</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9.2 </w:t>
      </w:r>
      <w:r>
        <w:rPr>
          <w:rFonts w:hint="eastAsia" w:hAnsi="宋体"/>
          <w:color w:val="auto"/>
          <w:sz w:val="24"/>
          <w:szCs w:val="24"/>
          <w:highlight w:val="none"/>
        </w:rPr>
        <w:t>交货方式：</w:t>
      </w:r>
      <w:r>
        <w:rPr>
          <w:rFonts w:hAnsi="宋体"/>
          <w:color w:val="auto"/>
          <w:sz w:val="24"/>
          <w:szCs w:val="24"/>
          <w:highlight w:val="none"/>
        </w:rPr>
        <w:t>_________</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9.3 </w:t>
      </w:r>
      <w:r>
        <w:rPr>
          <w:rFonts w:hint="eastAsia" w:hAnsi="宋体"/>
          <w:color w:val="auto"/>
          <w:sz w:val="24"/>
          <w:szCs w:val="24"/>
          <w:highlight w:val="none"/>
        </w:rPr>
        <w:t>交货地点：用户单位地点或用户指定地点。</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十、货款支付</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10.1</w:t>
      </w:r>
      <w:r>
        <w:rPr>
          <w:rFonts w:hint="eastAsia" w:hAnsi="宋体"/>
          <w:color w:val="auto"/>
          <w:sz w:val="24"/>
          <w:szCs w:val="24"/>
          <w:highlight w:val="none"/>
        </w:rPr>
        <w:t>付款方式：针对国内供应货物，签订合同后，20日内预付合同金额的30%，全部货物交货并最终验收合格后，凭验收凭证和货物验收合格等文件20内支付至合同金额的100%，质量保证金质保期满后，</w:t>
      </w:r>
      <w:r>
        <w:rPr>
          <w:rFonts w:hAnsi="宋体"/>
          <w:color w:val="auto"/>
          <w:sz w:val="24"/>
          <w:szCs w:val="24"/>
          <w:highlight w:val="none"/>
        </w:rPr>
        <w:t>经有关单位确认无质量问题后，一次性</w:t>
      </w:r>
      <w:r>
        <w:rPr>
          <w:rFonts w:hint="eastAsia" w:hAnsi="宋体"/>
          <w:color w:val="auto"/>
          <w:sz w:val="24"/>
          <w:szCs w:val="24"/>
          <w:highlight w:val="none"/>
        </w:rPr>
        <w:t>无息付清</w:t>
      </w:r>
      <w:r>
        <w:rPr>
          <w:rFonts w:hAnsi="宋体"/>
          <w:color w:val="auto"/>
          <w:sz w:val="24"/>
          <w:szCs w:val="24"/>
          <w:highlight w:val="none"/>
        </w:rPr>
        <w:t>。具体内容以最终签署的合同约定为准。</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针对国外供应货物（进口货物），由外贸公司开具全额发票，外贸合同中采用100%信用证，90%见单即付，10%凭最终用户方签字和盖章的验收报告支付。</w:t>
      </w:r>
    </w:p>
    <w:p>
      <w:pPr>
        <w:ind w:firstLine="482" w:firstLineChars="200"/>
        <w:rPr>
          <w:rFonts w:ascii="宋体"/>
          <w:b/>
          <w:color w:val="auto"/>
          <w:sz w:val="24"/>
          <w:highlight w:val="none"/>
        </w:rPr>
      </w:pPr>
      <w:r>
        <w:rPr>
          <w:rFonts w:hint="eastAsia" w:ascii="宋体" w:hAnsi="宋体"/>
          <w:b/>
          <w:color w:val="auto"/>
          <w:sz w:val="24"/>
          <w:highlight w:val="none"/>
        </w:rPr>
        <w:t>十一、税</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11.1</w:t>
      </w:r>
      <w:r>
        <w:rPr>
          <w:rFonts w:hint="eastAsia" w:hAnsi="宋体"/>
          <w:color w:val="auto"/>
          <w:sz w:val="24"/>
          <w:szCs w:val="24"/>
          <w:highlight w:val="none"/>
        </w:rPr>
        <w:t>发票要求：针对国内供货的货物，乙方开具合同全额“增值税专用发票”。</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11.2</w:t>
      </w:r>
      <w:r>
        <w:rPr>
          <w:rFonts w:hint="eastAsia" w:hAnsi="宋体"/>
          <w:color w:val="auto"/>
          <w:sz w:val="24"/>
          <w:szCs w:val="24"/>
          <w:highlight w:val="none"/>
        </w:rPr>
        <w:t>本合同执行中相关的一切税费均由乙方负担。</w:t>
      </w:r>
    </w:p>
    <w:p>
      <w:pPr>
        <w:pStyle w:val="10"/>
        <w:adjustRightInd w:val="0"/>
        <w:snapToGrid w:val="0"/>
        <w:spacing w:before="120" w:after="120" w:line="360" w:lineRule="auto"/>
        <w:ind w:left="1" w:firstLine="660"/>
        <w:rPr>
          <w:rFonts w:hAnsi="宋体"/>
          <w:color w:val="auto"/>
          <w:sz w:val="24"/>
          <w:szCs w:val="24"/>
          <w:highlight w:val="none"/>
        </w:rPr>
      </w:pPr>
      <w:r>
        <w:rPr>
          <w:rFonts w:hint="eastAsia" w:hAnsi="宋体"/>
          <w:b/>
          <w:color w:val="auto"/>
          <w:sz w:val="24"/>
          <w:szCs w:val="24"/>
          <w:highlight w:val="none"/>
        </w:rPr>
        <w:t>十二、质量保证及售后服务</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12.1 </w:t>
      </w:r>
      <w:r>
        <w:rPr>
          <w:rFonts w:hint="eastAsia" w:hAnsi="宋体"/>
          <w:color w:val="auto"/>
          <w:sz w:val="24"/>
          <w:szCs w:val="24"/>
          <w:highlight w:val="none"/>
        </w:rPr>
        <w:t>乙方应按采购文件规定的货物性能、技术要求、质量标准向甲方提供未经使用的全新产品。针对国外供应货物（进口货物），乙方须提供原产地证明。</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12.2 </w:t>
      </w:r>
      <w:r>
        <w:rPr>
          <w:rFonts w:hint="eastAsia" w:hAnsi="宋体"/>
          <w:color w:val="auto"/>
          <w:sz w:val="24"/>
          <w:szCs w:val="24"/>
          <w:highlight w:val="none"/>
        </w:rPr>
        <w:t>乙方提供的货物在质量期内因货物本身的质量问题发生故障，乙方应负责免费更换。对达不到技术要求者，根据实际情况，经双方协商，可按以下办法处理：</w:t>
      </w:r>
    </w:p>
    <w:p>
      <w:pPr>
        <w:adjustRightInd w:val="0"/>
        <w:snapToGrid w:val="0"/>
        <w:spacing w:line="360" w:lineRule="auto"/>
        <w:ind w:firstLine="360" w:firstLineChars="15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）更换：由乙方承担所发生的全部费用。</w:t>
      </w:r>
    </w:p>
    <w:p>
      <w:pPr>
        <w:adjustRightInd w:val="0"/>
        <w:snapToGrid w:val="0"/>
        <w:spacing w:line="360" w:lineRule="auto"/>
        <w:ind w:firstLine="360" w:firstLineChars="15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）贬值处理：由甲乙双方合议定价。</w:t>
      </w:r>
    </w:p>
    <w:p>
      <w:pPr>
        <w:adjustRightInd w:val="0"/>
        <w:snapToGrid w:val="0"/>
        <w:spacing w:line="360" w:lineRule="auto"/>
        <w:ind w:firstLine="360" w:firstLineChars="15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）退货处理：乙方应退还甲方支付的合同款，同时应承担该货物的直接费用（运输、保险、检验、货款利息及银行手续费等）。</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12.3 </w:t>
      </w:r>
      <w:r>
        <w:rPr>
          <w:rFonts w:hint="eastAsia" w:hAnsi="宋体"/>
          <w:color w:val="auto"/>
          <w:sz w:val="24"/>
          <w:szCs w:val="24"/>
          <w:highlight w:val="none"/>
        </w:rPr>
        <w:t>如在使用过程中发生质量问题，乙方在接到甲方通知后在小时内到达甲方现场。</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12.4 </w:t>
      </w:r>
      <w:r>
        <w:rPr>
          <w:rFonts w:hint="eastAsia" w:hAnsi="宋体"/>
          <w:color w:val="auto"/>
          <w:sz w:val="24"/>
          <w:szCs w:val="24"/>
          <w:highlight w:val="none"/>
        </w:rPr>
        <w:t>在质保期内，乙方应对货物出现的质量及安全问题负责处理解决并承担一切费用。</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12.5</w:t>
      </w:r>
      <w:r>
        <w:rPr>
          <w:rFonts w:hint="eastAsia" w:hAnsi="宋体"/>
          <w:color w:val="auto"/>
          <w:sz w:val="24"/>
          <w:szCs w:val="24"/>
          <w:highlight w:val="none"/>
        </w:rPr>
        <w:t>上述的货物免费保修期为</w:t>
      </w:r>
      <w:r>
        <w:rPr>
          <w:rFonts w:hint="eastAsia" w:hAnsi="宋体"/>
          <w:color w:val="auto"/>
          <w:sz w:val="24"/>
          <w:szCs w:val="24"/>
          <w:highlight w:val="none"/>
          <w:u w:val="single"/>
        </w:rPr>
        <w:t xml:space="preserve">   </w:t>
      </w:r>
      <w:r>
        <w:rPr>
          <w:rFonts w:hint="eastAsia" w:hAnsi="宋体"/>
          <w:color w:val="auto"/>
          <w:sz w:val="24"/>
          <w:szCs w:val="24"/>
          <w:highlight w:val="none"/>
        </w:rPr>
        <w:t>年，因人为因素出现的故障不在免费保修范围内。超过保修期的机器设备，终生维修，维修时只收部件成本费。</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十三、调试和验收</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13.1 </w:t>
      </w:r>
      <w:r>
        <w:rPr>
          <w:rFonts w:hint="eastAsia" w:hAnsi="宋体"/>
          <w:color w:val="auto"/>
          <w:sz w:val="24"/>
          <w:szCs w:val="24"/>
          <w:highlight w:val="none"/>
        </w:rPr>
        <w:t>甲方对乙方提交的货物依据采购文件上的技术规格要求和国家有关质量标准进行现场初步验收，外观、说明书符合采购文件技术要求的，给予签收，初步验收不合格的不予签收。</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13.2 </w:t>
      </w:r>
      <w:r>
        <w:rPr>
          <w:rFonts w:hint="eastAsia" w:hAnsi="宋体"/>
          <w:color w:val="auto"/>
          <w:sz w:val="24"/>
          <w:szCs w:val="24"/>
          <w:highlight w:val="none"/>
        </w:rPr>
        <w:t>乙方交货前应对产品作出全面检查和对验收文件进行整理，并列出清单，作为甲方收货验收和使用的技术条件依据，检验的结果应随货物交甲方。</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13.3 </w:t>
      </w:r>
      <w:r>
        <w:rPr>
          <w:rFonts w:hint="eastAsia" w:hAnsi="宋体"/>
          <w:color w:val="auto"/>
          <w:sz w:val="24"/>
          <w:szCs w:val="24"/>
          <w:highlight w:val="none"/>
        </w:rPr>
        <w:t>甲方对乙方提供的货物在使用前进行调试时，乙方需负责安装并培训甲方的使用操作人员，并协助甲方一起调试，直到符合技术要求，甲方才做最终验收。</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13.4 </w:t>
      </w:r>
      <w:r>
        <w:rPr>
          <w:rFonts w:hint="eastAsia" w:hAnsi="宋体"/>
          <w:color w:val="auto"/>
          <w:sz w:val="24"/>
          <w:szCs w:val="24"/>
          <w:highlight w:val="none"/>
        </w:rPr>
        <w:t>对技术复杂的货物，甲方可请国家认可的专业检测机构参与初步验收及最终验收，并由其出具质量检测报告。</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13.5 </w:t>
      </w:r>
      <w:r>
        <w:rPr>
          <w:rFonts w:hint="eastAsia" w:hAnsi="宋体"/>
          <w:color w:val="auto"/>
          <w:sz w:val="24"/>
          <w:szCs w:val="24"/>
          <w:highlight w:val="none"/>
        </w:rPr>
        <w:t>验收时乙方必须在现场，验收完毕后作出验收结果报告，验收报告须经甲方最终用户签字和部门盖章。</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十四、货物包装、发运及运输</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14.1 </w:t>
      </w:r>
      <w:r>
        <w:rPr>
          <w:rFonts w:hint="eastAsia" w:hAnsi="宋体"/>
          <w:color w:val="auto"/>
          <w:sz w:val="24"/>
          <w:szCs w:val="24"/>
          <w:highlight w:val="none"/>
        </w:rPr>
        <w:t>乙方应在货物发运前对其进行满足运输距离、防潮、防震、防锈和防破损装卸等要求包装，以保证货物安全运达甲方指定地点。</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14.2 </w:t>
      </w:r>
      <w:r>
        <w:rPr>
          <w:rFonts w:hint="eastAsia" w:hAnsi="宋体"/>
          <w:color w:val="auto"/>
          <w:sz w:val="24"/>
          <w:szCs w:val="24"/>
          <w:highlight w:val="none"/>
        </w:rPr>
        <w:t>使用说明书、质量检验证明书、随配附件和工具以及清单一并附于货物内。</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14.3 </w:t>
      </w:r>
      <w:r>
        <w:rPr>
          <w:rFonts w:hint="eastAsia" w:hAnsi="宋体"/>
          <w:color w:val="auto"/>
          <w:sz w:val="24"/>
          <w:szCs w:val="24"/>
          <w:highlight w:val="none"/>
        </w:rPr>
        <w:t>乙方在货物发运手续办理完毕后</w:t>
      </w:r>
      <w:r>
        <w:rPr>
          <w:rFonts w:hAnsi="宋体"/>
          <w:color w:val="auto"/>
          <w:sz w:val="24"/>
          <w:szCs w:val="24"/>
          <w:highlight w:val="none"/>
        </w:rPr>
        <w:t>24</w:t>
      </w:r>
      <w:r>
        <w:rPr>
          <w:rFonts w:hint="eastAsia" w:hAnsi="宋体"/>
          <w:color w:val="auto"/>
          <w:sz w:val="24"/>
          <w:szCs w:val="24"/>
          <w:highlight w:val="none"/>
        </w:rPr>
        <w:t>小时内或货到甲方</w:t>
      </w:r>
      <w:r>
        <w:rPr>
          <w:rFonts w:hAnsi="宋体"/>
          <w:color w:val="auto"/>
          <w:sz w:val="24"/>
          <w:szCs w:val="24"/>
          <w:highlight w:val="none"/>
        </w:rPr>
        <w:t>48</w:t>
      </w:r>
      <w:r>
        <w:rPr>
          <w:rFonts w:hint="eastAsia" w:hAnsi="宋体"/>
          <w:color w:val="auto"/>
          <w:sz w:val="24"/>
          <w:szCs w:val="24"/>
          <w:highlight w:val="none"/>
        </w:rPr>
        <w:t>小时前通知甲方，以准备接货。</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14.4 </w:t>
      </w:r>
      <w:r>
        <w:rPr>
          <w:rFonts w:hint="eastAsia" w:hAnsi="宋体"/>
          <w:color w:val="auto"/>
          <w:sz w:val="24"/>
          <w:szCs w:val="24"/>
          <w:highlight w:val="none"/>
        </w:rPr>
        <w:t>货物在交付甲方前发生的风险均由乙方负责。</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14.5 </w:t>
      </w:r>
      <w:r>
        <w:rPr>
          <w:rFonts w:hint="eastAsia" w:hAnsi="宋体"/>
          <w:color w:val="auto"/>
          <w:sz w:val="24"/>
          <w:szCs w:val="24"/>
          <w:highlight w:val="none"/>
        </w:rPr>
        <w:t>货物在规定的交付期限内由乙方送达甲方指定的地点并经甲方验收合格视为交付，乙方同时需通知甲方货物已送达。</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十五、违约责任</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15.1</w:t>
      </w:r>
      <w:r>
        <w:rPr>
          <w:rFonts w:hint="eastAsia" w:hAnsi="宋体"/>
          <w:color w:val="auto"/>
          <w:sz w:val="24"/>
          <w:szCs w:val="24"/>
          <w:highlight w:val="none"/>
        </w:rPr>
        <w:t>乙方逾期交付货物的，乙方应按逾期交货总额每日千分之六向甲方支付违约金，由甲方从待付货款中扣除。逾期超过约定日期</w:t>
      </w:r>
      <w:r>
        <w:rPr>
          <w:rFonts w:hAnsi="宋体"/>
          <w:color w:val="auto"/>
          <w:sz w:val="24"/>
          <w:szCs w:val="24"/>
          <w:highlight w:val="none"/>
        </w:rPr>
        <w:t>10</w:t>
      </w:r>
      <w:r>
        <w:rPr>
          <w:rFonts w:hint="eastAsia" w:hAnsi="宋体"/>
          <w:color w:val="auto"/>
          <w:sz w:val="24"/>
          <w:szCs w:val="24"/>
          <w:highlight w:val="none"/>
        </w:rPr>
        <w:t>个工作日不能交货的，甲方可解除本合同。乙方因逾期交货或因其他违约行为导致甲方解除合同的，乙方应向甲方支付合同总值</w:t>
      </w:r>
      <w:r>
        <w:rPr>
          <w:rFonts w:hAnsi="宋体"/>
          <w:color w:val="auto"/>
          <w:sz w:val="24"/>
          <w:szCs w:val="24"/>
          <w:highlight w:val="none"/>
        </w:rPr>
        <w:t>5%</w:t>
      </w:r>
      <w:r>
        <w:rPr>
          <w:rFonts w:hint="eastAsia" w:hAnsi="宋体"/>
          <w:color w:val="auto"/>
          <w:sz w:val="24"/>
          <w:szCs w:val="24"/>
          <w:highlight w:val="none"/>
        </w:rPr>
        <w:t>的违约金，如造成甲方损失超过违约金的，超出部分由乙方继续承担赔偿责任。</w:t>
      </w:r>
    </w:p>
    <w:p>
      <w:pPr>
        <w:pStyle w:val="10"/>
        <w:adjustRightInd w:val="0"/>
        <w:snapToGrid w:val="0"/>
        <w:spacing w:before="120" w:after="120" w:line="360" w:lineRule="auto"/>
        <w:ind w:firstLine="658"/>
        <w:rPr>
          <w:rFonts w:hAnsi="宋体"/>
          <w:color w:val="auto"/>
          <w:sz w:val="24"/>
          <w:szCs w:val="24"/>
          <w:highlight w:val="none"/>
        </w:rPr>
      </w:pPr>
      <w:r>
        <w:rPr>
          <w:rFonts w:hAnsi="宋体"/>
          <w:color w:val="auto"/>
          <w:sz w:val="24"/>
          <w:szCs w:val="24"/>
          <w:highlight w:val="none"/>
        </w:rPr>
        <w:t>15.2</w:t>
      </w:r>
      <w:r>
        <w:rPr>
          <w:rFonts w:hint="eastAsia" w:hAnsi="宋体"/>
          <w:color w:val="auto"/>
          <w:sz w:val="24"/>
          <w:szCs w:val="24"/>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十六、廉政条款</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16.1</w:t>
      </w:r>
      <w:r>
        <w:rPr>
          <w:rFonts w:hint="eastAsia" w:hAnsi="宋体"/>
          <w:color w:val="auto"/>
          <w:sz w:val="24"/>
          <w:szCs w:val="24"/>
          <w:highlight w:val="none"/>
        </w:rPr>
        <w:t>乙方必须支持甲方的廉政建设，不得向甲方相关人员提供金钱和物质上的好处，一经发现处以合同金额</w:t>
      </w:r>
      <w:r>
        <w:rPr>
          <w:rFonts w:hAnsi="宋体"/>
          <w:color w:val="auto"/>
          <w:sz w:val="24"/>
          <w:szCs w:val="24"/>
          <w:highlight w:val="none"/>
        </w:rPr>
        <w:t>20%</w:t>
      </w:r>
      <w:r>
        <w:rPr>
          <w:rFonts w:hint="eastAsia" w:hAnsi="宋体"/>
          <w:color w:val="auto"/>
          <w:sz w:val="24"/>
          <w:szCs w:val="24"/>
          <w:highlight w:val="none"/>
        </w:rPr>
        <w:t>的罚款。</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十七、不可抗力事件处理</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 xml:space="preserve">17.1 </w:t>
      </w:r>
      <w:r>
        <w:rPr>
          <w:rFonts w:hint="eastAsia" w:hAnsi="宋体"/>
          <w:color w:val="auto"/>
          <w:sz w:val="24"/>
          <w:szCs w:val="24"/>
          <w:highlight w:val="none"/>
        </w:rPr>
        <w:t>在合同有效期内，任何一方因不可抗力事件导致不能履行合同，则合同履行期可延长，其延长期与不可抗力影响期相同。</w:t>
      </w:r>
    </w:p>
    <w:p>
      <w:pPr>
        <w:pStyle w:val="10"/>
        <w:adjustRightInd w:val="0"/>
        <w:snapToGrid w:val="0"/>
        <w:spacing w:before="120" w:after="120" w:line="360" w:lineRule="auto"/>
        <w:ind w:firstLine="658"/>
        <w:rPr>
          <w:rFonts w:hAnsi="宋体"/>
          <w:color w:val="auto"/>
          <w:sz w:val="24"/>
          <w:szCs w:val="24"/>
          <w:highlight w:val="none"/>
        </w:rPr>
      </w:pPr>
      <w:r>
        <w:rPr>
          <w:rFonts w:hAnsi="宋体"/>
          <w:color w:val="auto"/>
          <w:sz w:val="24"/>
          <w:szCs w:val="24"/>
          <w:highlight w:val="none"/>
        </w:rPr>
        <w:t xml:space="preserve">17.2 </w:t>
      </w:r>
      <w:r>
        <w:rPr>
          <w:rFonts w:hint="eastAsia" w:hAnsi="宋体"/>
          <w:color w:val="auto"/>
          <w:sz w:val="24"/>
          <w:szCs w:val="24"/>
          <w:highlight w:val="none"/>
        </w:rPr>
        <w:t>不可抗力事件发生后，应立即通知对方，并寄送有关权威机构出具的证明。</w:t>
      </w:r>
    </w:p>
    <w:p>
      <w:pPr>
        <w:pStyle w:val="10"/>
        <w:adjustRightInd w:val="0"/>
        <w:snapToGrid w:val="0"/>
        <w:spacing w:before="120" w:after="120" w:line="360" w:lineRule="auto"/>
        <w:ind w:firstLine="658"/>
        <w:rPr>
          <w:rFonts w:hAnsi="宋体"/>
          <w:color w:val="auto"/>
          <w:sz w:val="24"/>
          <w:szCs w:val="24"/>
          <w:highlight w:val="none"/>
        </w:rPr>
      </w:pPr>
      <w:r>
        <w:rPr>
          <w:rFonts w:hAnsi="宋体"/>
          <w:color w:val="auto"/>
          <w:sz w:val="24"/>
          <w:szCs w:val="24"/>
          <w:highlight w:val="none"/>
        </w:rPr>
        <w:t xml:space="preserve">17.3 </w:t>
      </w:r>
      <w:r>
        <w:rPr>
          <w:rFonts w:hint="eastAsia" w:hAnsi="宋体"/>
          <w:color w:val="auto"/>
          <w:sz w:val="24"/>
          <w:szCs w:val="24"/>
          <w:highlight w:val="none"/>
        </w:rPr>
        <w:t>不可抗力事件延续</w:t>
      </w:r>
      <w:r>
        <w:rPr>
          <w:rFonts w:hAnsi="宋体"/>
          <w:color w:val="auto"/>
          <w:sz w:val="24"/>
          <w:szCs w:val="24"/>
          <w:highlight w:val="none"/>
        </w:rPr>
        <w:t>30</w:t>
      </w:r>
      <w:r>
        <w:rPr>
          <w:rFonts w:hint="eastAsia" w:hAnsi="宋体"/>
          <w:color w:val="auto"/>
          <w:sz w:val="24"/>
          <w:szCs w:val="24"/>
          <w:highlight w:val="none"/>
        </w:rPr>
        <w:t>天以上，双方应通过友好协商，确定是否继续履行合同。</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十八、诉讼</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 xml:space="preserve">18.1 </w:t>
      </w:r>
      <w:r>
        <w:rPr>
          <w:rFonts w:hint="eastAsia" w:hAnsi="宋体"/>
          <w:color w:val="auto"/>
          <w:sz w:val="24"/>
          <w:szCs w:val="24"/>
          <w:highlight w:val="none"/>
        </w:rPr>
        <w:t>双方在执行合同中所发生的一切争议，应通过协商解决。如协商不成，可向合同签订地法院起诉，合同签订地在此约定为南京市。如因合同履行发生纠纷，适用中国法律。</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十九、合同文件的优先顺序</w:t>
      </w:r>
      <w:r>
        <w:rPr>
          <w:rFonts w:hint="eastAsia" w:hAnsi="宋体"/>
          <w:color w:val="auto"/>
          <w:sz w:val="24"/>
          <w:szCs w:val="24"/>
          <w:highlight w:val="none"/>
        </w:rPr>
        <w:t xml:space="preserve"> </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 xml:space="preserve">组成合同的各项文件应互相解释，互为说明。除专用合同条款另有约定外，解释合同文件的优先顺序如下： </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 xml:space="preserve">（1）合同协议书； </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（2）中标通知书；</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（3）招标文件；</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（4）投标函及其附录（如果有）；</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（5）专用合同条款及其附件；</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 xml:space="preserve">（6）通用合同条款； </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（7）技术标准和要求；</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（8）其他合同文件。</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二十、合同生效及其它</w:t>
      </w:r>
    </w:p>
    <w:p>
      <w:pPr>
        <w:pStyle w:val="10"/>
        <w:adjustRightInd w:val="0"/>
        <w:snapToGrid w:val="0"/>
        <w:spacing w:before="120" w:after="120" w:line="360" w:lineRule="auto"/>
        <w:ind w:firstLine="658"/>
        <w:rPr>
          <w:rFonts w:hAnsi="宋体"/>
          <w:color w:val="auto"/>
          <w:sz w:val="24"/>
          <w:szCs w:val="24"/>
          <w:highlight w:val="none"/>
        </w:rPr>
      </w:pPr>
      <w:r>
        <w:rPr>
          <w:rFonts w:hAnsi="宋体"/>
          <w:color w:val="auto"/>
          <w:sz w:val="24"/>
          <w:szCs w:val="24"/>
          <w:highlight w:val="none"/>
        </w:rPr>
        <w:t xml:space="preserve">19.1 </w:t>
      </w:r>
      <w:r>
        <w:rPr>
          <w:rFonts w:hint="eastAsia" w:hAnsi="宋体"/>
          <w:color w:val="auto"/>
          <w:sz w:val="24"/>
          <w:szCs w:val="24"/>
          <w:highlight w:val="none"/>
        </w:rPr>
        <w:t>合同经双方法定代表人或授权委托代表人签字并加盖单位公章后生效。</w:t>
      </w:r>
    </w:p>
    <w:p>
      <w:pPr>
        <w:pStyle w:val="10"/>
        <w:adjustRightInd w:val="0"/>
        <w:snapToGrid w:val="0"/>
        <w:spacing w:before="120" w:after="120" w:line="360" w:lineRule="auto"/>
        <w:ind w:firstLine="658"/>
        <w:rPr>
          <w:rFonts w:hAnsi="宋体"/>
          <w:color w:val="auto"/>
          <w:sz w:val="24"/>
          <w:szCs w:val="24"/>
          <w:highlight w:val="none"/>
        </w:rPr>
      </w:pPr>
      <w:r>
        <w:rPr>
          <w:rFonts w:hAnsi="宋体"/>
          <w:color w:val="auto"/>
          <w:sz w:val="24"/>
          <w:szCs w:val="24"/>
          <w:highlight w:val="none"/>
        </w:rPr>
        <w:t>19.2</w:t>
      </w:r>
      <w:r>
        <w:rPr>
          <w:rFonts w:hint="eastAsia" w:hAnsi="宋体"/>
          <w:color w:val="auto"/>
          <w:sz w:val="24"/>
          <w:szCs w:val="24"/>
          <w:highlight w:val="none"/>
        </w:rPr>
        <w:t>本合同未尽事宜，遵照《合同法》有关条文执行。</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 xml:space="preserve">19.3 </w:t>
      </w:r>
      <w:r>
        <w:rPr>
          <w:rFonts w:hint="eastAsia" w:hAnsi="宋体"/>
          <w:color w:val="auto"/>
          <w:sz w:val="24"/>
          <w:szCs w:val="24"/>
          <w:highlight w:val="none"/>
        </w:rPr>
        <w:t>本合同正本一式四份，具有同等法律效力，甲方、乙方各执两份。</w:t>
      </w:r>
    </w:p>
    <w:p>
      <w:pPr>
        <w:pStyle w:val="10"/>
        <w:adjustRightInd w:val="0"/>
        <w:snapToGrid w:val="0"/>
        <w:spacing w:before="120" w:after="120" w:line="360" w:lineRule="auto"/>
        <w:ind w:left="420" w:leftChars="200" w:firstLine="240" w:firstLineChars="100"/>
        <w:rPr>
          <w:rFonts w:hAnsi="宋体"/>
          <w:color w:val="auto"/>
          <w:sz w:val="24"/>
          <w:szCs w:val="24"/>
          <w:highlight w:val="none"/>
        </w:rPr>
      </w:pPr>
      <w:r>
        <w:rPr>
          <w:rFonts w:hint="eastAsia" w:hAnsi="宋体"/>
          <w:color w:val="auto"/>
          <w:sz w:val="24"/>
          <w:szCs w:val="24"/>
          <w:highlight w:val="none"/>
        </w:rPr>
        <w:t>甲方：乙方：</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地址：地址：</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法定代表人或授权代表：</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项目负责人</w:t>
      </w:r>
      <w:r>
        <w:rPr>
          <w:rFonts w:hAnsi="宋体"/>
          <w:color w:val="auto"/>
          <w:sz w:val="24"/>
          <w:szCs w:val="24"/>
          <w:highlight w:val="none"/>
        </w:rPr>
        <w:t xml:space="preserve">:                              </w:t>
      </w:r>
      <w:r>
        <w:rPr>
          <w:rFonts w:hint="eastAsia" w:hAnsi="宋体"/>
          <w:color w:val="auto"/>
          <w:sz w:val="24"/>
          <w:szCs w:val="24"/>
          <w:highlight w:val="none"/>
        </w:rPr>
        <w:t>法定代表人或授权代表：</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项目联系人</w:t>
      </w:r>
      <w:r>
        <w:rPr>
          <w:rFonts w:hAnsi="宋体"/>
          <w:color w:val="auto"/>
          <w:sz w:val="24"/>
          <w:szCs w:val="24"/>
          <w:highlight w:val="none"/>
        </w:rPr>
        <w:t>:</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联系电话：联系电话：</w:t>
      </w:r>
    </w:p>
    <w:p>
      <w:pPr>
        <w:pStyle w:val="10"/>
        <w:adjustRightInd w:val="0"/>
        <w:snapToGrid w:val="0"/>
        <w:spacing w:before="120" w:after="120" w:line="360" w:lineRule="auto"/>
        <w:ind w:firstLine="767"/>
        <w:rPr>
          <w:rFonts w:cs="仿宋"/>
          <w:color w:val="auto"/>
          <w:sz w:val="24"/>
          <w:highlight w:val="none"/>
        </w:rPr>
      </w:pPr>
      <w:r>
        <w:rPr>
          <w:rFonts w:hint="eastAsia"/>
          <w:color w:val="auto"/>
          <w:sz w:val="28"/>
          <w:szCs w:val="28"/>
          <w:highlight w:val="none"/>
        </w:rPr>
        <w:t>签订日期：      年   月   日</w:t>
      </w: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SFEIH+StoneSans">
    <w:altName w:val="微软雅黑"/>
    <w:panose1 w:val="00000000000000000000"/>
    <w:charset w:val="86"/>
    <w:family w:val="swiss"/>
    <w:pitch w:val="default"/>
    <w:sig w:usb0="00000000" w:usb1="00000000" w:usb2="00000010" w:usb3="00000000" w:csb0="00040000" w:csb1="00000000"/>
  </w:font>
  <w:font w:name="Open Sans Light">
    <w:altName w:val="Arial Unicode MS"/>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19</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22</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2年招标文件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MTlkYWQ1MDQxY2M5NTRlNzE5NDZkZmRiZWE0ZjE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01"/>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7BB6"/>
    <w:rsid w:val="001502CF"/>
    <w:rsid w:val="00151817"/>
    <w:rsid w:val="0015214C"/>
    <w:rsid w:val="0015225B"/>
    <w:rsid w:val="00152BCB"/>
    <w:rsid w:val="00152F12"/>
    <w:rsid w:val="00153196"/>
    <w:rsid w:val="0015430F"/>
    <w:rsid w:val="001559FB"/>
    <w:rsid w:val="0016003D"/>
    <w:rsid w:val="0016077E"/>
    <w:rsid w:val="0016145E"/>
    <w:rsid w:val="00162137"/>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063"/>
    <w:rsid w:val="001A1969"/>
    <w:rsid w:val="001A200D"/>
    <w:rsid w:val="001A4524"/>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FC2"/>
    <w:rsid w:val="001D4BA3"/>
    <w:rsid w:val="001D6CCD"/>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44B5"/>
    <w:rsid w:val="00214EF4"/>
    <w:rsid w:val="00217A6D"/>
    <w:rsid w:val="00221DE6"/>
    <w:rsid w:val="002228CD"/>
    <w:rsid w:val="002238C0"/>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1F13"/>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28AA"/>
    <w:rsid w:val="002E569D"/>
    <w:rsid w:val="002E6CB0"/>
    <w:rsid w:val="002E6E80"/>
    <w:rsid w:val="002E70DE"/>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62"/>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1A90"/>
    <w:rsid w:val="00372A01"/>
    <w:rsid w:val="00372D67"/>
    <w:rsid w:val="00373E38"/>
    <w:rsid w:val="003746B8"/>
    <w:rsid w:val="00376287"/>
    <w:rsid w:val="00377164"/>
    <w:rsid w:val="0038309B"/>
    <w:rsid w:val="00383BCB"/>
    <w:rsid w:val="00384882"/>
    <w:rsid w:val="003848DA"/>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5CD"/>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5DA"/>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5DD7"/>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08B5"/>
    <w:rsid w:val="00531000"/>
    <w:rsid w:val="0053114F"/>
    <w:rsid w:val="00533377"/>
    <w:rsid w:val="00533F15"/>
    <w:rsid w:val="00537018"/>
    <w:rsid w:val="00540A3F"/>
    <w:rsid w:val="00541B97"/>
    <w:rsid w:val="00544BF1"/>
    <w:rsid w:val="00545F0F"/>
    <w:rsid w:val="00546198"/>
    <w:rsid w:val="00551573"/>
    <w:rsid w:val="00552143"/>
    <w:rsid w:val="00552355"/>
    <w:rsid w:val="005526FE"/>
    <w:rsid w:val="00552BE2"/>
    <w:rsid w:val="00552BF3"/>
    <w:rsid w:val="005554FE"/>
    <w:rsid w:val="00556203"/>
    <w:rsid w:val="0055742D"/>
    <w:rsid w:val="00557D90"/>
    <w:rsid w:val="005629FF"/>
    <w:rsid w:val="00562AF1"/>
    <w:rsid w:val="00564725"/>
    <w:rsid w:val="00565862"/>
    <w:rsid w:val="00566142"/>
    <w:rsid w:val="005662B0"/>
    <w:rsid w:val="00566710"/>
    <w:rsid w:val="00571649"/>
    <w:rsid w:val="00572CF3"/>
    <w:rsid w:val="00576728"/>
    <w:rsid w:val="00581C3E"/>
    <w:rsid w:val="00584C3B"/>
    <w:rsid w:val="00585BC1"/>
    <w:rsid w:val="00585C5F"/>
    <w:rsid w:val="00587E68"/>
    <w:rsid w:val="00592237"/>
    <w:rsid w:val="0059325E"/>
    <w:rsid w:val="005947A6"/>
    <w:rsid w:val="00595AEA"/>
    <w:rsid w:val="0059609E"/>
    <w:rsid w:val="00596240"/>
    <w:rsid w:val="00596D34"/>
    <w:rsid w:val="005A2886"/>
    <w:rsid w:val="005A5A31"/>
    <w:rsid w:val="005A6067"/>
    <w:rsid w:val="005A6FDE"/>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C9"/>
    <w:rsid w:val="00637BFF"/>
    <w:rsid w:val="00637FE2"/>
    <w:rsid w:val="00641CAF"/>
    <w:rsid w:val="00646947"/>
    <w:rsid w:val="00650D24"/>
    <w:rsid w:val="006519C1"/>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90B98"/>
    <w:rsid w:val="00691A38"/>
    <w:rsid w:val="00692892"/>
    <w:rsid w:val="006928FF"/>
    <w:rsid w:val="00692C36"/>
    <w:rsid w:val="006947DF"/>
    <w:rsid w:val="006951B5"/>
    <w:rsid w:val="0069524B"/>
    <w:rsid w:val="00696030"/>
    <w:rsid w:val="00697C03"/>
    <w:rsid w:val="006A00DA"/>
    <w:rsid w:val="006A0576"/>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49D5"/>
    <w:rsid w:val="00745E15"/>
    <w:rsid w:val="007475EE"/>
    <w:rsid w:val="007478D2"/>
    <w:rsid w:val="00750F8A"/>
    <w:rsid w:val="00751019"/>
    <w:rsid w:val="007559EB"/>
    <w:rsid w:val="00757520"/>
    <w:rsid w:val="007577E7"/>
    <w:rsid w:val="0075782C"/>
    <w:rsid w:val="007605A9"/>
    <w:rsid w:val="0076167D"/>
    <w:rsid w:val="0076289B"/>
    <w:rsid w:val="00762912"/>
    <w:rsid w:val="00763E0D"/>
    <w:rsid w:val="0076475D"/>
    <w:rsid w:val="007649AC"/>
    <w:rsid w:val="00766EBB"/>
    <w:rsid w:val="007722FA"/>
    <w:rsid w:val="00772300"/>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173B"/>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0ECB"/>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0582"/>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0A3"/>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8F2"/>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3C9C"/>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0F6C"/>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7633D"/>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C5E"/>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43D3"/>
    <w:rsid w:val="00D26C2F"/>
    <w:rsid w:val="00D336D3"/>
    <w:rsid w:val="00D34FD3"/>
    <w:rsid w:val="00D35E01"/>
    <w:rsid w:val="00D36556"/>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772AB"/>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488A"/>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EF4"/>
    <w:rsid w:val="00F021F4"/>
    <w:rsid w:val="00F02FB9"/>
    <w:rsid w:val="00F0301E"/>
    <w:rsid w:val="00F037D9"/>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27FC9"/>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0EDF"/>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8204A8"/>
    <w:rsid w:val="036159EE"/>
    <w:rsid w:val="05B517B2"/>
    <w:rsid w:val="0666393D"/>
    <w:rsid w:val="072D44C0"/>
    <w:rsid w:val="078D73D6"/>
    <w:rsid w:val="07D33D16"/>
    <w:rsid w:val="08C1459D"/>
    <w:rsid w:val="09637941"/>
    <w:rsid w:val="0B675B31"/>
    <w:rsid w:val="0BDF51D7"/>
    <w:rsid w:val="0C3615C8"/>
    <w:rsid w:val="0C4861BD"/>
    <w:rsid w:val="0C7E7AA1"/>
    <w:rsid w:val="0CFE3A2E"/>
    <w:rsid w:val="0D873213"/>
    <w:rsid w:val="0D9425DE"/>
    <w:rsid w:val="0D99361C"/>
    <w:rsid w:val="0E296A0E"/>
    <w:rsid w:val="107D340A"/>
    <w:rsid w:val="10EB4170"/>
    <w:rsid w:val="10F05838"/>
    <w:rsid w:val="113C24CA"/>
    <w:rsid w:val="115B1783"/>
    <w:rsid w:val="119D0D41"/>
    <w:rsid w:val="11D57EAE"/>
    <w:rsid w:val="12162C3B"/>
    <w:rsid w:val="12F417B0"/>
    <w:rsid w:val="130F1D58"/>
    <w:rsid w:val="145263CB"/>
    <w:rsid w:val="146723C1"/>
    <w:rsid w:val="14896182"/>
    <w:rsid w:val="155010AB"/>
    <w:rsid w:val="15572C10"/>
    <w:rsid w:val="15737A45"/>
    <w:rsid w:val="1584594C"/>
    <w:rsid w:val="15907301"/>
    <w:rsid w:val="15A069B5"/>
    <w:rsid w:val="15A90346"/>
    <w:rsid w:val="15B24E31"/>
    <w:rsid w:val="15BD1BCA"/>
    <w:rsid w:val="16AA09BD"/>
    <w:rsid w:val="17652C65"/>
    <w:rsid w:val="17833DE3"/>
    <w:rsid w:val="195868A0"/>
    <w:rsid w:val="19775424"/>
    <w:rsid w:val="1A241EC0"/>
    <w:rsid w:val="1AE96A89"/>
    <w:rsid w:val="1C121D57"/>
    <w:rsid w:val="1C4A137C"/>
    <w:rsid w:val="1C8F1DE9"/>
    <w:rsid w:val="1DA871CA"/>
    <w:rsid w:val="1F11313D"/>
    <w:rsid w:val="1F956998"/>
    <w:rsid w:val="1FA31BDA"/>
    <w:rsid w:val="20DC5C02"/>
    <w:rsid w:val="20DE7ECC"/>
    <w:rsid w:val="20FE711F"/>
    <w:rsid w:val="21241474"/>
    <w:rsid w:val="21A70E96"/>
    <w:rsid w:val="22154312"/>
    <w:rsid w:val="225E4DAF"/>
    <w:rsid w:val="22891E2D"/>
    <w:rsid w:val="22A743B8"/>
    <w:rsid w:val="22D33607"/>
    <w:rsid w:val="23FD2509"/>
    <w:rsid w:val="243943F8"/>
    <w:rsid w:val="24E05430"/>
    <w:rsid w:val="25D8080A"/>
    <w:rsid w:val="267A7579"/>
    <w:rsid w:val="272231F7"/>
    <w:rsid w:val="27961F1E"/>
    <w:rsid w:val="27AD7C03"/>
    <w:rsid w:val="28C46277"/>
    <w:rsid w:val="29062B05"/>
    <w:rsid w:val="29127A38"/>
    <w:rsid w:val="2AAA7342"/>
    <w:rsid w:val="2AB43BC5"/>
    <w:rsid w:val="2B556F15"/>
    <w:rsid w:val="2B7F4BC3"/>
    <w:rsid w:val="2CE81BAF"/>
    <w:rsid w:val="2D1934AC"/>
    <w:rsid w:val="2DAC05D8"/>
    <w:rsid w:val="2DE728EA"/>
    <w:rsid w:val="2E726843"/>
    <w:rsid w:val="2E8B11F1"/>
    <w:rsid w:val="2EDC02FF"/>
    <w:rsid w:val="2EE87C86"/>
    <w:rsid w:val="2EEC5388"/>
    <w:rsid w:val="2FDC0137"/>
    <w:rsid w:val="3172033E"/>
    <w:rsid w:val="3227588C"/>
    <w:rsid w:val="325F6558"/>
    <w:rsid w:val="331653E5"/>
    <w:rsid w:val="33923E0B"/>
    <w:rsid w:val="341C30A3"/>
    <w:rsid w:val="351529A9"/>
    <w:rsid w:val="355A74E9"/>
    <w:rsid w:val="35FD1F7A"/>
    <w:rsid w:val="36616918"/>
    <w:rsid w:val="366D672C"/>
    <w:rsid w:val="3676129B"/>
    <w:rsid w:val="36E3150F"/>
    <w:rsid w:val="3836614A"/>
    <w:rsid w:val="384A4707"/>
    <w:rsid w:val="385D644E"/>
    <w:rsid w:val="38F33167"/>
    <w:rsid w:val="39C83C69"/>
    <w:rsid w:val="39CE5E1D"/>
    <w:rsid w:val="3A9701E9"/>
    <w:rsid w:val="3B4244C5"/>
    <w:rsid w:val="3C003247"/>
    <w:rsid w:val="3C05546D"/>
    <w:rsid w:val="3C8E6F2D"/>
    <w:rsid w:val="3D6145DC"/>
    <w:rsid w:val="3DD11BDD"/>
    <w:rsid w:val="3E495BEB"/>
    <w:rsid w:val="3E5E0082"/>
    <w:rsid w:val="3EDB4EA4"/>
    <w:rsid w:val="3F9F3463"/>
    <w:rsid w:val="3FC31914"/>
    <w:rsid w:val="405D6728"/>
    <w:rsid w:val="40FD6FDA"/>
    <w:rsid w:val="41110191"/>
    <w:rsid w:val="414A37BB"/>
    <w:rsid w:val="41B45A04"/>
    <w:rsid w:val="42643A73"/>
    <w:rsid w:val="42AA1012"/>
    <w:rsid w:val="43FB66E3"/>
    <w:rsid w:val="44C844E4"/>
    <w:rsid w:val="44DC7F4B"/>
    <w:rsid w:val="45651876"/>
    <w:rsid w:val="45CC523B"/>
    <w:rsid w:val="466F6CEB"/>
    <w:rsid w:val="46AA377D"/>
    <w:rsid w:val="49363676"/>
    <w:rsid w:val="49713AA7"/>
    <w:rsid w:val="499A2688"/>
    <w:rsid w:val="49D47D5A"/>
    <w:rsid w:val="49F62026"/>
    <w:rsid w:val="4A4B48E3"/>
    <w:rsid w:val="4B1A7369"/>
    <w:rsid w:val="4B5137BF"/>
    <w:rsid w:val="4D774E55"/>
    <w:rsid w:val="4DA86B45"/>
    <w:rsid w:val="4E3720DD"/>
    <w:rsid w:val="4F510F39"/>
    <w:rsid w:val="4FAF38AA"/>
    <w:rsid w:val="51497070"/>
    <w:rsid w:val="51E025FE"/>
    <w:rsid w:val="52922F88"/>
    <w:rsid w:val="52AA4A52"/>
    <w:rsid w:val="52FD675A"/>
    <w:rsid w:val="532B7AD5"/>
    <w:rsid w:val="53D80FA7"/>
    <w:rsid w:val="542D758B"/>
    <w:rsid w:val="5448002A"/>
    <w:rsid w:val="5473349C"/>
    <w:rsid w:val="549E05E7"/>
    <w:rsid w:val="54A3797A"/>
    <w:rsid w:val="54B6223B"/>
    <w:rsid w:val="54E15A0F"/>
    <w:rsid w:val="55344B23"/>
    <w:rsid w:val="56732DC5"/>
    <w:rsid w:val="56877A5F"/>
    <w:rsid w:val="56C21B98"/>
    <w:rsid w:val="57360F05"/>
    <w:rsid w:val="57E17663"/>
    <w:rsid w:val="581F495D"/>
    <w:rsid w:val="58484116"/>
    <w:rsid w:val="58DA78C0"/>
    <w:rsid w:val="58E017CC"/>
    <w:rsid w:val="5A770570"/>
    <w:rsid w:val="5AC859BF"/>
    <w:rsid w:val="5B4C17F1"/>
    <w:rsid w:val="5B900C61"/>
    <w:rsid w:val="5C0F2072"/>
    <w:rsid w:val="5CFC1D50"/>
    <w:rsid w:val="5E6C25B6"/>
    <w:rsid w:val="5E84123F"/>
    <w:rsid w:val="5F0028BB"/>
    <w:rsid w:val="5F2528F6"/>
    <w:rsid w:val="5F9764C2"/>
    <w:rsid w:val="603300A7"/>
    <w:rsid w:val="607E0927"/>
    <w:rsid w:val="60D968DA"/>
    <w:rsid w:val="60F41422"/>
    <w:rsid w:val="619D5BCC"/>
    <w:rsid w:val="62107539"/>
    <w:rsid w:val="6233128F"/>
    <w:rsid w:val="62635DDC"/>
    <w:rsid w:val="627A5C1C"/>
    <w:rsid w:val="62FE3555"/>
    <w:rsid w:val="63D7368B"/>
    <w:rsid w:val="63EA24F1"/>
    <w:rsid w:val="657A0549"/>
    <w:rsid w:val="665A104A"/>
    <w:rsid w:val="66E173DB"/>
    <w:rsid w:val="66ED444E"/>
    <w:rsid w:val="67341E78"/>
    <w:rsid w:val="67484273"/>
    <w:rsid w:val="68A603CF"/>
    <w:rsid w:val="69D32689"/>
    <w:rsid w:val="69E27B06"/>
    <w:rsid w:val="69EA623B"/>
    <w:rsid w:val="6A0F3694"/>
    <w:rsid w:val="6A5445FC"/>
    <w:rsid w:val="6A5C1E75"/>
    <w:rsid w:val="6AB76CFB"/>
    <w:rsid w:val="6ABA08C1"/>
    <w:rsid w:val="6BC1702A"/>
    <w:rsid w:val="6C282248"/>
    <w:rsid w:val="6CBD55AC"/>
    <w:rsid w:val="6DE636A7"/>
    <w:rsid w:val="6DE86594"/>
    <w:rsid w:val="6E5C2511"/>
    <w:rsid w:val="6FD44DCB"/>
    <w:rsid w:val="718764FD"/>
    <w:rsid w:val="725831A5"/>
    <w:rsid w:val="73607DE9"/>
    <w:rsid w:val="73711235"/>
    <w:rsid w:val="753E278B"/>
    <w:rsid w:val="75BE6EB5"/>
    <w:rsid w:val="7815375E"/>
    <w:rsid w:val="78C20502"/>
    <w:rsid w:val="790D6252"/>
    <w:rsid w:val="79E738F6"/>
    <w:rsid w:val="7AE40810"/>
    <w:rsid w:val="7B0749C7"/>
    <w:rsid w:val="7B2C5DE4"/>
    <w:rsid w:val="7BBB6C68"/>
    <w:rsid w:val="7C574749"/>
    <w:rsid w:val="7C8E2CF6"/>
    <w:rsid w:val="7C967B8B"/>
    <w:rsid w:val="7CD015B7"/>
    <w:rsid w:val="7E4931C0"/>
    <w:rsid w:val="7E7248EE"/>
    <w:rsid w:val="7EEF6C2A"/>
    <w:rsid w:val="7F074C20"/>
    <w:rsid w:val="7F363A3A"/>
    <w:rsid w:val="7FDF1E58"/>
    <w:rsid w:val="CFE2BFA3"/>
    <w:rsid w:val="DEA9E635"/>
    <w:rsid w:val="F6F617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9"/>
    <w:pPr>
      <w:keepNext/>
      <w:keepLines/>
      <w:spacing w:before="340" w:after="330" w:line="578" w:lineRule="auto"/>
      <w:outlineLvl w:val="0"/>
    </w:pPr>
    <w:rPr>
      <w:b/>
      <w:kern w:val="44"/>
      <w:sz w:val="44"/>
      <w:szCs w:val="20"/>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pPr>
  </w:style>
  <w:style w:type="paragraph" w:styleId="5">
    <w:name w:val="annotation text"/>
    <w:basedOn w:val="1"/>
    <w:link w:val="25"/>
    <w:qFormat/>
    <w:uiPriority w:val="99"/>
    <w:pPr>
      <w:jc w:val="left"/>
    </w:pPr>
    <w:rPr>
      <w:sz w:val="24"/>
      <w:szCs w:val="20"/>
    </w:rPr>
  </w:style>
  <w:style w:type="paragraph" w:styleId="6">
    <w:name w:val="Body Text"/>
    <w:basedOn w:val="1"/>
    <w:link w:val="43"/>
    <w:unhideWhenUsed/>
    <w:qFormat/>
    <w:locked/>
    <w:uiPriority w:val="99"/>
    <w:pPr>
      <w:spacing w:after="120"/>
    </w:pPr>
  </w:style>
  <w:style w:type="paragraph" w:styleId="7">
    <w:name w:val="Body Text Indent"/>
    <w:basedOn w:val="1"/>
    <w:link w:val="26"/>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7"/>
    <w:qFormat/>
    <w:uiPriority w:val="0"/>
    <w:rPr>
      <w:rFonts w:ascii="宋体" w:hAnsi="Courier New"/>
      <w:szCs w:val="20"/>
    </w:rPr>
  </w:style>
  <w:style w:type="paragraph" w:styleId="11">
    <w:name w:val="Date"/>
    <w:basedOn w:val="1"/>
    <w:next w:val="1"/>
    <w:link w:val="28"/>
    <w:qFormat/>
    <w:uiPriority w:val="99"/>
    <w:pPr>
      <w:ind w:left="100" w:leftChars="2500"/>
    </w:pPr>
    <w:rPr>
      <w:sz w:val="24"/>
      <w:szCs w:val="20"/>
    </w:rPr>
  </w:style>
  <w:style w:type="paragraph" w:styleId="12">
    <w:name w:val="Balloon Text"/>
    <w:basedOn w:val="1"/>
    <w:link w:val="52"/>
    <w:semiHidden/>
    <w:unhideWhenUsed/>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kern w:val="0"/>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1"/>
    <w:qFormat/>
    <w:uiPriority w:val="99"/>
    <w:rPr>
      <w:b/>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qFormat/>
    <w:uiPriority w:val="99"/>
    <w:rPr>
      <w:rFonts w:cs="Times New Roman"/>
      <w:color w:val="0563C1"/>
      <w:u w:val="single"/>
    </w:rPr>
  </w:style>
  <w:style w:type="character" w:styleId="22">
    <w:name w:val="annotation reference"/>
    <w:basedOn w:val="19"/>
    <w:qFormat/>
    <w:uiPriority w:val="99"/>
    <w:rPr>
      <w:rFonts w:cs="Times New Roman"/>
      <w:sz w:val="21"/>
    </w:rPr>
  </w:style>
  <w:style w:type="paragraph" w:customStyle="1" w:styleId="2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标题 1 字符"/>
    <w:link w:val="3"/>
    <w:qFormat/>
    <w:locked/>
    <w:uiPriority w:val="99"/>
    <w:rPr>
      <w:rFonts w:cs="Times New Roman"/>
      <w:b/>
      <w:kern w:val="44"/>
      <w:sz w:val="44"/>
    </w:rPr>
  </w:style>
  <w:style w:type="character" w:customStyle="1" w:styleId="25">
    <w:name w:val="批注文字 字符"/>
    <w:link w:val="5"/>
    <w:qFormat/>
    <w:locked/>
    <w:uiPriority w:val="99"/>
    <w:rPr>
      <w:rFonts w:cs="Times New Roman"/>
      <w:kern w:val="2"/>
      <w:sz w:val="24"/>
    </w:rPr>
  </w:style>
  <w:style w:type="character" w:customStyle="1" w:styleId="26">
    <w:name w:val="正文文本缩进 字符"/>
    <w:link w:val="7"/>
    <w:qFormat/>
    <w:locked/>
    <w:uiPriority w:val="99"/>
    <w:rPr>
      <w:rFonts w:ascii="等线" w:eastAsia="等线" w:cs="Times New Roman"/>
      <w:kern w:val="2"/>
      <w:sz w:val="22"/>
    </w:rPr>
  </w:style>
  <w:style w:type="character" w:customStyle="1" w:styleId="27">
    <w:name w:val="纯文本 字符"/>
    <w:link w:val="10"/>
    <w:qFormat/>
    <w:locked/>
    <w:uiPriority w:val="0"/>
    <w:rPr>
      <w:rFonts w:ascii="宋体" w:hAnsi="Courier New" w:cs="Times New Roman"/>
      <w:kern w:val="2"/>
      <w:sz w:val="21"/>
    </w:rPr>
  </w:style>
  <w:style w:type="character" w:customStyle="1" w:styleId="28">
    <w:name w:val="日期 字符"/>
    <w:link w:val="11"/>
    <w:qFormat/>
    <w:locked/>
    <w:uiPriority w:val="99"/>
    <w:rPr>
      <w:rFonts w:cs="Times New Roman"/>
      <w:kern w:val="2"/>
      <w:sz w:val="24"/>
    </w:rPr>
  </w:style>
  <w:style w:type="character" w:customStyle="1" w:styleId="29">
    <w:name w:val="页脚 字符"/>
    <w:link w:val="13"/>
    <w:semiHidden/>
    <w:qFormat/>
    <w:locked/>
    <w:uiPriority w:val="99"/>
    <w:rPr>
      <w:rFonts w:cs="Times New Roman"/>
      <w:sz w:val="18"/>
      <w:szCs w:val="18"/>
    </w:rPr>
  </w:style>
  <w:style w:type="character" w:customStyle="1" w:styleId="30">
    <w:name w:val="页眉 字符"/>
    <w:link w:val="14"/>
    <w:qFormat/>
    <w:locked/>
    <w:uiPriority w:val="99"/>
    <w:rPr>
      <w:rFonts w:cs="Times New Roman"/>
      <w:kern w:val="2"/>
      <w:sz w:val="18"/>
    </w:rPr>
  </w:style>
  <w:style w:type="character" w:customStyle="1" w:styleId="31">
    <w:name w:val="批注主题 字符"/>
    <w:link w:val="16"/>
    <w:qFormat/>
    <w:locked/>
    <w:uiPriority w:val="99"/>
    <w:rPr>
      <w:rFonts w:cs="Times New Roman"/>
      <w:b/>
      <w:kern w:val="2"/>
      <w:sz w:val="24"/>
    </w:rPr>
  </w:style>
  <w:style w:type="paragraph" w:customStyle="1" w:styleId="32">
    <w:name w:val="Char"/>
    <w:basedOn w:val="1"/>
    <w:qFormat/>
    <w:uiPriority w:val="99"/>
    <w:pPr>
      <w:tabs>
        <w:tab w:val="left" w:pos="360"/>
      </w:tabs>
    </w:pPr>
    <w:rPr>
      <w:sz w:val="24"/>
    </w:rPr>
  </w:style>
  <w:style w:type="character" w:customStyle="1" w:styleId="33">
    <w:name w:val="列出段落 Char"/>
    <w:link w:val="34"/>
    <w:qFormat/>
    <w:locked/>
    <w:uiPriority w:val="0"/>
  </w:style>
  <w:style w:type="paragraph" w:customStyle="1" w:styleId="34">
    <w:name w:val="列出段落1"/>
    <w:basedOn w:val="1"/>
    <w:link w:val="33"/>
    <w:qFormat/>
    <w:uiPriority w:val="34"/>
    <w:pPr>
      <w:widowControl/>
      <w:ind w:firstLine="420" w:firstLineChars="200"/>
      <w:jc w:val="left"/>
    </w:pPr>
    <w:rPr>
      <w:kern w:val="0"/>
      <w:sz w:val="20"/>
      <w:szCs w:val="20"/>
    </w:rPr>
  </w:style>
  <w:style w:type="table" w:customStyle="1" w:styleId="35">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占位符文本1"/>
    <w:semiHidden/>
    <w:qFormat/>
    <w:uiPriority w:val="99"/>
    <w:rPr>
      <w:rFonts w:cs="Times New Roman"/>
      <w:color w:val="808080"/>
    </w:rPr>
  </w:style>
  <w:style w:type="paragraph" w:customStyle="1" w:styleId="37">
    <w:name w:val="列出段落1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8">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9">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列出段落2"/>
    <w:basedOn w:val="1"/>
    <w:qFormat/>
    <w:uiPriority w:val="99"/>
    <w:pPr>
      <w:ind w:firstLine="420" w:firstLineChars="200"/>
    </w:pPr>
    <w:rPr>
      <w:rFonts w:ascii="Calibri" w:hAnsi="Calibri"/>
      <w:szCs w:val="22"/>
    </w:rPr>
  </w:style>
  <w:style w:type="character" w:customStyle="1" w:styleId="41">
    <w:name w:val="标题 2 Char Char Char"/>
    <w:qFormat/>
    <w:uiPriority w:val="99"/>
    <w:rPr>
      <w:rFonts w:ascii="Arial" w:hAnsi="Arial" w:eastAsia="黑体"/>
      <w:b/>
      <w:kern w:val="2"/>
      <w:sz w:val="32"/>
      <w:lang w:val="en-US" w:eastAsia="zh-CN"/>
    </w:rPr>
  </w:style>
  <w:style w:type="paragraph" w:customStyle="1" w:styleId="42">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3">
    <w:name w:val="正文文本 字符"/>
    <w:link w:val="6"/>
    <w:qFormat/>
    <w:uiPriority w:val="99"/>
    <w:rPr>
      <w:kern w:val="2"/>
      <w:sz w:val="21"/>
      <w:szCs w:val="24"/>
    </w:rPr>
  </w:style>
  <w:style w:type="paragraph" w:customStyle="1" w:styleId="44">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5">
    <w:name w:val="正文2"/>
    <w:basedOn w:val="1"/>
    <w:qFormat/>
    <w:uiPriority w:val="0"/>
    <w:pPr>
      <w:spacing w:before="156" w:line="360" w:lineRule="auto"/>
      <w:ind w:firstLine="510" w:firstLineChars="200"/>
    </w:pPr>
    <w:rPr>
      <w:sz w:val="24"/>
    </w:rPr>
  </w:style>
  <w:style w:type="paragraph" w:customStyle="1" w:styleId="46">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7">
    <w:name w:val="A9"/>
    <w:qFormat/>
    <w:uiPriority w:val="0"/>
    <w:rPr>
      <w:rFonts w:cs="PSFEIH+StoneSans"/>
      <w:color w:val="262424"/>
      <w:sz w:val="20"/>
      <w:szCs w:val="20"/>
    </w:rPr>
  </w:style>
  <w:style w:type="paragraph" w:customStyle="1" w:styleId="4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9">
    <w:name w:val="A14"/>
    <w:qFormat/>
    <w:uiPriority w:val="99"/>
    <w:rPr>
      <w:rFonts w:cs="Open Sans Light"/>
      <w:color w:val="FFFFFF"/>
      <w:sz w:val="13"/>
      <w:szCs w:val="13"/>
    </w:rPr>
  </w:style>
  <w:style w:type="paragraph" w:customStyle="1" w:styleId="50">
    <w:name w:val="表格文字"/>
    <w:basedOn w:val="1"/>
    <w:next w:val="6"/>
    <w:qFormat/>
    <w:uiPriority w:val="0"/>
    <w:rPr>
      <w:sz w:val="24"/>
    </w:rPr>
  </w:style>
  <w:style w:type="paragraph" w:customStyle="1" w:styleId="5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2">
    <w:name w:val="批注框文本 字符"/>
    <w:basedOn w:val="19"/>
    <w:link w:val="1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11755</Words>
  <Characters>12475</Characters>
  <Lines>94</Lines>
  <Paragraphs>26</Paragraphs>
  <TotalTime>8</TotalTime>
  <ScaleCrop>false</ScaleCrop>
  <LinksUpToDate>false</LinksUpToDate>
  <CharactersWithSpaces>12631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2022-08-17T03:05:00Z</dcterms:created>
  <dc:creator>微软用户</dc:creator>
  <cp:lastModifiedBy>Administrator</cp:lastModifiedBy>
  <cp:lastPrinted>2019-11-23T01:53:00Z</cp:lastPrinted>
  <dcterms:modified xsi:type="dcterms:W3CDTF">2022-09-15T03:42:35Z</dcterms:modified>
  <dc:title>淮海工学院A8-10号楼学生宿舍家具招标书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7FBDF63D27554338BB8BC1E9614956A8</vt:lpwstr>
  </property>
</Properties>
</file>