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44"/>
          <w:szCs w:val="44"/>
          <w:highlight w:val="none"/>
        </w:rPr>
      </w:pPr>
      <w:r>
        <w:rPr>
          <w:rFonts w:hint="eastAsia"/>
          <w:b/>
          <w:color w:val="auto"/>
          <w:sz w:val="44"/>
          <w:szCs w:val="44"/>
          <w:highlight w:val="none"/>
        </w:rPr>
        <w:t>南京信息工程大学金牛湖园区沙盘模型</w:t>
      </w:r>
    </w:p>
    <w:p>
      <w:pPr>
        <w:jc w:val="center"/>
        <w:rPr>
          <w:b/>
          <w:color w:val="auto"/>
          <w:sz w:val="44"/>
          <w:szCs w:val="44"/>
          <w:highlight w:val="none"/>
        </w:rPr>
      </w:pPr>
      <w:r>
        <w:rPr>
          <w:rFonts w:hint="eastAsia"/>
          <w:b/>
          <w:color w:val="auto"/>
          <w:sz w:val="44"/>
          <w:szCs w:val="44"/>
          <w:highlight w:val="none"/>
        </w:rPr>
        <w:t>设计及制作项目</w:t>
      </w:r>
      <w:r>
        <w:rPr>
          <w:b/>
          <w:color w:val="auto"/>
          <w:sz w:val="44"/>
          <w:szCs w:val="44"/>
          <w:highlight w:val="none"/>
        </w:rPr>
        <w:t>招标文件</w:t>
      </w:r>
    </w:p>
    <w:p>
      <w:pPr>
        <w:pStyle w:val="8"/>
        <w:ind w:left="1470" w:right="1470"/>
        <w:rPr>
          <w:color w:val="auto"/>
          <w:highlight w:val="none"/>
        </w:rPr>
      </w:pPr>
    </w:p>
    <w:p>
      <w:pPr>
        <w:adjustRightInd w:val="0"/>
        <w:snapToGrid w:val="0"/>
        <w:spacing w:line="360" w:lineRule="auto"/>
        <w:jc w:val="center"/>
        <w:rPr>
          <w:rFonts w:ascii="宋体" w:hAnsi="宋体" w:cs="仿宋"/>
          <w:color w:val="auto"/>
          <w:sz w:val="28"/>
          <w:szCs w:val="28"/>
          <w:highlight w:val="none"/>
        </w:rPr>
      </w:pPr>
      <w:r>
        <w:rPr>
          <w:rFonts w:hint="eastAsia" w:ascii="宋体" w:hAnsi="宋体" w:cs="仿宋"/>
          <w:color w:val="auto"/>
          <w:sz w:val="28"/>
          <w:szCs w:val="28"/>
          <w:highlight w:val="none"/>
        </w:rPr>
        <w:t>（招标编号：</w:t>
      </w:r>
      <w:r>
        <w:rPr>
          <w:rFonts w:hint="eastAsia" w:ascii="宋体" w:hAnsi="宋体" w:cs="仿宋"/>
          <w:color w:val="auto"/>
          <w:sz w:val="28"/>
          <w:szCs w:val="28"/>
          <w:highlight w:val="none"/>
          <w:u w:val="single"/>
        </w:rPr>
        <w:t xml:space="preserve"> JZCG-2022-00146</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rPr>
        <w:t>）</w:t>
      </w:r>
    </w:p>
    <w:p>
      <w:pPr>
        <w:adjustRightInd w:val="0"/>
        <w:snapToGrid w:val="0"/>
        <w:spacing w:line="360" w:lineRule="auto"/>
        <w:jc w:val="center"/>
        <w:rPr>
          <w:rFonts w:ascii="宋体" w:cs="仿宋"/>
          <w:color w:val="auto"/>
          <w:sz w:val="28"/>
          <w:szCs w:val="28"/>
          <w:highlight w:val="none"/>
        </w:rPr>
      </w:pPr>
    </w:p>
    <w:p>
      <w:pPr>
        <w:adjustRightInd w:val="0"/>
        <w:snapToGrid w:val="0"/>
        <w:spacing w:line="360" w:lineRule="auto"/>
        <w:jc w:val="center"/>
        <w:rPr>
          <w:rFonts w:ascii="宋体" w:cs="仿宋"/>
          <w:color w:val="auto"/>
          <w:sz w:val="28"/>
          <w:szCs w:val="28"/>
          <w:highlight w:val="none"/>
        </w:rPr>
      </w:pPr>
      <w:r>
        <w:rPr>
          <w:rFonts w:ascii="宋体" w:hAnsi="宋体" w:cs="仿宋"/>
          <w:color w:val="auto"/>
          <w:sz w:val="28"/>
          <w:szCs w:val="28"/>
          <w:highlight w:val="none"/>
        </w:rPr>
        <w:t>(</w:t>
      </w:r>
      <w:r>
        <w:rPr>
          <w:rFonts w:ascii="宋体" w:hAnsi="宋体" w:cs="仿宋"/>
          <w:color w:val="auto"/>
          <w:sz w:val="28"/>
          <w:szCs w:val="28"/>
          <w:highlight w:val="none"/>
          <w:u w:val="single"/>
        </w:rPr>
        <w:t>20</w:t>
      </w:r>
      <w:r>
        <w:rPr>
          <w:rFonts w:hint="eastAsia" w:ascii="宋体" w:hAnsi="宋体" w:cs="仿宋"/>
          <w:color w:val="auto"/>
          <w:sz w:val="28"/>
          <w:szCs w:val="28"/>
          <w:highlight w:val="none"/>
          <w:u w:val="single"/>
        </w:rPr>
        <w:t>2</w:t>
      </w:r>
      <w:r>
        <w:rPr>
          <w:rFonts w:hint="eastAsia" w:ascii="宋体" w:hAnsi="宋体" w:cs="仿宋"/>
          <w:color w:val="auto"/>
          <w:sz w:val="28"/>
          <w:szCs w:val="28"/>
          <w:highlight w:val="none"/>
          <w:u w:val="single"/>
          <w:lang w:val="en-US" w:eastAsia="zh-CN"/>
        </w:rPr>
        <w:t>3</w:t>
      </w:r>
      <w:r>
        <w:rPr>
          <w:rFonts w:hint="eastAsia" w:ascii="宋体" w:hAnsi="宋体" w:cs="仿宋"/>
          <w:color w:val="auto"/>
          <w:sz w:val="28"/>
          <w:szCs w:val="28"/>
          <w:highlight w:val="none"/>
          <w:u w:val="single"/>
        </w:rPr>
        <w:t>年</w:t>
      </w:r>
      <w:r>
        <w:rPr>
          <w:rFonts w:hint="eastAsia" w:ascii="宋体" w:hAnsi="宋体" w:cs="仿宋"/>
          <w:color w:val="auto"/>
          <w:sz w:val="28"/>
          <w:szCs w:val="28"/>
          <w:highlight w:val="none"/>
          <w:u w:val="single"/>
          <w:lang w:val="en-US" w:eastAsia="zh-CN"/>
        </w:rPr>
        <w:t>0</w:t>
      </w:r>
      <w:r>
        <w:rPr>
          <w:rFonts w:hint="eastAsia" w:ascii="宋体" w:hAnsi="宋体" w:cs="仿宋"/>
          <w:color w:val="auto"/>
          <w:sz w:val="28"/>
          <w:szCs w:val="28"/>
          <w:highlight w:val="none"/>
          <w:u w:val="single"/>
        </w:rPr>
        <w:t>1月</w:t>
      </w:r>
      <w:r>
        <w:rPr>
          <w:rFonts w:hint="eastAsia" w:ascii="宋体" w:hAnsi="宋体" w:cs="仿宋"/>
          <w:color w:val="auto"/>
          <w:sz w:val="28"/>
          <w:szCs w:val="28"/>
          <w:highlight w:val="none"/>
          <w:u w:val="single"/>
          <w:lang w:val="en-US" w:eastAsia="zh-CN"/>
        </w:rPr>
        <w:t>04</w:t>
      </w:r>
      <w:r>
        <w:rPr>
          <w:rFonts w:ascii="宋体" w:hAnsi="宋体" w:cs="仿宋"/>
          <w:color w:val="auto"/>
          <w:sz w:val="28"/>
          <w:szCs w:val="28"/>
          <w:highlight w:val="none"/>
          <w:u w:val="single"/>
        </w:rPr>
        <w:t xml:space="preserve"> </w:t>
      </w:r>
      <w:r>
        <w:rPr>
          <w:rFonts w:hint="eastAsia" w:ascii="宋体" w:hAnsi="宋体" w:cs="仿宋"/>
          <w:color w:val="auto"/>
          <w:sz w:val="28"/>
          <w:szCs w:val="28"/>
          <w:highlight w:val="none"/>
          <w:u w:val="single"/>
        </w:rPr>
        <w:t>日1</w:t>
      </w:r>
      <w:r>
        <w:rPr>
          <w:rFonts w:hint="eastAsia" w:ascii="宋体" w:hAnsi="宋体" w:cs="仿宋"/>
          <w:color w:val="auto"/>
          <w:sz w:val="28"/>
          <w:szCs w:val="28"/>
          <w:highlight w:val="none"/>
          <w:u w:val="single"/>
          <w:lang w:val="en-US" w:eastAsia="zh-CN"/>
        </w:rPr>
        <w:t>4</w:t>
      </w:r>
      <w:r>
        <w:rPr>
          <w:rFonts w:hint="eastAsia" w:ascii="宋体" w:hAnsi="宋体" w:cs="仿宋"/>
          <w:color w:val="auto"/>
          <w:sz w:val="28"/>
          <w:szCs w:val="28"/>
          <w:highlight w:val="none"/>
          <w:u w:val="single"/>
        </w:rPr>
        <w:t>：</w:t>
      </w:r>
      <w:r>
        <w:rPr>
          <w:rFonts w:ascii="宋体" w:cs="仿宋"/>
          <w:color w:val="auto"/>
          <w:sz w:val="28"/>
          <w:szCs w:val="28"/>
          <w:highlight w:val="none"/>
          <w:u w:val="single"/>
        </w:rPr>
        <w:t>00</w:t>
      </w:r>
      <w:r>
        <w:rPr>
          <w:rFonts w:hint="eastAsia" w:ascii="宋体" w:hAnsi="宋体" w:cs="仿宋"/>
          <w:color w:val="auto"/>
          <w:sz w:val="28"/>
          <w:szCs w:val="28"/>
          <w:highlight w:val="none"/>
          <w:u w:val="single"/>
        </w:rPr>
        <w:t>定标发标版</w:t>
      </w:r>
      <w:r>
        <w:rPr>
          <w:rFonts w:ascii="宋体" w:hAnsi="宋体" w:cs="仿宋"/>
          <w:color w:val="auto"/>
          <w:sz w:val="28"/>
          <w:szCs w:val="28"/>
          <w:highlight w:val="none"/>
        </w:rPr>
        <w:t>)</w:t>
      </w:r>
    </w:p>
    <w:p>
      <w:pPr>
        <w:jc w:val="center"/>
        <w:rPr>
          <w:b/>
          <w:color w:val="auto"/>
          <w:sz w:val="28"/>
          <w:szCs w:val="28"/>
          <w:highlight w:val="none"/>
        </w:rPr>
      </w:pP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为满足</w:t>
      </w:r>
      <w:r>
        <w:rPr>
          <w:rFonts w:hint="eastAsia" w:ascii="宋体" w:hAnsi="宋体"/>
          <w:color w:val="auto"/>
          <w:sz w:val="28"/>
          <w:szCs w:val="28"/>
          <w:highlight w:val="none"/>
        </w:rPr>
        <w:t>金牛湖园区运行管理</w:t>
      </w:r>
      <w:r>
        <w:rPr>
          <w:rFonts w:ascii="宋体" w:hAnsi="宋体"/>
          <w:color w:val="auto"/>
          <w:sz w:val="28"/>
          <w:szCs w:val="28"/>
          <w:highlight w:val="none"/>
        </w:rPr>
        <w:t>工作需要，受</w:t>
      </w:r>
      <w:r>
        <w:rPr>
          <w:rFonts w:hint="eastAsia" w:ascii="宋体" w:hAnsi="宋体"/>
          <w:color w:val="auto"/>
          <w:sz w:val="28"/>
          <w:szCs w:val="28"/>
          <w:highlight w:val="none"/>
        </w:rPr>
        <w:t>金牛湖</w:t>
      </w:r>
      <w:r>
        <w:rPr>
          <w:rFonts w:hint="default" w:ascii="宋体" w:hAnsi="宋体"/>
          <w:color w:val="auto"/>
          <w:sz w:val="28"/>
          <w:szCs w:val="28"/>
          <w:highlight w:val="none"/>
          <w:lang w:val="en-US" w:eastAsia="zh-CN"/>
        </w:rPr>
        <w:t>产教融合</w:t>
      </w:r>
      <w:r>
        <w:rPr>
          <w:rFonts w:hint="eastAsia" w:ascii="宋体" w:hAnsi="宋体"/>
          <w:color w:val="auto"/>
          <w:sz w:val="28"/>
          <w:szCs w:val="28"/>
          <w:highlight w:val="none"/>
        </w:rPr>
        <w:t>园区管委会</w:t>
      </w:r>
      <w:r>
        <w:rPr>
          <w:rFonts w:ascii="宋体" w:hAnsi="宋体"/>
          <w:color w:val="auto"/>
          <w:sz w:val="28"/>
          <w:szCs w:val="28"/>
          <w:highlight w:val="none"/>
        </w:rPr>
        <w:t>委托，就</w:t>
      </w:r>
      <w:r>
        <w:rPr>
          <w:rFonts w:hint="eastAsia" w:ascii="宋体" w:hAnsi="宋体"/>
          <w:color w:val="auto"/>
          <w:sz w:val="28"/>
          <w:szCs w:val="28"/>
          <w:highlight w:val="none"/>
        </w:rPr>
        <w:t>南京信息工程大学金牛湖园区沙盘模型设计及制作项目</w:t>
      </w:r>
      <w:r>
        <w:rPr>
          <w:rFonts w:ascii="宋体" w:hAnsi="宋体"/>
          <w:color w:val="auto"/>
          <w:sz w:val="28"/>
          <w:szCs w:val="28"/>
          <w:highlight w:val="none"/>
        </w:rPr>
        <w:t>进行公开招标，欢迎符合条件的供应商报名投标，现将有关情况说明如下：</w:t>
      </w:r>
    </w:p>
    <w:p>
      <w:pPr>
        <w:spacing w:line="360" w:lineRule="auto"/>
        <w:ind w:firstLine="480" w:firstLineChars="200"/>
        <w:rPr>
          <w:color w:val="auto"/>
          <w:sz w:val="24"/>
          <w:highlight w:val="none"/>
        </w:rPr>
      </w:pPr>
    </w:p>
    <w:p>
      <w:pPr>
        <w:pStyle w:val="34"/>
        <w:spacing w:line="360" w:lineRule="auto"/>
        <w:ind w:firstLine="0" w:firstLineChars="0"/>
        <w:jc w:val="center"/>
        <w:rPr>
          <w:rFonts w:ascii="宋体" w:hAnsi="宋体" w:cs="仿宋"/>
          <w:b/>
          <w:bCs/>
          <w:color w:val="auto"/>
          <w:kern w:val="2"/>
          <w:sz w:val="28"/>
          <w:szCs w:val="28"/>
          <w:highlight w:val="none"/>
        </w:rPr>
      </w:pPr>
      <w:r>
        <w:rPr>
          <w:rFonts w:hint="eastAsia" w:ascii="宋体" w:hAnsi="宋体" w:cs="仿宋"/>
          <w:b/>
          <w:bCs/>
          <w:color w:val="auto"/>
          <w:kern w:val="2"/>
          <w:sz w:val="28"/>
          <w:szCs w:val="28"/>
          <w:highlight w:val="none"/>
        </w:rPr>
        <w:t>一、招标项目名称及简要说明</w:t>
      </w:r>
    </w:p>
    <w:p>
      <w:pPr>
        <w:pStyle w:val="34"/>
        <w:spacing w:line="360" w:lineRule="auto"/>
        <w:ind w:firstLine="560"/>
        <w:rPr>
          <w:rFonts w:ascii="宋体" w:hAnsi="宋体"/>
          <w:color w:val="auto"/>
          <w:kern w:val="2"/>
          <w:sz w:val="28"/>
          <w:szCs w:val="28"/>
          <w:highlight w:val="none"/>
        </w:rPr>
      </w:pPr>
      <w:r>
        <w:rPr>
          <w:rFonts w:ascii="宋体" w:hAnsi="宋体"/>
          <w:color w:val="auto"/>
          <w:kern w:val="2"/>
          <w:sz w:val="28"/>
          <w:szCs w:val="28"/>
          <w:highlight w:val="none"/>
        </w:rPr>
        <w:t>1. 项目名称：</w:t>
      </w:r>
      <w:r>
        <w:rPr>
          <w:rFonts w:hint="eastAsia" w:ascii="宋体" w:hAnsi="宋体"/>
          <w:color w:val="auto"/>
          <w:sz w:val="28"/>
          <w:szCs w:val="28"/>
          <w:highlight w:val="none"/>
        </w:rPr>
        <w:t>南京信息工程大学金牛湖园区沙盘模型设计及制作</w:t>
      </w:r>
      <w:r>
        <w:rPr>
          <w:rFonts w:hint="eastAsia" w:ascii="宋体" w:hAnsi="宋体"/>
          <w:color w:val="auto"/>
          <w:kern w:val="2"/>
          <w:sz w:val="28"/>
          <w:szCs w:val="28"/>
          <w:highlight w:val="none"/>
        </w:rPr>
        <w:t>项目</w:t>
      </w:r>
      <w:r>
        <w:rPr>
          <w:rFonts w:ascii="宋体" w:hAnsi="宋体"/>
          <w:color w:val="auto"/>
          <w:kern w:val="2"/>
          <w:sz w:val="28"/>
          <w:szCs w:val="28"/>
          <w:highlight w:val="none"/>
        </w:rPr>
        <w:t>。</w:t>
      </w:r>
    </w:p>
    <w:p>
      <w:pPr>
        <w:spacing w:line="300" w:lineRule="auto"/>
        <w:ind w:firstLine="560" w:firstLineChars="200"/>
        <w:rPr>
          <w:rFonts w:ascii="宋体" w:hAnsi="宋体"/>
          <w:color w:val="auto"/>
          <w:sz w:val="28"/>
          <w:szCs w:val="28"/>
          <w:highlight w:val="none"/>
        </w:rPr>
      </w:pPr>
      <w:r>
        <w:rPr>
          <w:rFonts w:ascii="宋体" w:hAnsi="宋体"/>
          <w:color w:val="auto"/>
          <w:sz w:val="28"/>
          <w:szCs w:val="28"/>
          <w:highlight w:val="none"/>
        </w:rPr>
        <w:t xml:space="preserve">2. </w:t>
      </w:r>
      <w:r>
        <w:rPr>
          <w:rFonts w:hint="eastAsia" w:ascii="宋体" w:hAnsi="宋体" w:cs="仿宋"/>
          <w:color w:val="auto"/>
          <w:sz w:val="28"/>
          <w:szCs w:val="28"/>
          <w:highlight w:val="none"/>
        </w:rPr>
        <w:t>项目说明：</w:t>
      </w:r>
      <w:r>
        <w:rPr>
          <w:rFonts w:hint="eastAsia" w:ascii="宋体" w:hAnsi="宋体"/>
          <w:color w:val="auto"/>
          <w:sz w:val="28"/>
          <w:szCs w:val="28"/>
          <w:highlight w:val="none"/>
        </w:rPr>
        <w:t>南京信息工程大学校金牛湖园区内，本次招标</w:t>
      </w:r>
      <w:r>
        <w:rPr>
          <w:rFonts w:hint="eastAsia" w:ascii="宋体" w:hAnsi="宋体" w:cs="仿宋"/>
          <w:color w:val="auto"/>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color w:val="auto"/>
          <w:sz w:val="28"/>
          <w:szCs w:val="28"/>
          <w:highlight w:val="none"/>
        </w:rPr>
      </w:pPr>
      <w:r>
        <w:rPr>
          <w:rFonts w:ascii="宋体" w:hAnsi="宋体"/>
          <w:color w:val="auto"/>
          <w:sz w:val="28"/>
          <w:szCs w:val="28"/>
          <w:highlight w:val="none"/>
        </w:rPr>
        <w:t>3</w:t>
      </w:r>
      <w:bookmarkStart w:id="0" w:name="_Hlk9865971"/>
      <w:r>
        <w:rPr>
          <w:rFonts w:hint="eastAsia" w:ascii="宋体" w:hAnsi="宋体"/>
          <w:color w:val="auto"/>
          <w:sz w:val="28"/>
          <w:szCs w:val="28"/>
          <w:highlight w:val="none"/>
        </w:rPr>
        <w:t>.本次招标采取公开招标方式，不承诺最低价（最高价）中标。招标公告和中标公示信息均在</w:t>
      </w:r>
      <w:r>
        <w:rPr>
          <w:color w:val="auto"/>
          <w:highlight w:val="none"/>
        </w:rPr>
        <w:fldChar w:fldCharType="begin"/>
      </w:r>
      <w:r>
        <w:rPr>
          <w:color w:val="auto"/>
          <w:highlight w:val="none"/>
        </w:rPr>
        <w:instrText xml:space="preserve"> HYPERLINK "https://bulletin.nuist.edu.cn/779/list.htm" </w:instrText>
      </w:r>
      <w:r>
        <w:rPr>
          <w:color w:val="auto"/>
          <w:highlight w:val="none"/>
        </w:rPr>
        <w:fldChar w:fldCharType="separate"/>
      </w:r>
      <w:r>
        <w:rPr>
          <w:rStyle w:val="22"/>
          <w:b/>
          <w:color w:val="auto"/>
          <w:sz w:val="24"/>
          <w:highlight w:val="none"/>
        </w:rPr>
        <w:t>https://bulletin.nuist.edu.cn/779/lis</w:t>
      </w:r>
      <w:r>
        <w:rPr>
          <w:rStyle w:val="22"/>
          <w:color w:val="auto"/>
          <w:sz w:val="24"/>
          <w:highlight w:val="none"/>
        </w:rPr>
        <w:t>t.htm</w:t>
      </w:r>
      <w:r>
        <w:rPr>
          <w:rStyle w:val="22"/>
          <w:color w:val="auto"/>
          <w:sz w:val="24"/>
          <w:highlight w:val="none"/>
        </w:rPr>
        <w:fldChar w:fldCharType="end"/>
      </w:r>
      <w:r>
        <w:rPr>
          <w:rFonts w:hint="eastAsia" w:ascii="宋体" w:hAnsi="宋体"/>
          <w:color w:val="auto"/>
          <w:sz w:val="28"/>
          <w:szCs w:val="28"/>
          <w:highlight w:val="none"/>
        </w:rPr>
        <w:t>和</w:t>
      </w:r>
      <w:r>
        <w:rPr>
          <w:color w:val="auto"/>
          <w:highlight w:val="none"/>
        </w:rPr>
        <w:fldChar w:fldCharType="begin"/>
      </w:r>
      <w:r>
        <w:rPr>
          <w:color w:val="auto"/>
          <w:highlight w:val="none"/>
        </w:rPr>
        <w:instrText xml:space="preserve"> HYPERLINK "http://zbc.nuist.edu.cn" </w:instrText>
      </w:r>
      <w:r>
        <w:rPr>
          <w:color w:val="auto"/>
          <w:highlight w:val="none"/>
        </w:rPr>
        <w:fldChar w:fldCharType="separate"/>
      </w:r>
      <w:r>
        <w:rPr>
          <w:rFonts w:ascii="宋体" w:hAnsi="宋体"/>
          <w:b/>
          <w:color w:val="auto"/>
          <w:sz w:val="24"/>
          <w:szCs w:val="28"/>
          <w:highlight w:val="none"/>
          <w:u w:val="single"/>
        </w:rPr>
        <w:t>zbc.nuist.edu.cn</w:t>
      </w:r>
      <w:r>
        <w:rPr>
          <w:rFonts w:ascii="宋体" w:hAnsi="宋体"/>
          <w:b/>
          <w:color w:val="auto"/>
          <w:sz w:val="24"/>
          <w:szCs w:val="28"/>
          <w:highlight w:val="none"/>
          <w:u w:val="single"/>
        </w:rPr>
        <w:fldChar w:fldCharType="end"/>
      </w:r>
      <w:r>
        <w:rPr>
          <w:rFonts w:hint="eastAsia" w:ascii="宋体" w:hAnsi="宋体"/>
          <w:color w:val="auto"/>
          <w:sz w:val="28"/>
          <w:szCs w:val="28"/>
          <w:highlight w:val="none"/>
        </w:rPr>
        <w:t>网页上公开发布</w:t>
      </w:r>
      <w:r>
        <w:rPr>
          <w:rFonts w:ascii="宋体"/>
          <w:color w:val="auto"/>
          <w:sz w:val="28"/>
          <w:szCs w:val="28"/>
          <w:highlight w:val="none"/>
        </w:rPr>
        <w:t>,</w:t>
      </w:r>
      <w:r>
        <w:rPr>
          <w:rFonts w:hint="eastAsia" w:ascii="宋体" w:hAnsi="宋体"/>
          <w:color w:val="auto"/>
          <w:sz w:val="28"/>
          <w:szCs w:val="28"/>
          <w:highlight w:val="none"/>
        </w:rPr>
        <w:t>接受监督。欢迎社会招标机构和网站转载，转载信息与我校网站信息不一致时，以我校网站为准。</w:t>
      </w:r>
    </w:p>
    <w:bookmarkEnd w:id="0"/>
    <w:p>
      <w:pPr>
        <w:spacing w:line="360" w:lineRule="auto"/>
        <w:ind w:firstLine="570"/>
        <w:jc w:val="left"/>
        <w:rPr>
          <w:rFonts w:ascii="宋体" w:hAnsi="宋体" w:cs="宋体"/>
          <w:color w:val="auto"/>
          <w:sz w:val="28"/>
          <w:szCs w:val="28"/>
          <w:highlight w:val="none"/>
        </w:rPr>
      </w:pPr>
      <w:r>
        <w:rPr>
          <w:rFonts w:ascii="宋体" w:hAnsi="宋体"/>
          <w:color w:val="auto"/>
          <w:sz w:val="28"/>
          <w:szCs w:val="28"/>
          <w:highlight w:val="none"/>
        </w:rPr>
        <w:t>4</w:t>
      </w:r>
      <w:bookmarkStart w:id="1" w:name="_Hlk9866054"/>
      <w:r>
        <w:rPr>
          <w:rFonts w:hint="eastAsia" w:ascii="宋体" w:hAnsi="宋体"/>
          <w:color w:val="auto"/>
          <w:sz w:val="28"/>
          <w:szCs w:val="28"/>
          <w:highlight w:val="none"/>
        </w:rPr>
        <w:t>.招标文件由我校采购人、项目归口管理部门和招标办联合起草；经学校相关职能部门会审通过形成正式招标文件。同时</w:t>
      </w:r>
      <w:r>
        <w:rPr>
          <w:rFonts w:hint="eastAsia" w:ascii="宋体" w:hAnsi="宋体" w:cs="宋体"/>
          <w:color w:val="auto"/>
          <w:sz w:val="28"/>
          <w:szCs w:val="28"/>
          <w:highlight w:val="none"/>
        </w:rPr>
        <w:t>打印</w:t>
      </w:r>
      <w:r>
        <w:rPr>
          <w:rFonts w:ascii="宋体" w:hAnsi="宋体" w:cs="宋体"/>
          <w:color w:val="auto"/>
          <w:sz w:val="28"/>
          <w:szCs w:val="28"/>
          <w:highlight w:val="none"/>
        </w:rPr>
        <w:t>3</w:t>
      </w:r>
      <w:r>
        <w:rPr>
          <w:rFonts w:hint="eastAsia" w:ascii="宋体" w:hAnsi="宋体" w:cs="宋体"/>
          <w:color w:val="auto"/>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color w:val="auto"/>
          <w:sz w:val="28"/>
          <w:szCs w:val="28"/>
          <w:highlight w:val="none"/>
        </w:rPr>
        <w:t>1</w:t>
      </w:r>
      <w:r>
        <w:rPr>
          <w:rFonts w:hint="eastAsia" w:ascii="宋体" w:hAnsi="宋体" w:cs="宋体"/>
          <w:color w:val="auto"/>
          <w:sz w:val="28"/>
          <w:szCs w:val="28"/>
          <w:highlight w:val="none"/>
        </w:rPr>
        <w:t>份，作为相关部门存档、合同签订、项目竣工验收和决（结）算审计，以及处理纠纷等的依据。</w:t>
      </w:r>
    </w:p>
    <w:bookmarkEnd w:id="1"/>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5.正式的答疑回复文件也按上述方式处理留存。</w:t>
      </w:r>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6.投标有效期：自开标之日起90天内投标有效。</w:t>
      </w:r>
    </w:p>
    <w:p>
      <w:pPr>
        <w:spacing w:line="360" w:lineRule="auto"/>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color w:val="auto"/>
          <w:sz w:val="28"/>
          <w:szCs w:val="28"/>
          <w:highlight w:val="none"/>
        </w:rPr>
      </w:pPr>
      <w:r>
        <w:rPr>
          <w:rFonts w:hint="eastAsia" w:ascii="宋体" w:hAnsi="宋体" w:cs="仿宋"/>
          <w:b/>
          <w:bCs/>
          <w:color w:val="auto"/>
          <w:sz w:val="28"/>
          <w:szCs w:val="28"/>
          <w:highlight w:val="none"/>
        </w:rPr>
        <w:t>二、对投标人及投标报价的要求</w:t>
      </w:r>
    </w:p>
    <w:p>
      <w:pPr>
        <w:snapToGrid w:val="0"/>
        <w:spacing w:line="360" w:lineRule="auto"/>
        <w:ind w:firstLine="540" w:firstLineChars="192"/>
        <w:rPr>
          <w:rFonts w:ascii="宋体" w:hAnsi="宋体"/>
          <w:b/>
          <w:color w:val="auto"/>
          <w:kern w:val="0"/>
          <w:sz w:val="28"/>
          <w:szCs w:val="28"/>
          <w:highlight w:val="none"/>
        </w:rPr>
      </w:pPr>
      <w:r>
        <w:rPr>
          <w:rFonts w:hint="eastAsia" w:ascii="宋体" w:hAnsi="宋体"/>
          <w:b/>
          <w:color w:val="auto"/>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color w:val="auto"/>
          <w:kern w:val="0"/>
          <w:sz w:val="28"/>
          <w:szCs w:val="28"/>
          <w:highlight w:val="none"/>
          <w:u w:val="single"/>
        </w:rPr>
      </w:pPr>
      <w:r>
        <w:rPr>
          <w:rFonts w:hint="eastAsia" w:ascii="宋体" w:hAnsi="宋体" w:cs="Arial"/>
          <w:i/>
          <w:iCs/>
          <w:color w:val="auto"/>
          <w:sz w:val="28"/>
          <w:szCs w:val="28"/>
          <w:highlight w:val="none"/>
          <w:u w:val="single"/>
        </w:rPr>
        <w:t>（一）参加政府采购的供应商应当具备政府采购法</w:t>
      </w:r>
      <w:r>
        <w:rPr>
          <w:rFonts w:ascii="宋体" w:hAnsi="宋体" w:cs="Arial"/>
          <w:i/>
          <w:iCs/>
          <w:color w:val="auto"/>
          <w:sz w:val="28"/>
          <w:szCs w:val="28"/>
          <w:highlight w:val="none"/>
          <w:u w:val="single"/>
        </w:rPr>
        <w:t>第二十二条</w:t>
      </w:r>
      <w:r>
        <w:rPr>
          <w:rFonts w:hint="eastAsia" w:ascii="宋体" w:hAnsi="宋体" w:cs="Arial"/>
          <w:i/>
          <w:iCs/>
          <w:color w:val="auto"/>
          <w:sz w:val="28"/>
          <w:szCs w:val="28"/>
          <w:highlight w:val="none"/>
          <w:u w:val="single"/>
        </w:rPr>
        <w:t>第一款</w:t>
      </w:r>
      <w:r>
        <w:rPr>
          <w:rFonts w:ascii="宋体" w:hAnsi="宋体" w:cs="Arial"/>
          <w:i/>
          <w:iCs/>
          <w:color w:val="auto"/>
          <w:sz w:val="28"/>
          <w:szCs w:val="28"/>
          <w:highlight w:val="none"/>
          <w:u w:val="single"/>
        </w:rPr>
        <w:t>规定</w:t>
      </w:r>
      <w:r>
        <w:rPr>
          <w:rFonts w:hint="eastAsia" w:ascii="宋体" w:hAnsi="宋体" w:cs="Arial"/>
          <w:i/>
          <w:iCs/>
          <w:color w:val="auto"/>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8.本项目拒绝下述供应商参加本次采购活动的情形：</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color w:val="auto"/>
          <w:sz w:val="28"/>
          <w:szCs w:val="28"/>
          <w:highlight w:val="none"/>
        </w:rPr>
      </w:pPr>
      <w:r>
        <w:rPr>
          <w:rFonts w:hint="eastAsia" w:ascii="宋体" w:hAnsi="宋体" w:cs="宋体"/>
          <w:bCs/>
          <w:color w:val="auto"/>
          <w:sz w:val="28"/>
          <w:szCs w:val="28"/>
          <w:highlight w:val="none"/>
        </w:rPr>
        <w:t>（3）供应商被“信用中国”网站（www.creditchina.gov.cn）、“中国政府采</w:t>
      </w:r>
      <w:r>
        <w:rPr>
          <w:rFonts w:hint="eastAsia" w:ascii="宋体" w:hAnsi="宋体" w:cs="宋体"/>
          <w:color w:val="auto"/>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9.本项目不接受联合体投标。</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二、本项目采用资格后审法，唱标后，进行资格审定。</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三、投标人应按附件</w:t>
      </w:r>
      <w:r>
        <w:rPr>
          <w:rFonts w:ascii="宋体" w:hAnsi="宋体" w:cs="宋体"/>
          <w:color w:val="auto"/>
          <w:sz w:val="28"/>
          <w:szCs w:val="28"/>
          <w:highlight w:val="none"/>
        </w:rPr>
        <w:t>2</w:t>
      </w:r>
      <w:r>
        <w:rPr>
          <w:rFonts w:hint="eastAsia" w:ascii="宋体" w:hAnsi="宋体" w:cs="宋体"/>
          <w:color w:val="auto"/>
          <w:sz w:val="28"/>
          <w:szCs w:val="28"/>
          <w:highlight w:val="none"/>
        </w:rPr>
        <w:t>、附件</w:t>
      </w:r>
      <w:r>
        <w:rPr>
          <w:rFonts w:ascii="宋体" w:hAnsi="宋体" w:cs="宋体"/>
          <w:color w:val="auto"/>
          <w:sz w:val="28"/>
          <w:szCs w:val="28"/>
          <w:highlight w:val="none"/>
        </w:rPr>
        <w:t>3</w:t>
      </w:r>
      <w:r>
        <w:rPr>
          <w:rFonts w:hint="eastAsia" w:ascii="宋体" w:hAnsi="宋体" w:cs="宋体"/>
          <w:color w:val="auto"/>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六、本项目预算价为28万元，本项目只接受人民币报价。</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bookmarkStart w:id="2" w:name="_Hlk9866140"/>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三、对投标文件的要求</w:t>
      </w:r>
    </w:p>
    <w:p>
      <w:pPr>
        <w:snapToGrid w:val="0"/>
        <w:spacing w:line="538" w:lineRule="exact"/>
        <w:ind w:firstLine="560" w:firstLineChars="200"/>
        <w:rPr>
          <w:rFonts w:ascii="宋体" w:hAnsi="宋体" w:cs="宋体"/>
          <w:bCs/>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投标人根据招标公告向我校提出报名后，</w:t>
      </w:r>
      <w:r>
        <w:rPr>
          <w:rFonts w:hint="eastAsia" w:ascii="宋体" w:hAnsi="宋体" w:cs="宋体"/>
          <w:bCs/>
          <w:color w:val="auto"/>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为便于唱标和减少浪费，请将</w:t>
      </w:r>
      <w:r>
        <w:rPr>
          <w:rFonts w:ascii="宋体" w:hAnsi="宋体" w:cs="宋体"/>
          <w:color w:val="auto"/>
          <w:sz w:val="28"/>
          <w:szCs w:val="28"/>
          <w:highlight w:val="none"/>
        </w:rPr>
        <w:t>1</w:t>
      </w:r>
      <w:r>
        <w:rPr>
          <w:rFonts w:hint="eastAsia" w:ascii="宋体" w:hAnsi="宋体" w:cs="宋体"/>
          <w:color w:val="auto"/>
          <w:sz w:val="28"/>
          <w:szCs w:val="28"/>
          <w:highlight w:val="none"/>
        </w:rPr>
        <w:t>份正本单独封装，另外</w:t>
      </w:r>
      <w:r>
        <w:rPr>
          <w:rFonts w:ascii="宋体" w:hAnsi="宋体" w:cs="宋体"/>
          <w:color w:val="auto"/>
          <w:sz w:val="28"/>
          <w:szCs w:val="28"/>
          <w:highlight w:val="none"/>
        </w:rPr>
        <w:t>4</w:t>
      </w:r>
      <w:r>
        <w:rPr>
          <w:rFonts w:hint="eastAsia" w:ascii="宋体" w:hAnsi="宋体" w:cs="宋体"/>
          <w:color w:val="auto"/>
          <w:sz w:val="28"/>
          <w:szCs w:val="28"/>
          <w:highlight w:val="none"/>
        </w:rPr>
        <w:t>份副本可叠加封装在一个大的档案袋中（</w:t>
      </w:r>
      <w:r>
        <w:rPr>
          <w:rFonts w:ascii="宋体" w:hAnsi="宋体" w:cs="宋体"/>
          <w:color w:val="auto"/>
          <w:sz w:val="28"/>
          <w:szCs w:val="28"/>
          <w:highlight w:val="none"/>
        </w:rPr>
        <w:t>4</w:t>
      </w:r>
      <w:r>
        <w:rPr>
          <w:rFonts w:hint="eastAsia" w:ascii="宋体" w:hAnsi="宋体" w:cs="宋体"/>
          <w:color w:val="auto"/>
          <w:sz w:val="28"/>
          <w:szCs w:val="28"/>
          <w:highlight w:val="none"/>
        </w:rPr>
        <w:t>份副本无需分别封装在</w:t>
      </w:r>
      <w:r>
        <w:rPr>
          <w:rFonts w:ascii="宋体" w:hAnsi="宋体" w:cs="宋体"/>
          <w:color w:val="auto"/>
          <w:sz w:val="28"/>
          <w:szCs w:val="28"/>
          <w:highlight w:val="none"/>
        </w:rPr>
        <w:t>4</w:t>
      </w:r>
      <w:r>
        <w:rPr>
          <w:rFonts w:hint="eastAsia" w:ascii="宋体" w:hAnsi="宋体" w:cs="宋体"/>
          <w:color w:val="auto"/>
          <w:sz w:val="28"/>
          <w:szCs w:val="28"/>
          <w:highlight w:val="none"/>
        </w:rPr>
        <w:t>个档案袋中，一个大档案袋封装不下的除外）。每家投标人在送交投标文件时，只需交</w:t>
      </w:r>
      <w:r>
        <w:rPr>
          <w:rFonts w:ascii="宋体" w:hAnsi="宋体" w:cs="宋体"/>
          <w:color w:val="auto"/>
          <w:sz w:val="28"/>
          <w:szCs w:val="28"/>
          <w:highlight w:val="none"/>
        </w:rPr>
        <w:t>2</w:t>
      </w:r>
      <w:r>
        <w:rPr>
          <w:rFonts w:hint="eastAsia" w:ascii="宋体" w:hAnsi="宋体" w:cs="宋体"/>
          <w:color w:val="auto"/>
          <w:sz w:val="28"/>
          <w:szCs w:val="28"/>
          <w:highlight w:val="none"/>
        </w:rPr>
        <w:t>个档案袋即可，即</w:t>
      </w:r>
      <w:r>
        <w:rPr>
          <w:rFonts w:ascii="宋体" w:hAnsi="宋体" w:cs="宋体"/>
          <w:color w:val="auto"/>
          <w:sz w:val="28"/>
          <w:szCs w:val="28"/>
          <w:highlight w:val="none"/>
        </w:rPr>
        <w:t>1</w:t>
      </w:r>
      <w:r>
        <w:rPr>
          <w:rFonts w:hint="eastAsia" w:ascii="宋体" w:hAnsi="宋体" w:cs="宋体"/>
          <w:color w:val="auto"/>
          <w:sz w:val="28"/>
          <w:szCs w:val="28"/>
          <w:highlight w:val="none"/>
        </w:rPr>
        <w:t>个正本档案袋，</w:t>
      </w:r>
      <w:r>
        <w:rPr>
          <w:rFonts w:ascii="宋体" w:hAnsi="宋体" w:cs="宋体"/>
          <w:color w:val="auto"/>
          <w:sz w:val="28"/>
          <w:szCs w:val="28"/>
          <w:highlight w:val="none"/>
        </w:rPr>
        <w:t>1</w:t>
      </w:r>
      <w:r>
        <w:rPr>
          <w:rFonts w:hint="eastAsia" w:ascii="宋体" w:hAnsi="宋体" w:cs="宋体"/>
          <w:color w:val="auto"/>
          <w:sz w:val="28"/>
          <w:szCs w:val="28"/>
          <w:highlight w:val="none"/>
        </w:rPr>
        <w:t>个大的副本档案袋。</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投标文件应包含以下内容（所有材料必须加盖投标单位公章）：</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）经投标单位法人或委托代理人代表签字并加盖单位公章的投标函（附件</w:t>
      </w:r>
      <w:r>
        <w:rPr>
          <w:rFonts w:ascii="宋体" w:hAnsi="宋体" w:cs="宋体"/>
          <w:color w:val="auto"/>
          <w:sz w:val="28"/>
          <w:szCs w:val="28"/>
          <w:highlight w:val="none"/>
        </w:rPr>
        <w:t>2</w:t>
      </w:r>
      <w:r>
        <w:rPr>
          <w:rFonts w:hint="eastAsia" w:ascii="宋体" w:hAnsi="宋体" w:cs="宋体"/>
          <w:color w:val="auto"/>
          <w:sz w:val="28"/>
          <w:szCs w:val="28"/>
          <w:highlight w:val="none"/>
        </w:rPr>
        <w:t>格式，为便于唱标，此函件请务必放置在投标文件内页的第一页）；</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）投标价格明细表（附件</w:t>
      </w:r>
      <w:r>
        <w:rPr>
          <w:rFonts w:ascii="宋体" w:hAnsi="宋体" w:cs="宋体"/>
          <w:color w:val="auto"/>
          <w:sz w:val="28"/>
          <w:szCs w:val="28"/>
          <w:highlight w:val="none"/>
        </w:rPr>
        <w:t>3</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w:t>
      </w:r>
      <w:r>
        <w:rPr>
          <w:rFonts w:ascii="宋体" w:hAnsi="宋体" w:cs="宋体"/>
          <w:color w:val="auto"/>
          <w:sz w:val="28"/>
          <w:szCs w:val="28"/>
          <w:highlight w:val="none"/>
        </w:rPr>
        <w:t>300</w:t>
      </w:r>
      <w:r>
        <w:rPr>
          <w:rFonts w:hint="eastAsia" w:ascii="宋体" w:hAnsi="宋体" w:cs="宋体"/>
          <w:color w:val="auto"/>
          <w:sz w:val="28"/>
          <w:szCs w:val="28"/>
          <w:highlight w:val="none"/>
        </w:rPr>
        <w:t>元报名资料费银行转账回单（复印件）；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5</w:t>
      </w:r>
      <w:r>
        <w:rPr>
          <w:rFonts w:hint="eastAsia" w:ascii="宋体" w:hAnsi="宋体" w:cs="宋体"/>
          <w:color w:val="auto"/>
          <w:sz w:val="28"/>
          <w:szCs w:val="28"/>
          <w:highlight w:val="none"/>
        </w:rPr>
        <w:t>）授权委托书、被委托人身份证复印件；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6</w:t>
      </w:r>
      <w:r>
        <w:rPr>
          <w:rFonts w:hint="eastAsia" w:ascii="宋体" w:hAnsi="宋体" w:cs="宋体"/>
          <w:color w:val="auto"/>
          <w:sz w:val="28"/>
          <w:szCs w:val="28"/>
          <w:highlight w:val="none"/>
        </w:rPr>
        <w:t>）产品（或服务，下同）技术性能参数的详细描述一览表（投标文件在对投标标的物进行技术和商务描述时，必须完全按照招标文件附件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中的章节顺序依次逐条响应，不得颠倒顺序，不得有漏项，不得原封不动地引用招标文件附件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7</w:t>
      </w:r>
      <w:r>
        <w:rPr>
          <w:rFonts w:hint="eastAsia" w:ascii="宋体" w:hAnsi="宋体" w:cs="宋体"/>
          <w:color w:val="auto"/>
          <w:sz w:val="28"/>
          <w:szCs w:val="28"/>
          <w:highlight w:val="none"/>
        </w:rPr>
        <w:t>）产品技术和商务指标偏差表；</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8</w:t>
      </w:r>
      <w:r>
        <w:rPr>
          <w:rFonts w:hint="eastAsia" w:ascii="宋体" w:hAnsi="宋体" w:cs="宋体"/>
          <w:color w:val="auto"/>
          <w:sz w:val="28"/>
          <w:szCs w:val="28"/>
          <w:highlight w:val="none"/>
        </w:rPr>
        <w:t>）产品服务方案；</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9</w:t>
      </w:r>
      <w:r>
        <w:rPr>
          <w:rFonts w:hint="eastAsia" w:ascii="宋体" w:hAnsi="宋体" w:cs="宋体"/>
          <w:color w:val="auto"/>
          <w:sz w:val="28"/>
          <w:szCs w:val="28"/>
          <w:highlight w:val="none"/>
        </w:rPr>
        <w:t>）产品销售授权书或代理证书（如系代理公司的）；</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10)</w:t>
      </w:r>
      <w:r>
        <w:rPr>
          <w:rFonts w:hint="eastAsia" w:ascii="宋体" w:hAnsi="宋体" w:cs="宋体"/>
          <w:color w:val="auto"/>
          <w:sz w:val="28"/>
          <w:szCs w:val="28"/>
          <w:highlight w:val="none"/>
        </w:rPr>
        <w:t xml:space="preserve"> 产品质量、工期、安全、管理及售后服务承诺书；</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11</w:t>
      </w:r>
      <w:r>
        <w:rPr>
          <w:rFonts w:hint="eastAsia" w:ascii="宋体" w:hAnsi="宋体" w:cs="宋体"/>
          <w:color w:val="auto"/>
          <w:sz w:val="28"/>
          <w:szCs w:val="28"/>
          <w:highlight w:val="none"/>
        </w:rPr>
        <w:t>）产品质量检测报告、质保、认证等证书；</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12</w:t>
      </w:r>
      <w:r>
        <w:rPr>
          <w:rFonts w:hint="eastAsia" w:ascii="宋体" w:hAnsi="宋体" w:cs="宋体"/>
          <w:color w:val="auto"/>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13</w:t>
      </w:r>
      <w:r>
        <w:rPr>
          <w:rFonts w:hint="eastAsia" w:ascii="宋体" w:hAnsi="宋体" w:cs="宋体"/>
          <w:color w:val="auto"/>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14</w:t>
      </w:r>
      <w:r>
        <w:rPr>
          <w:rFonts w:hint="eastAsia" w:ascii="宋体" w:hAnsi="宋体" w:cs="宋体"/>
          <w:color w:val="auto"/>
          <w:sz w:val="28"/>
          <w:szCs w:val="28"/>
          <w:highlight w:val="none"/>
        </w:rPr>
        <w:t>）招标文件规定或投标人对照评标办法的得分因素以及附件</w:t>
      </w:r>
      <w:r>
        <w:rPr>
          <w:rFonts w:ascii="宋体" w:hAnsi="宋体" w:cs="宋体"/>
          <w:color w:val="auto"/>
          <w:sz w:val="28"/>
          <w:szCs w:val="28"/>
          <w:highlight w:val="none"/>
        </w:rPr>
        <w:t>1</w:t>
      </w:r>
      <w:r>
        <w:rPr>
          <w:rFonts w:hint="eastAsia" w:ascii="宋体" w:hAnsi="宋体" w:cs="宋体"/>
          <w:color w:val="auto"/>
          <w:sz w:val="28"/>
          <w:szCs w:val="28"/>
          <w:highlight w:val="none"/>
        </w:rPr>
        <w:t>相关要求认为应提交的其他资料和文件。</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投标人在投标文件中应承诺对如下内容已完全理解，如不承诺，视为认可：</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）在参与我校相关项目的招投标活动中，遵纪守法，诚信经营，公平竞争；</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）不采取不正当手段诋毁、排挤其他投标人；</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5</w:t>
      </w:r>
      <w:r>
        <w:rPr>
          <w:rFonts w:hint="eastAsia" w:ascii="宋体" w:hAnsi="宋体" w:cs="宋体"/>
          <w:color w:val="auto"/>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6</w:t>
      </w:r>
      <w:r>
        <w:rPr>
          <w:rFonts w:hint="eastAsia" w:ascii="宋体" w:hAnsi="宋体" w:cs="宋体"/>
          <w:color w:val="auto"/>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7</w:t>
      </w:r>
      <w:r>
        <w:rPr>
          <w:rFonts w:hint="eastAsia" w:ascii="宋体" w:hAnsi="宋体" w:cs="宋体"/>
          <w:color w:val="auto"/>
          <w:sz w:val="28"/>
          <w:szCs w:val="28"/>
          <w:highlight w:val="none"/>
        </w:rPr>
        <w:t>）未能中标单位，本校对其原因不作解释；</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8</w:t>
      </w:r>
      <w:r>
        <w:rPr>
          <w:rFonts w:hint="eastAsia" w:ascii="宋体" w:hAnsi="宋体" w:cs="宋体"/>
          <w:color w:val="auto"/>
          <w:sz w:val="28"/>
          <w:szCs w:val="28"/>
          <w:highlight w:val="none"/>
        </w:rPr>
        <w:t>）投标单位对本文件其他内容已充分理解，并承诺一经中标即严格按合同执行，合同附件与合同有同等法律效力。</w:t>
      </w:r>
    </w:p>
    <w:bookmarkEnd w:id="2"/>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bookmarkStart w:id="3" w:name="_Hlk9866206"/>
      <w:r>
        <w:rPr>
          <w:rFonts w:hint="eastAsia" w:ascii="黑体" w:hAnsi="黑体" w:eastAsia="黑体" w:cs="宋体"/>
          <w:color w:val="auto"/>
          <w:sz w:val="28"/>
          <w:szCs w:val="28"/>
          <w:highlight w:val="none"/>
        </w:rPr>
        <w:t>四、开标程序</w:t>
      </w:r>
    </w:p>
    <w:bookmarkEnd w:id="3"/>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招标文件给出评标办法（见附件</w:t>
      </w:r>
      <w:r>
        <w:rPr>
          <w:rFonts w:ascii="宋体" w:hAnsi="宋体" w:cs="宋体"/>
          <w:color w:val="auto"/>
          <w:sz w:val="28"/>
          <w:szCs w:val="28"/>
          <w:highlight w:val="none"/>
        </w:rPr>
        <w:t>4</w:t>
      </w:r>
      <w:r>
        <w:rPr>
          <w:rFonts w:hint="eastAsia" w:ascii="宋体" w:hAnsi="宋体" w:cs="宋体"/>
          <w:color w:val="auto"/>
          <w:sz w:val="28"/>
          <w:szCs w:val="28"/>
          <w:highlight w:val="none"/>
        </w:rPr>
        <w:t>）</w:t>
      </w:r>
      <w:r>
        <w:rPr>
          <w:rFonts w:ascii="宋体" w:cs="宋体"/>
          <w:color w:val="auto"/>
          <w:sz w:val="28"/>
          <w:szCs w:val="28"/>
          <w:highlight w:val="none"/>
        </w:rPr>
        <w:t>,</w:t>
      </w:r>
      <w:r>
        <w:rPr>
          <w:rFonts w:hint="eastAsia" w:ascii="宋体" w:hAnsi="宋体" w:cs="宋体"/>
          <w:color w:val="auto"/>
          <w:sz w:val="28"/>
          <w:szCs w:val="28"/>
          <w:highlight w:val="none"/>
        </w:rPr>
        <w:t>供投标人和评标专家组参考。</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color w:val="auto"/>
          <w:sz w:val="28"/>
          <w:szCs w:val="28"/>
          <w:highlight w:val="none"/>
        </w:rPr>
      </w:pPr>
      <w:r>
        <w:rPr>
          <w:rFonts w:hint="eastAsia" w:ascii="宋体" w:hAnsi="宋体" w:cs="宋体"/>
          <w:color w:val="auto"/>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五、无效投标</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投标文件出现下列情形的，将作为无效投标文件，不得进入评标：</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投标文件未按照招标文件的要求予以密封的；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投标文件少项漏项，或关键内容字迹模糊、无法辨认的；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有</w:t>
      </w:r>
      <w:r>
        <w:rPr>
          <w:rFonts w:ascii="宋体" w:hAnsi="宋体" w:cs="宋体"/>
          <w:color w:val="auto"/>
          <w:sz w:val="28"/>
          <w:szCs w:val="28"/>
          <w:highlight w:val="none"/>
        </w:rPr>
        <w:t>1</w:t>
      </w:r>
      <w:r>
        <w:rPr>
          <w:rFonts w:hint="eastAsia" w:ascii="宋体" w:hAnsi="宋体" w:cs="宋体"/>
          <w:color w:val="auto"/>
          <w:sz w:val="28"/>
          <w:szCs w:val="28"/>
          <w:highlight w:val="none"/>
        </w:rPr>
        <w:t>个核心指标或有</w:t>
      </w:r>
      <w:r>
        <w:rPr>
          <w:rFonts w:ascii="宋体" w:hAnsi="宋体" w:cs="宋体"/>
          <w:color w:val="auto"/>
          <w:sz w:val="28"/>
          <w:szCs w:val="28"/>
          <w:highlight w:val="none"/>
        </w:rPr>
        <w:t>5</w:t>
      </w:r>
      <w:r>
        <w:rPr>
          <w:rFonts w:hint="eastAsia" w:ascii="宋体" w:hAnsi="宋体" w:cs="宋体"/>
          <w:color w:val="auto"/>
          <w:sz w:val="28"/>
          <w:szCs w:val="28"/>
          <w:highlight w:val="none"/>
        </w:rPr>
        <w:t>个及以上非核心指标未能满足的；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技术指标响应内容未按照招标文件附件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color w:val="auto"/>
          <w:sz w:val="28"/>
          <w:szCs w:val="28"/>
          <w:highlight w:val="none"/>
        </w:rPr>
        <w:t>1</w:t>
      </w:r>
      <w:r>
        <w:rPr>
          <w:rFonts w:hint="eastAsia" w:ascii="宋体" w:hAnsi="宋体" w:cs="宋体"/>
          <w:color w:val="auto"/>
          <w:sz w:val="28"/>
          <w:szCs w:val="28"/>
          <w:highlight w:val="none"/>
        </w:rPr>
        <w:t>中的章节、句段的；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8.</w:t>
      </w:r>
      <w:r>
        <w:rPr>
          <w:rFonts w:hint="eastAsia" w:ascii="宋体" w:hAnsi="宋体" w:cs="宋体"/>
          <w:color w:val="auto"/>
          <w:sz w:val="28"/>
          <w:szCs w:val="28"/>
          <w:highlight w:val="none"/>
        </w:rPr>
        <w:t>报价超过预算金额，或以人民币之外的币种报价的；</w:t>
      </w:r>
    </w:p>
    <w:p>
      <w:pPr>
        <w:spacing w:line="360" w:lineRule="auto"/>
        <w:ind w:firstLine="548" w:firstLineChars="196"/>
        <w:rPr>
          <w:rFonts w:ascii="宋体" w:hAnsi="宋体" w:cs="宋体"/>
          <w:b/>
          <w:color w:val="auto"/>
          <w:sz w:val="28"/>
          <w:szCs w:val="28"/>
          <w:highlight w:val="none"/>
        </w:rPr>
      </w:pPr>
      <w:r>
        <w:rPr>
          <w:rFonts w:ascii="宋体" w:hAnsi="宋体" w:cs="宋体"/>
          <w:color w:val="auto"/>
          <w:sz w:val="28"/>
          <w:szCs w:val="28"/>
          <w:highlight w:val="none"/>
        </w:rPr>
        <w:t>9.</w:t>
      </w:r>
      <w:r>
        <w:rPr>
          <w:rFonts w:hint="eastAsia" w:ascii="宋体" w:hAnsi="宋体" w:cs="宋体"/>
          <w:color w:val="auto"/>
          <w:sz w:val="28"/>
          <w:szCs w:val="28"/>
          <w:highlight w:val="none"/>
        </w:rPr>
        <w:t>无</w:t>
      </w:r>
      <w:r>
        <w:rPr>
          <w:rFonts w:ascii="宋体" w:hAnsi="宋体" w:cs="宋体"/>
          <w:color w:val="auto"/>
          <w:sz w:val="28"/>
          <w:szCs w:val="28"/>
          <w:highlight w:val="none"/>
        </w:rPr>
        <w:t>300</w:t>
      </w:r>
      <w:r>
        <w:rPr>
          <w:rFonts w:hint="eastAsia" w:ascii="宋体" w:hAnsi="宋体" w:cs="宋体"/>
          <w:color w:val="auto"/>
          <w:sz w:val="28"/>
          <w:szCs w:val="28"/>
          <w:highlight w:val="none"/>
        </w:rPr>
        <w:t>元报名资料费银行转账回单复印件的，或报名资料费银行转账回单中无</w:t>
      </w:r>
      <w:r>
        <w:rPr>
          <w:rFonts w:hint="eastAsia" w:ascii="宋体" w:hAnsi="宋体" w:cs="宋体"/>
          <w:b/>
          <w:color w:val="auto"/>
          <w:sz w:val="28"/>
          <w:szCs w:val="28"/>
          <w:highlight w:val="none"/>
        </w:rPr>
        <w:t>“JZCG-2022-0014</w:t>
      </w: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资料费”</w:t>
      </w:r>
      <w:r>
        <w:rPr>
          <w:rFonts w:hint="eastAsia" w:ascii="宋体" w:hAnsi="宋体" w:cs="宋体"/>
          <w:color w:val="auto"/>
          <w:sz w:val="28"/>
          <w:szCs w:val="28"/>
          <w:highlight w:val="none"/>
        </w:rPr>
        <w:t>字样的；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10.</w:t>
      </w:r>
      <w:r>
        <w:rPr>
          <w:rFonts w:hint="eastAsia" w:ascii="宋体" w:hAnsi="宋体" w:cs="宋体"/>
          <w:color w:val="auto"/>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六、评标办法</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color w:val="auto"/>
          <w:sz w:val="28"/>
          <w:szCs w:val="28"/>
          <w:highlight w:val="none"/>
        </w:rPr>
        <w:t>4</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为保证招标质量，在评标办法中设核心指标。每个分包的核心指标不超过</w:t>
      </w:r>
      <w:r>
        <w:rPr>
          <w:rFonts w:ascii="宋体" w:hAnsi="宋体" w:cs="宋体"/>
          <w:color w:val="auto"/>
          <w:sz w:val="28"/>
          <w:szCs w:val="28"/>
          <w:highlight w:val="none"/>
        </w:rPr>
        <w:t>5</w:t>
      </w:r>
      <w:r>
        <w:rPr>
          <w:rFonts w:hint="eastAsia" w:ascii="宋体" w:hAnsi="宋体" w:cs="宋体"/>
          <w:color w:val="auto"/>
          <w:sz w:val="28"/>
          <w:szCs w:val="28"/>
          <w:highlight w:val="none"/>
        </w:rPr>
        <w:t>个。</w:t>
      </w:r>
    </w:p>
    <w:p>
      <w:pPr>
        <w:spacing w:before="312" w:beforeLines="100" w:after="312" w:afterLines="100" w:line="360" w:lineRule="auto"/>
        <w:ind w:firstLine="548" w:firstLineChars="196"/>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七、合同、履约、验收及结算等事项</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合同：</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）中标公示结束无异议后</w:t>
      </w:r>
      <w:r>
        <w:rPr>
          <w:rFonts w:ascii="宋体" w:hAnsi="宋体" w:cs="宋体"/>
          <w:color w:val="auto"/>
          <w:sz w:val="28"/>
          <w:szCs w:val="28"/>
          <w:highlight w:val="none"/>
        </w:rPr>
        <w:t>5</w:t>
      </w:r>
      <w:r>
        <w:rPr>
          <w:rFonts w:hint="eastAsia" w:ascii="宋体" w:hAnsi="宋体" w:cs="宋体"/>
          <w:color w:val="auto"/>
          <w:sz w:val="28"/>
          <w:szCs w:val="28"/>
          <w:highlight w:val="none"/>
        </w:rPr>
        <w:t>个工作日内，中标单位须及时缴纳中标价的10%作为履约保证金并前来我校领取《中标通知书》（一式二份）。</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）中标单位须在接《中标通知书》起</w:t>
      </w:r>
      <w:r>
        <w:rPr>
          <w:rFonts w:ascii="宋体" w:hAnsi="宋体" w:cs="宋体"/>
          <w:color w:val="auto"/>
          <w:sz w:val="28"/>
          <w:szCs w:val="28"/>
          <w:highlight w:val="none"/>
        </w:rPr>
        <w:t>7</w:t>
      </w:r>
      <w:r>
        <w:rPr>
          <w:rFonts w:hint="eastAsia" w:ascii="宋体" w:hAnsi="宋体" w:cs="宋体"/>
          <w:color w:val="auto"/>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rPr>
          <w:color w:val="auto"/>
          <w:highlight w:val="none"/>
        </w:rPr>
      </w:pPr>
      <w:r>
        <w:rPr>
          <w:rFonts w:hint="eastAsia" w:ascii="宋体" w:hAnsi="宋体" w:cs="宋体"/>
          <w:color w:val="auto"/>
          <w:sz w:val="28"/>
          <w:szCs w:val="28"/>
          <w:highlight w:val="none"/>
        </w:rPr>
        <w:t>（3）附件</w:t>
      </w:r>
      <w:r>
        <w:rPr>
          <w:rFonts w:ascii="宋体" w:hAnsi="宋体" w:cs="宋体"/>
          <w:color w:val="auto"/>
          <w:sz w:val="28"/>
          <w:szCs w:val="28"/>
          <w:highlight w:val="none"/>
        </w:rPr>
        <w:t>5</w:t>
      </w:r>
      <w:r>
        <w:rPr>
          <w:rFonts w:hint="eastAsia" w:ascii="宋体" w:hAnsi="宋体" w:cs="宋体"/>
          <w:color w:val="auto"/>
          <w:sz w:val="28"/>
          <w:szCs w:val="28"/>
          <w:highlight w:val="none"/>
        </w:rPr>
        <w:t>合同仅为参考样本，最终以通过我校审核后签署的合同为准。</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服务地点：南京信息工程大学校内。</w:t>
      </w:r>
    </w:p>
    <w:p>
      <w:pPr>
        <w:spacing w:line="360" w:lineRule="auto"/>
        <w:ind w:firstLine="548" w:firstLineChars="196"/>
        <w:rPr>
          <w:rFonts w:ascii="宋体" w:hAns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付款方式：</w:t>
      </w:r>
    </w:p>
    <w:p>
      <w:pPr>
        <w:spacing w:line="360" w:lineRule="auto"/>
        <w:ind w:firstLine="548" w:firstLineChars="196"/>
        <w:rPr>
          <w:rFonts w:ascii="宋体" w:hAnsi="宋体" w:cs="宋体"/>
          <w:color w:val="auto"/>
          <w:sz w:val="28"/>
          <w:szCs w:val="28"/>
          <w:highlight w:val="none"/>
        </w:rPr>
      </w:pPr>
      <w:r>
        <w:rPr>
          <w:rFonts w:hint="eastAsia" w:ascii="宋体" w:hAnsi="宋体" w:cs="宋体"/>
          <w:color w:val="auto"/>
          <w:sz w:val="28"/>
          <w:szCs w:val="28"/>
          <w:highlight w:val="none"/>
        </w:rPr>
        <w:t>中标单位所供的设计、制作、调试服务工作全部结束，经我方验收合格后，提供全额税务发票，凭最终签字和盖章的验收合格报告，支付至合同价的95%，余5%作质保金，质保期满后并经有关单位确认无质量问题后，一次性支付完毕。具体内容以最终签署的合同约定为准。</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资料费：</w:t>
      </w:r>
      <w:r>
        <w:rPr>
          <w:rFonts w:ascii="宋体" w:hAnsi="宋体" w:cs="宋体"/>
          <w:color w:val="auto"/>
          <w:sz w:val="28"/>
          <w:szCs w:val="28"/>
          <w:highlight w:val="none"/>
        </w:rPr>
        <w:t>300</w:t>
      </w:r>
      <w:r>
        <w:rPr>
          <w:rFonts w:hint="eastAsia" w:ascii="宋体" w:hAnsi="宋体" w:cs="宋体"/>
          <w:color w:val="auto"/>
          <w:sz w:val="28"/>
          <w:szCs w:val="28"/>
          <w:highlight w:val="none"/>
        </w:rPr>
        <w:t>元</w:t>
      </w:r>
      <w:r>
        <w:rPr>
          <w:rFonts w:ascii="宋体" w:hAnsi="宋体" w:cs="宋体"/>
          <w:color w:val="auto"/>
          <w:sz w:val="28"/>
          <w:szCs w:val="28"/>
          <w:highlight w:val="none"/>
        </w:rPr>
        <w:t>/</w:t>
      </w:r>
      <w:r>
        <w:rPr>
          <w:rFonts w:hint="eastAsia" w:ascii="宋体" w:hAnsi="宋体" w:cs="宋体"/>
          <w:color w:val="auto"/>
          <w:sz w:val="28"/>
          <w:szCs w:val="28"/>
          <w:highlight w:val="none"/>
        </w:rPr>
        <w:t>家。</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）我校不接收现金或支付宝等方式交费。各投标人务必通过单位银行基本账户提前将资料费汇至我校以下账号：</w:t>
      </w:r>
      <w:r>
        <w:rPr>
          <w:rFonts w:hint="eastAsia" w:ascii="宋体" w:hAnsi="宋体" w:cs="宋体"/>
          <w:b/>
          <w:bCs/>
          <w:color w:val="auto"/>
          <w:sz w:val="28"/>
          <w:szCs w:val="28"/>
          <w:highlight w:val="none"/>
        </w:rPr>
        <w:t>户名：南京信息工程大学；账号：</w:t>
      </w:r>
      <w:r>
        <w:rPr>
          <w:rFonts w:ascii="宋体" w:hAnsi="宋体" w:cs="宋体"/>
          <w:b/>
          <w:bCs/>
          <w:color w:val="auto"/>
          <w:sz w:val="28"/>
          <w:szCs w:val="28"/>
          <w:highlight w:val="none"/>
        </w:rPr>
        <w:t>10115401040000228</w:t>
      </w:r>
      <w:r>
        <w:rPr>
          <w:rFonts w:hint="eastAsia" w:ascii="宋体" w:hAnsi="宋体" w:cs="宋体"/>
          <w:b/>
          <w:bCs/>
          <w:color w:val="auto"/>
          <w:sz w:val="28"/>
          <w:szCs w:val="28"/>
          <w:highlight w:val="none"/>
        </w:rPr>
        <w:t>；开户银行：中国农业银行南京盘城支行</w:t>
      </w:r>
      <w:r>
        <w:rPr>
          <w:rFonts w:hint="eastAsia" w:ascii="宋体" w:hAnsi="宋体" w:cs="宋体"/>
          <w:color w:val="auto"/>
          <w:sz w:val="28"/>
          <w:szCs w:val="28"/>
          <w:highlight w:val="none"/>
        </w:rPr>
        <w:t>。请各投标人务必在转账留言栏备注填写</w:t>
      </w:r>
      <w:r>
        <w:rPr>
          <w:rFonts w:hint="eastAsia" w:ascii="宋体" w:hAnsi="宋体" w:cs="宋体"/>
          <w:b/>
          <w:color w:val="auto"/>
          <w:sz w:val="28"/>
          <w:szCs w:val="28"/>
          <w:highlight w:val="none"/>
        </w:rPr>
        <w:t>“JZCG-2022-00146资料费”</w:t>
      </w:r>
      <w:r>
        <w:rPr>
          <w:rFonts w:hint="eastAsia" w:ascii="宋体" w:hAnsi="宋体" w:cs="宋体"/>
          <w:color w:val="auto"/>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w:t>
      </w:r>
      <w:r>
        <w:rPr>
          <w:rFonts w:hint="eastAsia" w:ascii="宋体" w:hAnsi="宋体" w:cs="宋体"/>
          <w:b/>
          <w:bCs/>
          <w:color w:val="auto"/>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560" w:lineRule="exact"/>
        <w:ind w:firstLine="560" w:firstLineChars="200"/>
        <w:rPr>
          <w:rFonts w:ascii="宋体" w:hAns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履约保证金：中标价10%。</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color w:val="auto"/>
          <w:sz w:val="28"/>
          <w:szCs w:val="28"/>
          <w:highlight w:val="none"/>
        </w:rPr>
        <w:t>300</w:t>
      </w:r>
      <w:r>
        <w:rPr>
          <w:rFonts w:hint="eastAsia" w:ascii="宋体" w:hAnsi="宋体" w:cs="宋体"/>
          <w:color w:val="auto"/>
          <w:sz w:val="28"/>
          <w:szCs w:val="28"/>
          <w:highlight w:val="none"/>
        </w:rPr>
        <w:t>元资料费（</w:t>
      </w:r>
      <w:r>
        <w:rPr>
          <w:rFonts w:hint="eastAsia" w:ascii="宋体" w:hAnsi="宋体" w:cs="宋体"/>
          <w:b/>
          <w:bCs/>
          <w:color w:val="auto"/>
          <w:sz w:val="28"/>
          <w:szCs w:val="28"/>
          <w:highlight w:val="none"/>
        </w:rPr>
        <w:t>户名：南京信息工程大学；账号：</w:t>
      </w:r>
      <w:r>
        <w:rPr>
          <w:rFonts w:ascii="宋体" w:hAnsi="宋体" w:cs="宋体"/>
          <w:b/>
          <w:bCs/>
          <w:color w:val="auto"/>
          <w:sz w:val="28"/>
          <w:szCs w:val="28"/>
          <w:highlight w:val="none"/>
        </w:rPr>
        <w:t>10115401040000228</w:t>
      </w:r>
      <w:r>
        <w:rPr>
          <w:rFonts w:hint="eastAsia" w:ascii="宋体" w:hAnsi="宋体" w:cs="宋体"/>
          <w:b/>
          <w:bCs/>
          <w:color w:val="auto"/>
          <w:sz w:val="28"/>
          <w:szCs w:val="28"/>
          <w:highlight w:val="none"/>
        </w:rPr>
        <w:t>；开户银行：中国农业银行南京盘城支行</w:t>
      </w:r>
      <w:r>
        <w:rPr>
          <w:rFonts w:hint="eastAsia" w:ascii="宋体" w:hAnsi="宋体" w:cs="宋体"/>
          <w:color w:val="auto"/>
          <w:sz w:val="28"/>
          <w:szCs w:val="28"/>
          <w:highlight w:val="none"/>
        </w:rPr>
        <w:t>）。</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）履约保证金交退咨询：财务处结算中心（体育馆北面，南气宾馆东侧的大学生创业中心</w:t>
      </w:r>
      <w:r>
        <w:rPr>
          <w:rFonts w:ascii="宋体" w:hAnsi="宋体" w:cs="宋体"/>
          <w:color w:val="auto"/>
          <w:sz w:val="28"/>
          <w:szCs w:val="28"/>
          <w:highlight w:val="none"/>
        </w:rPr>
        <w:t>3</w:t>
      </w:r>
      <w:r>
        <w:rPr>
          <w:rFonts w:hint="eastAsia" w:ascii="宋体" w:hAnsi="宋体" w:cs="宋体"/>
          <w:color w:val="auto"/>
          <w:sz w:val="28"/>
          <w:szCs w:val="28"/>
          <w:highlight w:val="none"/>
        </w:rPr>
        <w:t>号楼二楼201）。</w:t>
      </w:r>
    </w:p>
    <w:p>
      <w:pPr>
        <w:spacing w:line="360" w:lineRule="auto"/>
        <w:ind w:firstLine="548" w:firstLineChars="196"/>
        <w:rPr>
          <w:rFonts w:asci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）如中标单位有下列情况之一，不予退还履约保证金，我校将其列入招投标诚信“黑名单”，</w:t>
      </w:r>
      <w:r>
        <w:rPr>
          <w:rFonts w:ascii="宋体" w:hAnsi="宋体" w:cs="宋体"/>
          <w:color w:val="auto"/>
          <w:sz w:val="28"/>
          <w:szCs w:val="28"/>
          <w:highlight w:val="none"/>
        </w:rPr>
        <w:t>3</w:t>
      </w:r>
      <w:r>
        <w:rPr>
          <w:rFonts w:hint="eastAsia" w:ascii="宋体" w:hAnsi="宋体" w:cs="宋体"/>
          <w:color w:val="auto"/>
          <w:sz w:val="28"/>
          <w:szCs w:val="28"/>
          <w:highlight w:val="none"/>
        </w:rPr>
        <w:t>年内不得到我校从事任何投标活动。</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a.</w:t>
      </w:r>
      <w:r>
        <w:rPr>
          <w:rFonts w:hint="eastAsia" w:ascii="宋体" w:hAnsi="宋体" w:cs="宋体"/>
          <w:color w:val="auto"/>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b.</w:t>
      </w:r>
      <w:r>
        <w:rPr>
          <w:rFonts w:hint="eastAsia" w:ascii="宋体" w:hAnsi="宋体" w:cs="宋体"/>
          <w:color w:val="auto"/>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c.</w:t>
      </w:r>
      <w:r>
        <w:rPr>
          <w:rFonts w:hint="eastAsia" w:ascii="宋体" w:hAnsi="宋体" w:cs="宋体"/>
          <w:color w:val="auto"/>
          <w:sz w:val="28"/>
          <w:szCs w:val="28"/>
          <w:highlight w:val="none"/>
        </w:rPr>
        <w:t>出现其他不予退还履约保证金情形的。</w:t>
      </w:r>
    </w:p>
    <w:p>
      <w:pPr>
        <w:spacing w:line="360" w:lineRule="auto"/>
        <w:ind w:firstLine="548" w:firstLineChars="196"/>
        <w:rPr>
          <w:rFonts w:ascii="宋体" w:cs="宋体"/>
          <w:color w:val="auto"/>
          <w:sz w:val="28"/>
          <w:szCs w:val="28"/>
          <w:highlight w:val="none"/>
        </w:rPr>
      </w:pPr>
      <w:r>
        <w:rPr>
          <w:rFonts w:ascii="宋体" w:hAnsi="宋体" w:cs="宋体"/>
          <w:color w:val="auto"/>
          <w:sz w:val="28"/>
          <w:szCs w:val="28"/>
          <w:highlight w:val="none"/>
        </w:rPr>
        <w:t>6.</w:t>
      </w:r>
      <w:r>
        <w:rPr>
          <w:rFonts w:hint="eastAsia" w:ascii="宋体" w:hAnsi="宋体" w:cs="宋体"/>
          <w:color w:val="auto"/>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color w:val="auto"/>
          <w:sz w:val="28"/>
          <w:szCs w:val="28"/>
          <w:highlight w:val="none"/>
        </w:rPr>
      </w:pPr>
      <w:r>
        <w:rPr>
          <w:rFonts w:ascii="宋体" w:hAnsi="宋体" w:cs="宋体"/>
          <w:color w:val="auto"/>
          <w:sz w:val="28"/>
          <w:szCs w:val="28"/>
          <w:highlight w:val="none"/>
        </w:rPr>
        <w:t>7.</w:t>
      </w:r>
      <w:r>
        <w:rPr>
          <w:rFonts w:hint="eastAsia" w:ascii="宋体" w:hAnsi="宋体" w:cs="宋体"/>
          <w:color w:val="auto"/>
          <w:sz w:val="28"/>
          <w:szCs w:val="28"/>
          <w:highlight w:val="none"/>
        </w:rPr>
        <w:t>质保：参照附件4服务要求</w:t>
      </w:r>
    </w:p>
    <w:p>
      <w:pPr>
        <w:spacing w:before="312" w:beforeLines="100" w:after="312" w:afterLines="100" w:line="360" w:lineRule="auto"/>
        <w:jc w:val="center"/>
        <w:rPr>
          <w:rFonts w:ascii="黑体" w:hAnsi="黑体" w:eastAsia="黑体"/>
          <w:color w:val="auto"/>
          <w:sz w:val="28"/>
          <w:szCs w:val="28"/>
          <w:highlight w:val="none"/>
        </w:rPr>
      </w:pPr>
      <w:bookmarkStart w:id="4" w:name="_Hlk9866833"/>
      <w:r>
        <w:rPr>
          <w:rFonts w:hint="eastAsia" w:ascii="黑体" w:hAnsi="黑体" w:eastAsia="黑体"/>
          <w:color w:val="auto"/>
          <w:sz w:val="28"/>
          <w:szCs w:val="28"/>
          <w:highlight w:val="none"/>
        </w:rPr>
        <w:t>八、日程安排和联系方式</w:t>
      </w:r>
    </w:p>
    <w:p>
      <w:pPr>
        <w:spacing w:line="360" w:lineRule="auto"/>
        <w:ind w:firstLine="560" w:firstLineChars="200"/>
        <w:rPr>
          <w:rFonts w:asci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报名时间：招标信息发布后。</w:t>
      </w:r>
    </w:p>
    <w:p>
      <w:pPr>
        <w:spacing w:line="360" w:lineRule="auto"/>
        <w:ind w:firstLine="560" w:firstLineChars="200"/>
        <w:rPr>
          <w:rFonts w:ascii="宋体" w:cs="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领取招标文件：</w:t>
      </w:r>
      <w:r>
        <w:rPr>
          <w:rFonts w:hint="eastAsia" w:ascii="宋体" w:hAnsi="宋体"/>
          <w:color w:val="auto"/>
          <w:sz w:val="28"/>
          <w:szCs w:val="28"/>
          <w:highlight w:val="none"/>
          <w:u w:val="single"/>
        </w:rPr>
        <w:t>自行下载</w:t>
      </w:r>
      <w:r>
        <w:rPr>
          <w:rFonts w:hint="eastAsia" w:ascii="宋体" w:hAnsi="宋体" w:cs="宋体"/>
          <w:color w:val="auto"/>
          <w:kern w:val="0"/>
          <w:sz w:val="28"/>
          <w:szCs w:val="28"/>
          <w:highlight w:val="none"/>
        </w:rPr>
        <w:t>。</w:t>
      </w:r>
    </w:p>
    <w:p>
      <w:pPr>
        <w:spacing w:line="360" w:lineRule="auto"/>
        <w:ind w:firstLine="560" w:firstLineChars="200"/>
        <w:rPr>
          <w:rFonts w:asci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 xml:space="preserve">答疑时间：          </w:t>
      </w:r>
    </w:p>
    <w:p>
      <w:pPr>
        <w:spacing w:line="360" w:lineRule="auto"/>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）投标人如有疑问，请在</w:t>
      </w:r>
      <w:r>
        <w:rPr>
          <w:rFonts w:ascii="宋体" w:hAnsi="宋体"/>
          <w:b/>
          <w:color w:val="auto"/>
          <w:sz w:val="28"/>
          <w:szCs w:val="28"/>
          <w:highlight w:val="none"/>
          <w:u w:val="single"/>
        </w:rPr>
        <w:t>202</w:t>
      </w:r>
      <w:r>
        <w:rPr>
          <w:rFonts w:hint="eastAsia" w:ascii="宋体" w:hAnsi="宋体"/>
          <w:b/>
          <w:color w:val="auto"/>
          <w:sz w:val="28"/>
          <w:szCs w:val="28"/>
          <w:highlight w:val="none"/>
          <w:u w:val="single"/>
          <w:lang w:val="en-US" w:eastAsia="zh-CN"/>
        </w:rPr>
        <w:t>3</w:t>
      </w:r>
      <w:r>
        <w:rPr>
          <w:rFonts w:hint="eastAsia" w:ascii="宋体" w:hAnsi="宋体"/>
          <w:b/>
          <w:color w:val="auto"/>
          <w:sz w:val="28"/>
          <w:szCs w:val="28"/>
          <w:highlight w:val="none"/>
          <w:u w:val="single"/>
        </w:rPr>
        <w:t>年</w:t>
      </w:r>
      <w:r>
        <w:rPr>
          <w:rFonts w:hint="eastAsia" w:ascii="宋体" w:hAnsi="宋体"/>
          <w:b/>
          <w:color w:val="auto"/>
          <w:sz w:val="28"/>
          <w:szCs w:val="28"/>
          <w:highlight w:val="none"/>
          <w:u w:val="single"/>
          <w:lang w:val="en-US" w:eastAsia="zh-CN"/>
        </w:rPr>
        <w:t>0</w:t>
      </w:r>
      <w:r>
        <w:rPr>
          <w:rFonts w:hint="eastAsia" w:ascii="宋体" w:hAnsi="宋体"/>
          <w:b/>
          <w:color w:val="auto"/>
          <w:sz w:val="28"/>
          <w:szCs w:val="28"/>
          <w:highlight w:val="none"/>
          <w:u w:val="single"/>
        </w:rPr>
        <w:t>1月</w:t>
      </w:r>
      <w:r>
        <w:rPr>
          <w:rFonts w:hint="eastAsia" w:ascii="宋体" w:hAnsi="宋体"/>
          <w:b/>
          <w:color w:val="auto"/>
          <w:sz w:val="28"/>
          <w:szCs w:val="28"/>
          <w:highlight w:val="none"/>
          <w:u w:val="single"/>
          <w:lang w:val="en-US" w:eastAsia="zh-CN"/>
        </w:rPr>
        <w:t>11</w:t>
      </w:r>
      <w:r>
        <w:rPr>
          <w:rFonts w:hint="eastAsia" w:ascii="宋体" w:hAnsi="宋体"/>
          <w:b/>
          <w:color w:val="auto"/>
          <w:sz w:val="28"/>
          <w:szCs w:val="28"/>
          <w:highlight w:val="none"/>
          <w:u w:val="single"/>
        </w:rPr>
        <w:t>日</w:t>
      </w:r>
      <w:r>
        <w:rPr>
          <w:rFonts w:ascii="宋体" w:hAnsi="宋体"/>
          <w:b/>
          <w:color w:val="auto"/>
          <w:sz w:val="28"/>
          <w:szCs w:val="28"/>
          <w:highlight w:val="none"/>
          <w:u w:val="single"/>
        </w:rPr>
        <w:t>11</w:t>
      </w:r>
      <w:r>
        <w:rPr>
          <w:rFonts w:hint="eastAsia" w:ascii="宋体" w:hAnsi="宋体"/>
          <w:b/>
          <w:color w:val="auto"/>
          <w:sz w:val="28"/>
          <w:szCs w:val="28"/>
          <w:highlight w:val="none"/>
          <w:u w:val="single"/>
        </w:rPr>
        <w:t>：</w:t>
      </w:r>
      <w:r>
        <w:rPr>
          <w:rFonts w:ascii="宋体" w:hAnsi="宋体"/>
          <w:b/>
          <w:color w:val="auto"/>
          <w:sz w:val="28"/>
          <w:szCs w:val="28"/>
          <w:highlight w:val="none"/>
          <w:u w:val="single"/>
        </w:rPr>
        <w:t>3</w:t>
      </w:r>
      <w:r>
        <w:rPr>
          <w:color w:val="auto"/>
          <w:highlight w:val="none"/>
        </w:rPr>
        <w:fldChar w:fldCharType="begin"/>
      </w:r>
      <w:r>
        <w:rPr>
          <w:color w:val="auto"/>
          <w:highlight w:val="none"/>
        </w:rPr>
        <w:instrText xml:space="preserve"> HYPERLINK "mailto:30前将问题一律以word格式或txt格式发至89523765@qq.com" </w:instrText>
      </w:r>
      <w:r>
        <w:rPr>
          <w:color w:val="auto"/>
          <w:highlight w:val="none"/>
        </w:rPr>
        <w:fldChar w:fldCharType="separate"/>
      </w:r>
      <w:r>
        <w:rPr>
          <w:rFonts w:ascii="宋体"/>
          <w:b/>
          <w:color w:val="auto"/>
          <w:sz w:val="28"/>
          <w:szCs w:val="28"/>
          <w:highlight w:val="none"/>
          <w:u w:val="single"/>
        </w:rPr>
        <w:t>0</w:t>
      </w:r>
      <w:r>
        <w:rPr>
          <w:rFonts w:hint="eastAsia" w:ascii="宋体" w:hAnsi="宋体"/>
          <w:color w:val="auto"/>
          <w:sz w:val="28"/>
          <w:szCs w:val="28"/>
          <w:highlight w:val="none"/>
        </w:rPr>
        <w:t>前将问题以</w:t>
      </w:r>
      <w:r>
        <w:rPr>
          <w:rFonts w:ascii="宋体" w:hAnsi="宋体"/>
          <w:color w:val="auto"/>
          <w:sz w:val="28"/>
          <w:szCs w:val="28"/>
          <w:highlight w:val="none"/>
        </w:rPr>
        <w:t>word</w:t>
      </w:r>
      <w:r>
        <w:rPr>
          <w:rFonts w:hint="eastAsia" w:ascii="宋体" w:hAnsi="宋体"/>
          <w:color w:val="auto"/>
          <w:sz w:val="28"/>
          <w:szCs w:val="28"/>
          <w:highlight w:val="none"/>
        </w:rPr>
        <w:t>格式或</w:t>
      </w:r>
      <w:r>
        <w:rPr>
          <w:rFonts w:ascii="宋体" w:hAnsi="宋体"/>
          <w:color w:val="auto"/>
          <w:sz w:val="28"/>
          <w:szCs w:val="28"/>
          <w:highlight w:val="none"/>
        </w:rPr>
        <w:t>txt</w:t>
      </w:r>
      <w:r>
        <w:rPr>
          <w:rFonts w:hint="eastAsia" w:ascii="宋体" w:hAnsi="宋体"/>
          <w:color w:val="auto"/>
          <w:sz w:val="28"/>
          <w:szCs w:val="28"/>
          <w:highlight w:val="none"/>
        </w:rPr>
        <w:t>格式发至</w:t>
      </w:r>
      <w:r>
        <w:rPr>
          <w:rFonts w:ascii="宋体" w:hAnsi="宋体"/>
          <w:color w:val="auto"/>
          <w:sz w:val="28"/>
          <w:szCs w:val="28"/>
          <w:highlight w:val="none"/>
        </w:rPr>
        <w:t>2483567991@qq.com</w:t>
      </w:r>
      <w:r>
        <w:rPr>
          <w:rFonts w:ascii="宋体" w:hAnsi="宋体"/>
          <w:color w:val="auto"/>
          <w:sz w:val="28"/>
          <w:szCs w:val="28"/>
          <w:highlight w:val="none"/>
        </w:rPr>
        <w:fldChar w:fldCharType="end"/>
      </w:r>
      <w:r>
        <w:rPr>
          <w:rFonts w:hint="eastAsia" w:ascii="宋体" w:hAnsi="宋体"/>
          <w:color w:val="auto"/>
          <w:sz w:val="28"/>
          <w:szCs w:val="28"/>
          <w:highlight w:val="none"/>
        </w:rPr>
        <w:t>（质疑函请勿以</w:t>
      </w:r>
      <w:r>
        <w:rPr>
          <w:rFonts w:ascii="宋体" w:hAnsi="宋体"/>
          <w:color w:val="auto"/>
          <w:sz w:val="28"/>
          <w:szCs w:val="28"/>
          <w:highlight w:val="none"/>
        </w:rPr>
        <w:t>JPG</w:t>
      </w:r>
      <w:r>
        <w:rPr>
          <w:rFonts w:hint="eastAsia" w:ascii="宋体" w:hAnsi="宋体"/>
          <w:color w:val="auto"/>
          <w:sz w:val="28"/>
          <w:szCs w:val="28"/>
          <w:highlight w:val="none"/>
        </w:rPr>
        <w:t>或</w:t>
      </w:r>
      <w:r>
        <w:rPr>
          <w:rFonts w:ascii="宋体" w:hAnsi="宋体"/>
          <w:color w:val="auto"/>
          <w:sz w:val="28"/>
          <w:szCs w:val="28"/>
          <w:highlight w:val="none"/>
        </w:rPr>
        <w:t>PDF</w:t>
      </w:r>
      <w:r>
        <w:rPr>
          <w:rFonts w:hint="eastAsia" w:ascii="宋体" w:hAnsi="宋体"/>
          <w:color w:val="auto"/>
          <w:sz w:val="28"/>
          <w:szCs w:val="28"/>
          <w:highlight w:val="none"/>
        </w:rPr>
        <w:t>格式，对</w:t>
      </w:r>
      <w:r>
        <w:rPr>
          <w:rFonts w:ascii="宋体" w:hAnsi="宋体"/>
          <w:color w:val="auto"/>
          <w:sz w:val="28"/>
          <w:szCs w:val="28"/>
          <w:highlight w:val="none"/>
        </w:rPr>
        <w:t>JPG</w:t>
      </w:r>
      <w:r>
        <w:rPr>
          <w:rFonts w:hint="eastAsia" w:ascii="宋体" w:hAnsi="宋体"/>
          <w:color w:val="auto"/>
          <w:sz w:val="28"/>
          <w:szCs w:val="28"/>
          <w:highlight w:val="none"/>
        </w:rPr>
        <w:t>和</w:t>
      </w:r>
      <w:r>
        <w:rPr>
          <w:rFonts w:ascii="宋体" w:hAnsi="宋体"/>
          <w:color w:val="auto"/>
          <w:sz w:val="28"/>
          <w:szCs w:val="28"/>
          <w:highlight w:val="none"/>
        </w:rPr>
        <w:t>PDF</w:t>
      </w:r>
      <w:r>
        <w:rPr>
          <w:rFonts w:hint="eastAsia" w:ascii="宋体" w:hAnsi="宋体"/>
          <w:color w:val="auto"/>
          <w:sz w:val="28"/>
          <w:szCs w:val="28"/>
          <w:highlight w:val="none"/>
        </w:rPr>
        <w:t>格式的附件一律删除，不予采纳，敬请谅解）。</w:t>
      </w:r>
    </w:p>
    <w:p>
      <w:pPr>
        <w:spacing w:line="360" w:lineRule="auto"/>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color w:val="auto"/>
          <w:sz w:val="28"/>
          <w:szCs w:val="28"/>
          <w:highlight w:val="none"/>
        </w:rPr>
      </w:pPr>
      <w:r>
        <w:rPr>
          <w:rFonts w:hint="eastAsia" w:ascii="宋体" w:hAnsi="宋体"/>
          <w:color w:val="auto"/>
          <w:sz w:val="28"/>
          <w:szCs w:val="28"/>
          <w:highlight w:val="none"/>
        </w:rPr>
        <w:t>4.投标文件</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（1）投标送达方式：</w:t>
      </w:r>
      <w:r>
        <w:rPr>
          <w:rFonts w:hint="eastAsia" w:ascii="宋体" w:hAnsi="宋体"/>
          <w:b/>
          <w:color w:val="auto"/>
          <w:sz w:val="28"/>
          <w:szCs w:val="28"/>
          <w:highlight w:val="none"/>
        </w:rPr>
        <w:t>只接受以邮寄方式送达，并请务必用顺丰快递</w:t>
      </w:r>
      <w:r>
        <w:rPr>
          <w:rFonts w:hint="eastAsia" w:ascii="宋体" w:hAnsi="宋体"/>
          <w:color w:val="auto"/>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color w:val="auto"/>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（2）投标截止时间：202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w:t>
      </w:r>
      <w:r>
        <w:rPr>
          <w:rFonts w:hint="eastAsia" w:ascii="宋体" w:hAnsi="宋体"/>
          <w:color w:val="auto"/>
          <w:sz w:val="28"/>
          <w:szCs w:val="28"/>
          <w:highlight w:val="none"/>
        </w:rPr>
        <w:t>1月3</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日14：00</w:t>
      </w:r>
      <w:r>
        <w:rPr>
          <w:rFonts w:hint="eastAsia" w:ascii="仿宋" w:hAnsi="仿宋" w:eastAsia="仿宋" w:cs="仿宋"/>
          <w:color w:val="auto"/>
          <w:kern w:val="0"/>
          <w:sz w:val="28"/>
          <w:szCs w:val="28"/>
          <w:highlight w:val="none"/>
          <w:lang w:bidi="ar"/>
        </w:rPr>
        <w:t>（北京时间）</w:t>
      </w:r>
      <w:r>
        <w:rPr>
          <w:rFonts w:hint="eastAsia" w:ascii="宋体" w:hAnsi="宋体"/>
          <w:color w:val="auto"/>
          <w:sz w:val="28"/>
          <w:szCs w:val="28"/>
          <w:highlight w:val="none"/>
        </w:rPr>
        <w:t>。</w:t>
      </w:r>
      <w:bookmarkStart w:id="5" w:name="_Hlk32349437"/>
    </w:p>
    <w:bookmarkEnd w:id="5"/>
    <w:p>
      <w:pPr>
        <w:widowControl/>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（3）邮寄送达地点：</w:t>
      </w:r>
      <w:r>
        <w:rPr>
          <w:rFonts w:hint="eastAsia" w:ascii="宋体" w:hAnsi="宋体" w:cs="宋体"/>
          <w:color w:val="auto"/>
          <w:kern w:val="0"/>
          <w:sz w:val="28"/>
          <w:szCs w:val="28"/>
          <w:highlight w:val="none"/>
        </w:rPr>
        <w:t>南京市浦口区宁六路219号</w:t>
      </w:r>
      <w:r>
        <w:rPr>
          <w:rFonts w:ascii="宋体" w:hAnsi="宋体" w:cs="宋体"/>
          <w:color w:val="auto"/>
          <w:kern w:val="0"/>
          <w:sz w:val="28"/>
          <w:szCs w:val="28"/>
          <w:highlight w:val="none"/>
        </w:rPr>
        <w:t>南京信息工程大学</w:t>
      </w:r>
      <w:r>
        <w:rPr>
          <w:rFonts w:hint="eastAsia" w:ascii="宋体" w:hAnsi="宋体"/>
          <w:color w:val="auto"/>
          <w:sz w:val="28"/>
          <w:szCs w:val="28"/>
          <w:highlight w:val="none"/>
        </w:rPr>
        <w:t>东苑大学生创业中心3号楼（体育馆北面三层小楼）210室</w:t>
      </w:r>
      <w:r>
        <w:rPr>
          <w:rFonts w:hint="eastAsia" w:ascii="宋体" w:hAnsi="宋体" w:cs="宋体"/>
          <w:color w:val="auto"/>
          <w:kern w:val="0"/>
          <w:sz w:val="28"/>
          <w:szCs w:val="28"/>
          <w:highlight w:val="none"/>
        </w:rPr>
        <w:t>招标办。联系人：马老师、罗老师、刘老师；联系电话：025-58731441。</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5.开标、唱标和评标</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（1）开标、唱标：202</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w:t>
      </w:r>
      <w:r>
        <w:rPr>
          <w:rFonts w:hint="eastAsia" w:ascii="宋体" w:hAnsi="宋体"/>
          <w:color w:val="auto"/>
          <w:sz w:val="28"/>
          <w:szCs w:val="28"/>
          <w:highlight w:val="none"/>
        </w:rPr>
        <w:t>1月3</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日14：00</w:t>
      </w:r>
      <w:r>
        <w:rPr>
          <w:rFonts w:hint="eastAsia" w:ascii="仿宋" w:hAnsi="仿宋" w:eastAsia="仿宋" w:cs="仿宋"/>
          <w:color w:val="auto"/>
          <w:kern w:val="0"/>
          <w:sz w:val="28"/>
          <w:szCs w:val="28"/>
          <w:highlight w:val="none"/>
          <w:lang w:bidi="ar"/>
        </w:rPr>
        <w:t>（北京时间）</w:t>
      </w:r>
      <w:r>
        <w:rPr>
          <w:rFonts w:hint="eastAsia" w:ascii="宋体" w:hAnsi="宋体"/>
          <w:color w:val="auto"/>
          <w:sz w:val="28"/>
          <w:szCs w:val="28"/>
          <w:highlight w:val="none"/>
        </w:rPr>
        <w:t>；(不安排公开开标、唱标，由招标办工作人员在我校纪检监察部门监督见证下进行，开标、唱标工作全程视频监控并录像)。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（2）唱标和开标地点：南京信息工程大学东苑大学生创业中心</w:t>
      </w:r>
      <w:r>
        <w:rPr>
          <w:rFonts w:ascii="宋体" w:hAnsi="宋体"/>
          <w:color w:val="auto"/>
          <w:sz w:val="28"/>
          <w:szCs w:val="28"/>
          <w:highlight w:val="none"/>
        </w:rPr>
        <w:t>3</w:t>
      </w:r>
      <w:r>
        <w:rPr>
          <w:rFonts w:hint="eastAsia" w:ascii="宋体" w:hAnsi="宋体"/>
          <w:color w:val="auto"/>
          <w:sz w:val="28"/>
          <w:szCs w:val="28"/>
          <w:highlight w:val="none"/>
        </w:rPr>
        <w:t>号楼（体育馆北面三层小楼）</w:t>
      </w:r>
      <w:r>
        <w:rPr>
          <w:rFonts w:ascii="宋体" w:hAnsi="宋体"/>
          <w:color w:val="auto"/>
          <w:sz w:val="28"/>
          <w:szCs w:val="28"/>
          <w:highlight w:val="none"/>
        </w:rPr>
        <w:t>210</w:t>
      </w:r>
      <w:r>
        <w:rPr>
          <w:rFonts w:hint="eastAsia" w:ascii="宋体" w:hAnsi="宋体"/>
          <w:color w:val="auto"/>
          <w:sz w:val="28"/>
          <w:szCs w:val="28"/>
          <w:highlight w:val="none"/>
        </w:rPr>
        <w:t>室。</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6.相关单位联系人及电话</w:t>
      </w:r>
    </w:p>
    <w:p>
      <w:pPr>
        <w:snapToGrid w:val="0"/>
        <w:spacing w:line="360" w:lineRule="auto"/>
        <w:ind w:firstLine="425" w:firstLineChars="152"/>
        <w:rPr>
          <w:rFonts w:asci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）招标办：联系电话：</w:t>
      </w:r>
      <w:r>
        <w:rPr>
          <w:rFonts w:ascii="宋体" w:hAnsi="宋体"/>
          <w:color w:val="auto"/>
          <w:sz w:val="28"/>
          <w:szCs w:val="28"/>
          <w:highlight w:val="none"/>
        </w:rPr>
        <w:t>025-58731441</w:t>
      </w:r>
      <w:r>
        <w:rPr>
          <w:rFonts w:hint="eastAsia" w:ascii="宋体" w:hAnsi="宋体"/>
          <w:color w:val="auto"/>
          <w:sz w:val="28"/>
          <w:szCs w:val="28"/>
          <w:highlight w:val="none"/>
        </w:rPr>
        <w:t>，联系人：马老师、罗老师、刘老师；</w:t>
      </w:r>
    </w:p>
    <w:p>
      <w:pPr>
        <w:snapToGrid w:val="0"/>
        <w:spacing w:line="360" w:lineRule="auto"/>
        <w:ind w:firstLine="425" w:firstLineChars="152"/>
        <w:rPr>
          <w:rFonts w:ascii="宋体" w:hAnsi="宋体"/>
          <w:color w:val="auto"/>
          <w:sz w:val="28"/>
          <w:szCs w:val="28"/>
          <w:highlight w:val="none"/>
        </w:rPr>
      </w:pPr>
      <w:r>
        <w:rPr>
          <w:rFonts w:hint="eastAsia" w:ascii="宋体" w:hAnsi="宋体"/>
          <w:color w:val="auto"/>
          <w:sz w:val="28"/>
          <w:szCs w:val="28"/>
          <w:highlight w:val="none"/>
        </w:rPr>
        <w:t>（2）</w:t>
      </w:r>
      <w:bookmarkEnd w:id="4"/>
      <w:r>
        <w:rPr>
          <w:rFonts w:hint="eastAsia" w:ascii="宋体" w:hAnsi="宋体"/>
          <w:color w:val="auto"/>
          <w:sz w:val="28"/>
          <w:szCs w:val="28"/>
          <w:highlight w:val="none"/>
        </w:rPr>
        <w:t>用户单位联系电话：</w:t>
      </w:r>
      <w:r>
        <w:rPr>
          <w:rFonts w:hint="eastAsia" w:ascii="仿宋" w:hAnsi="仿宋" w:eastAsia="仿宋" w:cs="仿宋"/>
          <w:color w:val="auto"/>
          <w:kern w:val="0"/>
          <w:sz w:val="28"/>
          <w:szCs w:val="28"/>
          <w:highlight w:val="none"/>
          <w:lang w:bidi="ar"/>
        </w:rPr>
        <w:t>0</w:t>
      </w:r>
      <w:r>
        <w:rPr>
          <w:rFonts w:hint="eastAsia" w:ascii="仿宋" w:hAnsi="仿宋" w:eastAsia="仿宋" w:cs="仿宋"/>
          <w:color w:val="auto"/>
          <w:kern w:val="0"/>
          <w:sz w:val="28"/>
          <w:szCs w:val="28"/>
          <w:highlight w:val="none"/>
          <w:lang w:val="en-US" w:eastAsia="zh-CN" w:bidi="ar"/>
        </w:rPr>
        <w:t>550</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7798192</w:t>
      </w:r>
      <w:r>
        <w:rPr>
          <w:rFonts w:hint="eastAsia" w:ascii="宋体" w:hAnsi="宋体"/>
          <w:color w:val="auto"/>
          <w:sz w:val="28"/>
          <w:szCs w:val="28"/>
          <w:highlight w:val="none"/>
        </w:rPr>
        <w:t xml:space="preserve"> ，联系人：</w:t>
      </w:r>
      <w:r>
        <w:rPr>
          <w:rFonts w:hint="eastAsia" w:ascii="宋体" w:hAnsi="宋体"/>
          <w:color w:val="auto"/>
          <w:sz w:val="28"/>
          <w:szCs w:val="28"/>
          <w:highlight w:val="none"/>
          <w:lang w:val="en-US" w:eastAsia="zh-CN"/>
        </w:rPr>
        <w:t>张</w:t>
      </w:r>
      <w:r>
        <w:rPr>
          <w:rFonts w:hint="eastAsia" w:ascii="宋体" w:hAnsi="宋体"/>
          <w:color w:val="auto"/>
          <w:sz w:val="28"/>
          <w:szCs w:val="28"/>
          <w:highlight w:val="none"/>
        </w:rPr>
        <w:t>老师。</w:t>
      </w:r>
    </w:p>
    <w:p>
      <w:pPr>
        <w:pStyle w:val="8"/>
        <w:ind w:left="0" w:leftChars="0" w:right="0" w:rightChars="0"/>
        <w:rPr>
          <w:rFonts w:ascii="宋体" w:hAnsi="宋体"/>
          <w:color w:val="auto"/>
          <w:sz w:val="28"/>
          <w:szCs w:val="28"/>
          <w:highlight w:val="none"/>
        </w:rPr>
      </w:pPr>
    </w:p>
    <w:p>
      <w:pPr>
        <w:tabs>
          <w:tab w:val="left" w:pos="1260"/>
        </w:tabs>
        <w:spacing w:line="360" w:lineRule="auto"/>
        <w:ind w:left="1959" w:leftChars="933" w:firstLine="2530" w:firstLineChars="900"/>
        <w:jc w:val="right"/>
        <w:rPr>
          <w:rFonts w:ascii="宋体"/>
          <w:b/>
          <w:color w:val="auto"/>
          <w:sz w:val="28"/>
          <w:szCs w:val="28"/>
          <w:highlight w:val="none"/>
        </w:rPr>
      </w:pPr>
      <w:bookmarkStart w:id="6" w:name="_Hlk9866962"/>
      <w:r>
        <w:rPr>
          <w:rFonts w:hint="eastAsia" w:ascii="宋体" w:hAnsi="宋体"/>
          <w:b/>
          <w:color w:val="auto"/>
          <w:sz w:val="28"/>
          <w:szCs w:val="28"/>
          <w:highlight w:val="none"/>
        </w:rPr>
        <w:t>南京信息工程大学招标办</w:t>
      </w:r>
    </w:p>
    <w:p>
      <w:pPr>
        <w:pStyle w:val="11"/>
        <w:spacing w:line="360" w:lineRule="auto"/>
        <w:ind w:left="99" w:leftChars="47" w:firstLine="4919" w:firstLineChars="1750"/>
        <w:jc w:val="right"/>
        <w:rPr>
          <w:rStyle w:val="41"/>
          <w:rFonts w:ascii="宋体" w:hAnsi="Times New Roman" w:eastAsia="宋体"/>
          <w:color w:val="auto"/>
          <w:sz w:val="28"/>
          <w:szCs w:val="28"/>
          <w:highlight w:val="none"/>
        </w:rPr>
      </w:pPr>
      <w:r>
        <w:rPr>
          <w:rStyle w:val="41"/>
          <w:rFonts w:ascii="宋体" w:hAnsi="宋体" w:eastAsia="宋体"/>
          <w:color w:val="auto"/>
          <w:sz w:val="28"/>
          <w:szCs w:val="28"/>
          <w:highlight w:val="none"/>
        </w:rPr>
        <w:t>20</w:t>
      </w:r>
      <w:r>
        <w:rPr>
          <w:rStyle w:val="41"/>
          <w:rFonts w:hint="eastAsia" w:ascii="宋体" w:hAnsi="宋体" w:eastAsia="宋体"/>
          <w:color w:val="auto"/>
          <w:sz w:val="28"/>
          <w:szCs w:val="28"/>
          <w:highlight w:val="none"/>
        </w:rPr>
        <w:t>2</w:t>
      </w:r>
      <w:r>
        <w:rPr>
          <w:rStyle w:val="41"/>
          <w:rFonts w:hint="eastAsia" w:ascii="宋体" w:hAnsi="宋体"/>
          <w:color w:val="auto"/>
          <w:sz w:val="28"/>
          <w:szCs w:val="28"/>
          <w:highlight w:val="none"/>
          <w:lang w:val="en-US"/>
        </w:rPr>
        <w:t>3</w:t>
      </w:r>
      <w:r>
        <w:rPr>
          <w:rStyle w:val="41"/>
          <w:rFonts w:hint="eastAsia" w:ascii="宋体" w:hAnsi="宋体" w:eastAsia="宋体"/>
          <w:color w:val="auto"/>
          <w:sz w:val="28"/>
          <w:szCs w:val="28"/>
          <w:highlight w:val="none"/>
        </w:rPr>
        <w:t>年</w:t>
      </w:r>
      <w:r>
        <w:rPr>
          <w:rStyle w:val="41"/>
          <w:rFonts w:hint="eastAsia" w:ascii="宋体" w:hAnsi="宋体"/>
          <w:color w:val="auto"/>
          <w:sz w:val="28"/>
          <w:szCs w:val="28"/>
          <w:highlight w:val="none"/>
          <w:lang w:val="en-US"/>
        </w:rPr>
        <w:t>0</w:t>
      </w:r>
      <w:r>
        <w:rPr>
          <w:rStyle w:val="41"/>
          <w:rFonts w:hint="eastAsia" w:ascii="宋体" w:hAnsi="宋体"/>
          <w:color w:val="auto"/>
          <w:sz w:val="28"/>
          <w:szCs w:val="28"/>
          <w:highlight w:val="none"/>
        </w:rPr>
        <w:t>1</w:t>
      </w:r>
      <w:r>
        <w:rPr>
          <w:rStyle w:val="41"/>
          <w:rFonts w:hint="eastAsia" w:ascii="宋体" w:hAnsi="宋体" w:eastAsia="宋体"/>
          <w:color w:val="auto"/>
          <w:sz w:val="28"/>
          <w:szCs w:val="28"/>
          <w:highlight w:val="none"/>
        </w:rPr>
        <w:t>月</w:t>
      </w:r>
      <w:r>
        <w:rPr>
          <w:rStyle w:val="41"/>
          <w:rFonts w:hint="eastAsia" w:ascii="宋体" w:hAnsi="宋体"/>
          <w:color w:val="auto"/>
          <w:sz w:val="28"/>
          <w:szCs w:val="28"/>
          <w:highlight w:val="none"/>
        </w:rPr>
        <w:t>0</w:t>
      </w:r>
      <w:r>
        <w:rPr>
          <w:rStyle w:val="41"/>
          <w:rFonts w:hint="eastAsia" w:ascii="宋体" w:hAnsi="宋体"/>
          <w:color w:val="auto"/>
          <w:sz w:val="28"/>
          <w:szCs w:val="28"/>
          <w:highlight w:val="none"/>
          <w:lang w:val="en-US"/>
        </w:rPr>
        <w:t>4</w:t>
      </w:r>
      <w:r>
        <w:rPr>
          <w:rStyle w:val="41"/>
          <w:rFonts w:hint="eastAsia" w:ascii="宋体" w:hAnsi="宋体" w:eastAsia="宋体"/>
          <w:color w:val="auto"/>
          <w:sz w:val="28"/>
          <w:szCs w:val="28"/>
          <w:highlight w:val="none"/>
        </w:rPr>
        <w:t>日</w:t>
      </w:r>
    </w:p>
    <w:bookmarkEnd w:id="6"/>
    <w:p>
      <w:pPr>
        <w:pStyle w:val="10"/>
        <w:adjustRightInd w:val="0"/>
        <w:snapToGrid w:val="0"/>
        <w:spacing w:before="120" w:after="120" w:line="360" w:lineRule="auto"/>
        <w:rPr>
          <w:rStyle w:val="41"/>
          <w:rFonts w:ascii="宋体" w:hAnsi="宋体" w:eastAsia="宋体"/>
          <w:b w:val="0"/>
          <w:color w:val="auto"/>
          <w:sz w:val="28"/>
          <w:szCs w:val="28"/>
          <w:highlight w:val="none"/>
        </w:rPr>
      </w:pPr>
      <w:r>
        <w:rPr>
          <w:rStyle w:val="41"/>
          <w:rFonts w:ascii="宋体" w:hAnsi="Times New Roman" w:eastAsia="宋体"/>
          <w:b w:val="0"/>
          <w:color w:val="auto"/>
          <w:sz w:val="28"/>
          <w:szCs w:val="28"/>
          <w:highlight w:val="none"/>
        </w:rPr>
        <w:br w:type="page"/>
      </w:r>
      <w:bookmarkStart w:id="7" w:name="_Toc462564147"/>
      <w:r>
        <w:rPr>
          <w:rFonts w:ascii="Times New Roman" w:hAnsi="Times New Roman"/>
          <w:b/>
          <w:bCs/>
          <w:color w:val="auto"/>
          <w:sz w:val="24"/>
          <w:szCs w:val="24"/>
          <w:highlight w:val="none"/>
        </w:rPr>
        <w:t>附件1：</w:t>
      </w:r>
    </w:p>
    <w:p>
      <w:pPr>
        <w:spacing w:line="360" w:lineRule="auto"/>
        <w:ind w:firstLine="862" w:firstLineChars="196"/>
        <w:jc w:val="center"/>
        <w:rPr>
          <w:rFonts w:ascii="黑体" w:hAnsi="黑体" w:eastAsia="黑体" w:cs="宋体"/>
          <w:color w:val="auto"/>
          <w:sz w:val="44"/>
          <w:szCs w:val="44"/>
          <w:highlight w:val="none"/>
        </w:rPr>
      </w:pPr>
      <w:r>
        <w:rPr>
          <w:rFonts w:hint="eastAsia" w:ascii="黑体" w:hAnsi="黑体" w:eastAsia="黑体" w:cs="宋体"/>
          <w:color w:val="auto"/>
          <w:sz w:val="44"/>
          <w:szCs w:val="44"/>
          <w:highlight w:val="none"/>
        </w:rPr>
        <w:t>采购需求</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1. 项目概述</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本次招标是南京信息工程大学金牛湖园区沙盘模型设计及制作项目。</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2. 招标内容</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2.1 名称: 南京信息工程大学金牛湖园区沙盘模型设计及制作项目。</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2.2 项目地址：南京信息工程大学金牛湖园区</w:t>
      </w:r>
      <w:r>
        <w:rPr>
          <w:rFonts w:hint="eastAsia" w:ascii="宋体" w:hAnsi="宋体"/>
          <w:color w:val="auto"/>
          <w:sz w:val="28"/>
          <w:szCs w:val="28"/>
          <w:highlight w:val="none"/>
          <w:lang w:val="en-US" w:eastAsia="zh-CN"/>
        </w:rPr>
        <w:t>行政楼一层大厅</w:t>
      </w:r>
      <w:r>
        <w:rPr>
          <w:rFonts w:hint="eastAsia" w:ascii="宋体" w:hAnsi="宋体"/>
          <w:color w:val="auto"/>
          <w:sz w:val="28"/>
          <w:szCs w:val="28"/>
          <w:highlight w:val="none"/>
        </w:rPr>
        <w:t xml:space="preserve"> </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2.3 具体内容：</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（1）设计沙盘模型具体题材，设定模型制作比例；</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（2）沙盘模型方案（南京信息工程大学本部1套、金牛湖园区1套）详见报价清单表；</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（3）完成模型的制作、运输、装卸、安装等工作；</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（4）模型装卸、安装现场的卫生整理工作；</w:t>
      </w:r>
    </w:p>
    <w:p>
      <w:pPr>
        <w:widowControl/>
        <w:snapToGrid w:val="0"/>
        <w:spacing w:line="360" w:lineRule="auto"/>
        <w:ind w:firstLine="548" w:firstLineChars="196"/>
        <w:rPr>
          <w:rFonts w:hint="eastAsia" w:ascii="宋体" w:hAnsi="宋体"/>
          <w:color w:val="auto"/>
          <w:sz w:val="28"/>
          <w:szCs w:val="28"/>
          <w:highlight w:val="none"/>
        </w:rPr>
      </w:pPr>
      <w:r>
        <w:rPr>
          <w:rFonts w:hint="eastAsia" w:ascii="宋体" w:hAnsi="宋体"/>
          <w:color w:val="auto"/>
          <w:sz w:val="28"/>
          <w:szCs w:val="28"/>
          <w:highlight w:val="none"/>
        </w:rPr>
        <w:t>（5）项目整体通过招标人组织的专家组验收。</w:t>
      </w:r>
    </w:p>
    <w:p>
      <w:pPr>
        <w:widowControl/>
        <w:snapToGrid w:val="0"/>
        <w:spacing w:line="360" w:lineRule="auto"/>
        <w:ind w:firstLine="548" w:firstLineChars="196"/>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3.项目依据资料</w:t>
      </w:r>
    </w:p>
    <w:p>
      <w:pPr>
        <w:widowControl/>
        <w:snapToGrid w:val="0"/>
        <w:spacing w:line="360" w:lineRule="auto"/>
        <w:ind w:firstLine="548" w:firstLineChars="196"/>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3.1金牛湖园区行政楼一层大厅图纸。</w:t>
      </w:r>
    </w:p>
    <w:p>
      <w:pPr>
        <w:widowControl/>
        <w:snapToGrid w:val="0"/>
        <w:spacing w:line="360" w:lineRule="auto"/>
        <w:ind w:firstLine="548" w:firstLineChars="196"/>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3.2南京信息工程大学本部和金牛湖园区总平图和效果图。</w:t>
      </w:r>
    </w:p>
    <w:p>
      <w:pPr>
        <w:widowControl/>
        <w:snapToGrid w:val="0"/>
        <w:spacing w:line="360" w:lineRule="auto"/>
        <w:ind w:firstLine="548" w:firstLineChars="196"/>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3.3南京信息工程大学本部和金牛湖园区各单体图纸。（中标后提供）</w:t>
      </w:r>
    </w:p>
    <w:p>
      <w:pPr>
        <w:widowControl/>
        <w:snapToGrid w:val="0"/>
        <w:spacing w:line="360" w:lineRule="auto"/>
        <w:ind w:firstLine="548" w:firstLineChars="196"/>
        <w:rPr>
          <w:rFonts w:hint="eastAsia"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 技术规格、要求</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.1 设计要求</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.1.</w:t>
      </w:r>
      <w:r>
        <w:rPr>
          <w:rFonts w:ascii="宋体" w:hAnsi="宋体"/>
          <w:color w:val="auto"/>
          <w:sz w:val="28"/>
          <w:szCs w:val="28"/>
          <w:highlight w:val="none"/>
        </w:rPr>
        <w:t>1</w:t>
      </w:r>
      <w:r>
        <w:rPr>
          <w:rFonts w:hint="eastAsia" w:ascii="宋体" w:hAnsi="宋体"/>
          <w:color w:val="auto"/>
          <w:sz w:val="28"/>
          <w:szCs w:val="28"/>
          <w:highlight w:val="none"/>
        </w:rPr>
        <w:t xml:space="preserve"> 设计比例适当，展现美观。</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.1.</w:t>
      </w:r>
      <w:r>
        <w:rPr>
          <w:rFonts w:ascii="宋体" w:hAnsi="宋体"/>
          <w:color w:val="auto"/>
          <w:sz w:val="28"/>
          <w:szCs w:val="28"/>
          <w:highlight w:val="none"/>
        </w:rPr>
        <w:t>2</w:t>
      </w:r>
      <w:r>
        <w:rPr>
          <w:rFonts w:hint="eastAsia" w:ascii="宋体" w:hAnsi="宋体"/>
          <w:color w:val="auto"/>
          <w:sz w:val="28"/>
          <w:szCs w:val="28"/>
          <w:highlight w:val="none"/>
        </w:rPr>
        <w:t xml:space="preserve"> </w:t>
      </w:r>
      <w:bookmarkStart w:id="8" w:name="OLE_LINK3"/>
      <w:r>
        <w:rPr>
          <w:rFonts w:hint="eastAsia" w:ascii="宋体" w:hAnsi="宋体"/>
          <w:color w:val="auto"/>
          <w:sz w:val="28"/>
          <w:szCs w:val="28"/>
          <w:highlight w:val="none"/>
        </w:rPr>
        <w:t>模型制作为全要素整体微缩，比例精确，材质讲究，结构准确。</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.1.</w:t>
      </w:r>
      <w:r>
        <w:rPr>
          <w:rFonts w:ascii="宋体" w:hAnsi="宋体"/>
          <w:color w:val="auto"/>
          <w:sz w:val="28"/>
          <w:szCs w:val="28"/>
          <w:highlight w:val="none"/>
        </w:rPr>
        <w:t>3</w:t>
      </w:r>
      <w:r>
        <w:rPr>
          <w:rFonts w:hint="eastAsia" w:ascii="宋体" w:hAnsi="宋体"/>
          <w:color w:val="auto"/>
          <w:sz w:val="28"/>
          <w:szCs w:val="28"/>
          <w:highlight w:val="none"/>
        </w:rPr>
        <w:t xml:space="preserve"> 模型制作应选择适当材质，整体效果应高程度还原建筑、景观铺装、水系等原貌（包括但不限于仿石材、木材、陶瓷等工艺）。</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.2 制作要求</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.2.1 模型作品适合后期移动，并方便移动安装拆卸。</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.3 安装要求</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 xml:space="preserve">.3.1 </w:t>
      </w:r>
      <w:bookmarkStart w:id="9" w:name="OLE_LINK21"/>
      <w:r>
        <w:rPr>
          <w:rFonts w:hint="eastAsia" w:ascii="宋体" w:hAnsi="宋体"/>
          <w:color w:val="auto"/>
          <w:sz w:val="28"/>
          <w:szCs w:val="28"/>
          <w:highlight w:val="none"/>
        </w:rPr>
        <w:t>模型尺寸与场地协调，展示高度符合观众欣赏习惯</w:t>
      </w:r>
      <w:bookmarkEnd w:id="9"/>
      <w:r>
        <w:rPr>
          <w:rFonts w:hint="eastAsia" w:ascii="宋体" w:hAnsi="宋体"/>
          <w:color w:val="auto"/>
          <w:sz w:val="28"/>
          <w:szCs w:val="28"/>
          <w:highlight w:val="none"/>
        </w:rPr>
        <w:t>。</w:t>
      </w:r>
    </w:p>
    <w:bookmarkEnd w:id="8"/>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.4 完工验收</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.4.1项目整体需通过招标人组织的专家组验收合格。</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.5  质保及售后服务</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.5.1 承诺免费质量保证期一年，自验收合格之日起算，并提供终身维护维修服务。</w:t>
      </w:r>
    </w:p>
    <w:p>
      <w:pPr>
        <w:widowControl/>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.5.2 模型搬运、搬迁中需提供伴随服务及技术支持。</w:t>
      </w:r>
    </w:p>
    <w:p>
      <w:pPr>
        <w:spacing w:line="360" w:lineRule="auto"/>
        <w:ind w:firstLine="548" w:firstLineChars="196"/>
        <w:rPr>
          <w:rFonts w:ascii="宋体" w:hAnsi="宋体" w:cs="宋体"/>
          <w:b/>
          <w:bCs/>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技术参数</w:t>
      </w:r>
    </w:p>
    <w:p>
      <w:pPr>
        <w:spacing w:line="360" w:lineRule="auto"/>
        <w:ind w:firstLine="548" w:firstLineChars="196"/>
        <w:rPr>
          <w:rFonts w:ascii="宋体" w:hAnsi="宋体" w:cs="宋体"/>
          <w:color w:val="auto"/>
          <w:sz w:val="28"/>
          <w:szCs w:val="28"/>
          <w:highlight w:val="none"/>
        </w:rPr>
      </w:pPr>
    </w:p>
    <w:tbl>
      <w:tblPr>
        <w:tblStyle w:val="17"/>
        <w:tblpPr w:leftFromText="180" w:rightFromText="180" w:vertAnchor="text" w:horzAnchor="margin" w:tblpY="108"/>
        <w:tblW w:w="9860" w:type="dxa"/>
        <w:tblInd w:w="0" w:type="dxa"/>
        <w:tblLayout w:type="autofit"/>
        <w:tblCellMar>
          <w:top w:w="0" w:type="dxa"/>
          <w:left w:w="108" w:type="dxa"/>
          <w:bottom w:w="0" w:type="dxa"/>
          <w:right w:w="108" w:type="dxa"/>
        </w:tblCellMar>
      </w:tblPr>
      <w:tblGrid>
        <w:gridCol w:w="400"/>
        <w:gridCol w:w="2060"/>
        <w:gridCol w:w="940"/>
        <w:gridCol w:w="580"/>
        <w:gridCol w:w="580"/>
        <w:gridCol w:w="1240"/>
        <w:gridCol w:w="4060"/>
      </w:tblGrid>
      <w:tr>
        <w:tblPrEx>
          <w:tblCellMar>
            <w:top w:w="0" w:type="dxa"/>
            <w:left w:w="108" w:type="dxa"/>
            <w:bottom w:w="0" w:type="dxa"/>
            <w:right w:w="108" w:type="dxa"/>
          </w:tblCellMar>
        </w:tblPrEx>
        <w:trPr>
          <w:trHeight w:val="300" w:hRule="atLeast"/>
        </w:trPr>
        <w:tc>
          <w:tcPr>
            <w:tcW w:w="400" w:type="dxa"/>
            <w:tcBorders>
              <w:top w:val="single" w:color="595959" w:sz="8" w:space="0"/>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序号</w:t>
            </w:r>
          </w:p>
        </w:tc>
        <w:tc>
          <w:tcPr>
            <w:tcW w:w="206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项目模型</w:t>
            </w:r>
          </w:p>
        </w:tc>
        <w:tc>
          <w:tcPr>
            <w:tcW w:w="94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展现形式</w:t>
            </w:r>
          </w:p>
        </w:tc>
        <w:tc>
          <w:tcPr>
            <w:tcW w:w="58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数量</w:t>
            </w:r>
          </w:p>
        </w:tc>
        <w:tc>
          <w:tcPr>
            <w:tcW w:w="58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材质</w:t>
            </w:r>
          </w:p>
        </w:tc>
        <w:tc>
          <w:tcPr>
            <w:tcW w:w="1240"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模型尺寸</w:t>
            </w:r>
          </w:p>
        </w:tc>
        <w:tc>
          <w:tcPr>
            <w:tcW w:w="406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工艺说明</w:t>
            </w:r>
          </w:p>
        </w:tc>
      </w:tr>
      <w:tr>
        <w:tblPrEx>
          <w:tblCellMar>
            <w:top w:w="0" w:type="dxa"/>
            <w:left w:w="108" w:type="dxa"/>
            <w:bottom w:w="0" w:type="dxa"/>
            <w:right w:w="108" w:type="dxa"/>
          </w:tblCellMar>
        </w:tblPrEx>
        <w:trPr>
          <w:trHeight w:val="1365" w:hRule="atLeast"/>
        </w:trPr>
        <w:tc>
          <w:tcPr>
            <w:tcW w:w="40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w:t>
            </w:r>
          </w:p>
        </w:tc>
        <w:tc>
          <w:tcPr>
            <w:tcW w:w="2060" w:type="dxa"/>
            <w:tcBorders>
              <w:top w:val="nil"/>
              <w:left w:val="nil"/>
              <w:bottom w:val="nil"/>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南京信息工程大学本部</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rPr>
              <w:t>（含底座）</w:t>
            </w:r>
          </w:p>
        </w:tc>
        <w:tc>
          <w:tcPr>
            <w:tcW w:w="940" w:type="dxa"/>
            <w:tcBorders>
              <w:top w:val="nil"/>
              <w:left w:val="nil"/>
              <w:bottom w:val="nil"/>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平放立体</w:t>
            </w:r>
          </w:p>
        </w:tc>
        <w:tc>
          <w:tcPr>
            <w:tcW w:w="580"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1套</w:t>
            </w:r>
          </w:p>
        </w:tc>
        <w:tc>
          <w:tcPr>
            <w:tcW w:w="580"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w:t>
            </w:r>
          </w:p>
        </w:tc>
        <w:tc>
          <w:tcPr>
            <w:tcW w:w="1240"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≥5.2m*2.4m</w:t>
            </w:r>
          </w:p>
        </w:tc>
        <w:tc>
          <w:tcPr>
            <w:tcW w:w="4060"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写实复原表现南京信息工程大学本部风貌，最大程度还原建筑外立面、景观亮、建筑造型等细节。利用先进3D建模打印、CNC镭射切割、UV激光打印等多工艺相结合。</w:t>
            </w:r>
          </w:p>
        </w:tc>
      </w:tr>
      <w:tr>
        <w:tblPrEx>
          <w:tblCellMar>
            <w:top w:w="0" w:type="dxa"/>
            <w:left w:w="108" w:type="dxa"/>
            <w:bottom w:w="0" w:type="dxa"/>
            <w:right w:w="108" w:type="dxa"/>
          </w:tblCellMar>
        </w:tblPrEx>
        <w:trPr>
          <w:trHeight w:val="1320" w:hRule="atLeast"/>
        </w:trPr>
        <w:tc>
          <w:tcPr>
            <w:tcW w:w="40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w:t>
            </w:r>
          </w:p>
        </w:tc>
        <w:tc>
          <w:tcPr>
            <w:tcW w:w="2060"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金牛湖园区</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rPr>
              <w:t>（含底座）</w:t>
            </w:r>
          </w:p>
        </w:tc>
        <w:tc>
          <w:tcPr>
            <w:tcW w:w="940"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平放立体</w:t>
            </w:r>
          </w:p>
        </w:tc>
        <w:tc>
          <w:tcPr>
            <w:tcW w:w="58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1套</w:t>
            </w:r>
          </w:p>
        </w:tc>
        <w:tc>
          <w:tcPr>
            <w:tcW w:w="58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w:t>
            </w:r>
          </w:p>
        </w:tc>
        <w:tc>
          <w:tcPr>
            <w:tcW w:w="124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≥4.3m*2.4m</w:t>
            </w:r>
          </w:p>
        </w:tc>
        <w:tc>
          <w:tcPr>
            <w:tcW w:w="4060"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写实复原表现</w:t>
            </w:r>
            <w:r>
              <w:rPr>
                <w:rFonts w:hint="eastAsia" w:ascii="微软雅黑" w:hAnsi="微软雅黑" w:eastAsia="微软雅黑" w:cs="宋体"/>
                <w:color w:val="auto"/>
                <w:kern w:val="0"/>
                <w:sz w:val="18"/>
                <w:szCs w:val="18"/>
                <w:highlight w:val="none"/>
                <w:lang w:val="en-US" w:eastAsia="zh-CN"/>
              </w:rPr>
              <w:t>金牛湖园区</w:t>
            </w:r>
            <w:r>
              <w:rPr>
                <w:rFonts w:hint="eastAsia" w:ascii="微软雅黑" w:hAnsi="微软雅黑" w:eastAsia="微软雅黑" w:cs="宋体"/>
                <w:color w:val="auto"/>
                <w:kern w:val="0"/>
                <w:sz w:val="18"/>
                <w:szCs w:val="18"/>
                <w:highlight w:val="none"/>
              </w:rPr>
              <w:t>风貌，最大程度还原建筑外立面、景观亮、建筑造型等细节。利用先进3D建模打印、CNC镭射切割、UV激光打印等多工艺相结合。</w:t>
            </w:r>
          </w:p>
        </w:tc>
      </w:tr>
      <w:tr>
        <w:tblPrEx>
          <w:tblCellMar>
            <w:top w:w="0" w:type="dxa"/>
            <w:left w:w="108" w:type="dxa"/>
            <w:bottom w:w="0" w:type="dxa"/>
            <w:right w:w="108" w:type="dxa"/>
          </w:tblCellMar>
        </w:tblPrEx>
        <w:trPr>
          <w:trHeight w:val="1320" w:hRule="atLeast"/>
        </w:trPr>
        <w:tc>
          <w:tcPr>
            <w:tcW w:w="40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3</w:t>
            </w:r>
          </w:p>
        </w:tc>
        <w:tc>
          <w:tcPr>
            <w:tcW w:w="2060"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玻璃贴膜</w:t>
            </w:r>
          </w:p>
        </w:tc>
        <w:tc>
          <w:tcPr>
            <w:tcW w:w="940"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p>
        </w:tc>
        <w:tc>
          <w:tcPr>
            <w:tcW w:w="58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58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p>
        </w:tc>
        <w:tc>
          <w:tcPr>
            <w:tcW w:w="124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高度约4m</w:t>
            </w:r>
          </w:p>
        </w:tc>
        <w:tc>
          <w:tcPr>
            <w:tcW w:w="4060"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半透光膜，阻挡刺眼眩光，隔离太阳热量和紫外线</w:t>
            </w:r>
          </w:p>
        </w:tc>
      </w:tr>
      <w:tr>
        <w:tblPrEx>
          <w:tblCellMar>
            <w:top w:w="0" w:type="dxa"/>
            <w:left w:w="108" w:type="dxa"/>
            <w:bottom w:w="0" w:type="dxa"/>
            <w:right w:w="108" w:type="dxa"/>
          </w:tblCellMar>
        </w:tblPrEx>
        <w:trPr>
          <w:trHeight w:val="735" w:hRule="atLeast"/>
        </w:trPr>
        <w:tc>
          <w:tcPr>
            <w:tcW w:w="40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4</w:t>
            </w:r>
          </w:p>
        </w:tc>
        <w:tc>
          <w:tcPr>
            <w:tcW w:w="206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控制、演示系统</w:t>
            </w:r>
          </w:p>
        </w:tc>
        <w:tc>
          <w:tcPr>
            <w:tcW w:w="940"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58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58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24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4060"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采用分区控制，分为触摸屏控制和手动控制2套系统　</w:t>
            </w:r>
          </w:p>
        </w:tc>
      </w:tr>
      <w:tr>
        <w:tblPrEx>
          <w:tblCellMar>
            <w:top w:w="0" w:type="dxa"/>
            <w:left w:w="108" w:type="dxa"/>
            <w:bottom w:w="0" w:type="dxa"/>
            <w:right w:w="108" w:type="dxa"/>
          </w:tblCellMar>
        </w:tblPrEx>
        <w:trPr>
          <w:trHeight w:val="735" w:hRule="atLeast"/>
        </w:trPr>
        <w:tc>
          <w:tcPr>
            <w:tcW w:w="40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5</w:t>
            </w:r>
          </w:p>
        </w:tc>
        <w:tc>
          <w:tcPr>
            <w:tcW w:w="206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运输、安装、调试</w:t>
            </w:r>
          </w:p>
        </w:tc>
        <w:tc>
          <w:tcPr>
            <w:tcW w:w="940"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58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58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24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4060"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运送到甲方指定地点安装调试完成　</w:t>
            </w:r>
          </w:p>
        </w:tc>
      </w:tr>
      <w:tr>
        <w:tblPrEx>
          <w:tblCellMar>
            <w:top w:w="0" w:type="dxa"/>
            <w:left w:w="108" w:type="dxa"/>
            <w:bottom w:w="0" w:type="dxa"/>
            <w:right w:w="108" w:type="dxa"/>
          </w:tblCellMar>
        </w:tblPrEx>
        <w:trPr>
          <w:trHeight w:val="735" w:hRule="atLeast"/>
        </w:trPr>
        <w:tc>
          <w:tcPr>
            <w:tcW w:w="40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6</w:t>
            </w:r>
          </w:p>
        </w:tc>
        <w:tc>
          <w:tcPr>
            <w:tcW w:w="206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辅料</w:t>
            </w:r>
          </w:p>
        </w:tc>
        <w:tc>
          <w:tcPr>
            <w:tcW w:w="940"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58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58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24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4060"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p>
        </w:tc>
      </w:tr>
    </w:tbl>
    <w:p>
      <w:pPr>
        <w:ind w:firstLine="354" w:firstLineChars="147"/>
        <w:rPr>
          <w:rFonts w:ascii="宋体"/>
          <w:b/>
          <w:color w:val="auto"/>
          <w:sz w:val="24"/>
          <w:highlight w:val="none"/>
        </w:rPr>
      </w:pPr>
    </w:p>
    <w:p>
      <w:pPr>
        <w:ind w:firstLine="354" w:firstLineChars="147"/>
        <w:rPr>
          <w:b/>
          <w:color w:val="auto"/>
          <w:highlight w:val="none"/>
          <w:lang w:val="zh-CN"/>
        </w:rPr>
      </w:pPr>
      <w:r>
        <w:rPr>
          <w:rFonts w:hint="eastAsia" w:ascii="宋体"/>
          <w:b/>
          <w:color w:val="auto"/>
          <w:sz w:val="24"/>
          <w:highlight w:val="none"/>
        </w:rPr>
        <w:t>（本部分内容由南京信息工程大学</w:t>
      </w:r>
      <w:r>
        <w:rPr>
          <w:rFonts w:hint="eastAsia" w:ascii="宋体"/>
          <w:b/>
          <w:color w:val="auto"/>
          <w:sz w:val="24"/>
          <w:highlight w:val="none"/>
          <w:lang w:val="en-US" w:eastAsia="zh-CN"/>
        </w:rPr>
        <w:t>金牛湖</w:t>
      </w:r>
      <w:r>
        <w:rPr>
          <w:rFonts w:hint="default" w:ascii="宋体"/>
          <w:b/>
          <w:color w:val="auto"/>
          <w:sz w:val="24"/>
          <w:highlight w:val="none"/>
          <w:lang w:val="en-US" w:eastAsia="zh-CN"/>
        </w:rPr>
        <w:t>产教融合</w:t>
      </w:r>
      <w:r>
        <w:rPr>
          <w:rFonts w:hint="eastAsia" w:ascii="宋体"/>
          <w:b/>
          <w:color w:val="auto"/>
          <w:sz w:val="24"/>
          <w:highlight w:val="none"/>
          <w:lang w:val="en-US" w:eastAsia="zh-CN"/>
        </w:rPr>
        <w:t>园区管委会</w:t>
      </w:r>
      <w:r>
        <w:rPr>
          <w:rFonts w:hint="eastAsia" w:ascii="宋体"/>
          <w:b/>
          <w:color w:val="auto"/>
          <w:sz w:val="24"/>
          <w:highlight w:val="none"/>
        </w:rPr>
        <w:t>提供并负责）</w:t>
      </w:r>
    </w:p>
    <w:p>
      <w:pPr>
        <w:widowControl/>
        <w:jc w:val="left"/>
        <w:rPr>
          <w:rFonts w:hAnsi="宋体"/>
          <w:b/>
          <w:color w:val="auto"/>
          <w:sz w:val="28"/>
          <w:szCs w:val="28"/>
          <w:highlight w:val="none"/>
        </w:rPr>
      </w:pPr>
    </w:p>
    <w:p>
      <w:pPr>
        <w:widowControl/>
        <w:jc w:val="left"/>
        <w:rPr>
          <w:rFonts w:hint="eastAsia" w:hAnsi="宋体"/>
          <w:b/>
          <w:color w:val="auto"/>
          <w:sz w:val="28"/>
          <w:szCs w:val="28"/>
          <w:highlight w:val="none"/>
        </w:rPr>
      </w:pPr>
    </w:p>
    <w:p>
      <w:pPr>
        <w:widowControl/>
        <w:jc w:val="left"/>
        <w:rPr>
          <w:rFonts w:hAnsi="宋体"/>
          <w:b/>
          <w:color w:val="auto"/>
          <w:sz w:val="36"/>
          <w:szCs w:val="36"/>
          <w:highlight w:val="none"/>
        </w:rPr>
      </w:pPr>
      <w:r>
        <w:rPr>
          <w:rFonts w:hint="eastAsia" w:hAnsi="宋体"/>
          <w:b/>
          <w:color w:val="auto"/>
          <w:sz w:val="28"/>
          <w:szCs w:val="28"/>
          <w:highlight w:val="none"/>
        </w:rPr>
        <w:t>附件</w:t>
      </w:r>
      <w:r>
        <w:rPr>
          <w:rFonts w:hAnsi="宋体"/>
          <w:b/>
          <w:color w:val="auto"/>
          <w:sz w:val="28"/>
          <w:szCs w:val="28"/>
          <w:highlight w:val="none"/>
        </w:rPr>
        <w:t>2</w:t>
      </w:r>
      <w:r>
        <w:rPr>
          <w:rFonts w:hint="eastAsia" w:hAnsi="宋体"/>
          <w:b/>
          <w:color w:val="auto"/>
          <w:sz w:val="28"/>
          <w:szCs w:val="28"/>
          <w:highlight w:val="none"/>
        </w:rPr>
        <w:t>：</w:t>
      </w:r>
    </w:p>
    <w:p>
      <w:pPr>
        <w:tabs>
          <w:tab w:val="left" w:pos="3270"/>
        </w:tabs>
        <w:autoSpaceDE w:val="0"/>
        <w:autoSpaceDN w:val="0"/>
        <w:adjustRightInd w:val="0"/>
        <w:spacing w:line="360" w:lineRule="exact"/>
        <w:rPr>
          <w:rFonts w:ascii="宋体" w:hAnsi="宋体"/>
          <w:b/>
          <w:color w:val="auto"/>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color w:val="auto"/>
          <w:sz w:val="36"/>
          <w:szCs w:val="36"/>
          <w:highlight w:val="none"/>
          <w:lang w:val="zh-CN"/>
        </w:rPr>
      </w:pPr>
      <w:r>
        <w:rPr>
          <w:rFonts w:hint="eastAsia" w:ascii="宋体" w:hAnsi="宋体"/>
          <w:b/>
          <w:color w:val="auto"/>
          <w:sz w:val="36"/>
          <w:szCs w:val="36"/>
          <w:highlight w:val="none"/>
          <w:lang w:val="zh-CN"/>
        </w:rPr>
        <w:t>投标函</w:t>
      </w:r>
    </w:p>
    <w:p>
      <w:pPr>
        <w:autoSpaceDE w:val="0"/>
        <w:autoSpaceDN w:val="0"/>
        <w:adjustRightInd w:val="0"/>
        <w:spacing w:line="300" w:lineRule="auto"/>
        <w:rPr>
          <w:rFonts w:ascii="宋体" w:hAnsi="宋体"/>
          <w:color w:val="auto"/>
          <w:sz w:val="24"/>
          <w:highlight w:val="none"/>
          <w:lang w:val="zh-CN"/>
        </w:rPr>
      </w:pPr>
      <w:r>
        <w:rPr>
          <w:rFonts w:hint="eastAsia" w:ascii="宋体" w:hAnsi="宋体"/>
          <w:color w:val="auto"/>
          <w:sz w:val="24"/>
          <w:highlight w:val="none"/>
          <w:lang w:val="zh-CN"/>
        </w:rPr>
        <w:t>致：南京信息工程大学</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根据贵方（项目名称）（项目编号）投标邀请，正式授权下述签字人</w:t>
      </w:r>
      <w:r>
        <w:rPr>
          <w:rFonts w:ascii="宋体" w:hAnsi="宋体"/>
          <w:color w:val="auto"/>
          <w:sz w:val="24"/>
          <w:highlight w:val="none"/>
          <w:lang w:val="zh-CN"/>
        </w:rPr>
        <w:t>(</w:t>
      </w:r>
      <w:r>
        <w:rPr>
          <w:rFonts w:hint="eastAsia" w:ascii="宋体" w:hAnsi="宋体"/>
          <w:color w:val="auto"/>
          <w:sz w:val="24"/>
          <w:highlight w:val="none"/>
          <w:lang w:val="zh-CN"/>
        </w:rPr>
        <w:t>姓名和职务</w:t>
      </w:r>
      <w:r>
        <w:rPr>
          <w:rFonts w:ascii="宋体" w:hAnsi="宋体"/>
          <w:color w:val="auto"/>
          <w:sz w:val="24"/>
          <w:highlight w:val="none"/>
          <w:lang w:val="zh-CN"/>
        </w:rPr>
        <w:t>)</w:t>
      </w:r>
      <w:r>
        <w:rPr>
          <w:rFonts w:hint="eastAsia" w:ascii="宋体" w:hAnsi="宋体"/>
          <w:color w:val="auto"/>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color w:val="auto"/>
          <w:sz w:val="24"/>
          <w:highlight w:val="none"/>
        </w:rPr>
      </w:pPr>
      <w:r>
        <w:rPr>
          <w:rFonts w:ascii="宋体" w:hAnsi="宋体"/>
          <w:color w:val="auto"/>
          <w:sz w:val="24"/>
          <w:highlight w:val="none"/>
          <w:lang w:val="zh-CN"/>
        </w:rPr>
        <w:t>1</w:t>
      </w:r>
      <w:r>
        <w:rPr>
          <w:rFonts w:hint="eastAsia" w:ascii="宋体" w:hAnsi="宋体"/>
          <w:color w:val="auto"/>
          <w:sz w:val="24"/>
          <w:highlight w:val="none"/>
          <w:lang w:val="zh-CN"/>
        </w:rPr>
        <w:t>、</w:t>
      </w:r>
      <w:r>
        <w:rPr>
          <w:rFonts w:hint="eastAsia" w:ascii="宋体" w:hAnsi="宋体"/>
          <w:b/>
          <w:color w:val="auto"/>
          <w:sz w:val="24"/>
          <w:highlight w:val="none"/>
          <w:lang w:val="zh-CN"/>
        </w:rPr>
        <w:t>我们的资格条件完全符合政府采购法和本次招标要求</w:t>
      </w:r>
      <w:r>
        <w:rPr>
          <w:rFonts w:hint="eastAsia" w:ascii="宋体" w:hAnsi="宋体"/>
          <w:color w:val="auto"/>
          <w:sz w:val="24"/>
          <w:highlight w:val="none"/>
          <w:lang w:val="zh-CN"/>
        </w:rPr>
        <w:t>，</w:t>
      </w:r>
      <w:r>
        <w:rPr>
          <w:rFonts w:hint="eastAsia" w:ascii="宋体" w:hAnsi="宋体"/>
          <w:color w:val="auto"/>
          <w:sz w:val="24"/>
          <w:highlight w:val="none"/>
        </w:rPr>
        <w:t>我们</w:t>
      </w:r>
      <w:r>
        <w:rPr>
          <w:rFonts w:hint="eastAsia" w:ascii="宋体" w:hAnsi="宋体"/>
          <w:color w:val="auto"/>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color w:val="auto"/>
          <w:sz w:val="24"/>
          <w:highlight w:val="none"/>
          <w:lang w:val="zh-CN"/>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zh-CN"/>
        </w:rPr>
        <w:t>按招标要求，我们的投标总报价为人民币大写</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小写：</w:t>
      </w:r>
      <w:r>
        <w:rPr>
          <w:rFonts w:hint="eastAsia" w:ascii="宋体" w:hAnsi="宋体"/>
          <w:color w:val="auto"/>
          <w:sz w:val="24"/>
          <w:highlight w:val="none"/>
          <w:u w:val="single"/>
          <w:lang w:val="zh-CN"/>
        </w:rPr>
        <w:t>￥         。</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3、项目负责人</w:t>
      </w:r>
      <w:r>
        <w:rPr>
          <w:rFonts w:ascii="宋体" w:hAnsi="宋体"/>
          <w:color w:val="auto"/>
          <w:sz w:val="24"/>
          <w:highlight w:val="none"/>
          <w:lang w:val="zh-CN"/>
        </w:rPr>
        <w:t>(</w:t>
      </w:r>
      <w:r>
        <w:rPr>
          <w:rFonts w:hint="eastAsia" w:ascii="宋体" w:hAnsi="宋体"/>
          <w:color w:val="auto"/>
          <w:sz w:val="24"/>
          <w:highlight w:val="none"/>
          <w:lang w:val="zh-CN"/>
        </w:rPr>
        <w:t>姓名</w:t>
      </w:r>
      <w:r>
        <w:rPr>
          <w:rFonts w:ascii="宋体" w:hAnsi="宋体"/>
          <w:color w:val="auto"/>
          <w:sz w:val="24"/>
          <w:highlight w:val="none"/>
          <w:lang w:val="zh-CN"/>
        </w:rPr>
        <w:t>)</w:t>
      </w:r>
      <w:r>
        <w:rPr>
          <w:rFonts w:hint="eastAsia" w:ascii="宋体" w:hAnsi="宋体"/>
          <w:color w:val="auto"/>
          <w:sz w:val="24"/>
          <w:highlight w:val="none"/>
          <w:lang w:val="zh-CN"/>
        </w:rPr>
        <w:t>，身份证号。</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4、我们已详细审核全部招标文件及其有效补充文件，我们放弃对招标文件任何误解的权利，提交投标文件后，</w:t>
      </w:r>
      <w:r>
        <w:rPr>
          <w:rFonts w:hint="eastAsia" w:ascii="宋体" w:hAnsi="宋体"/>
          <w:b/>
          <w:color w:val="auto"/>
          <w:sz w:val="24"/>
          <w:highlight w:val="none"/>
          <w:lang w:val="zh-CN"/>
        </w:rPr>
        <w:t>不对招标文件本身提出质疑</w:t>
      </w:r>
      <w:r>
        <w:rPr>
          <w:rFonts w:hint="eastAsia" w:ascii="宋体" w:hAnsi="宋体"/>
          <w:color w:val="auto"/>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6、一旦我方中标，我方将根据招标文件的规定严格履行合同，并保证于承诺的时间完成服务的启动</w:t>
      </w:r>
      <w:r>
        <w:rPr>
          <w:rFonts w:ascii="宋体" w:hAnsi="宋体"/>
          <w:color w:val="auto"/>
          <w:sz w:val="24"/>
          <w:highlight w:val="none"/>
          <w:lang w:val="zh-CN"/>
        </w:rPr>
        <w:t>/</w:t>
      </w:r>
      <w:r>
        <w:rPr>
          <w:rFonts w:hint="eastAsia" w:ascii="宋体" w:hAnsi="宋体"/>
          <w:color w:val="auto"/>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color w:val="auto"/>
          <w:sz w:val="24"/>
          <w:highlight w:val="none"/>
          <w:lang w:val="zh-CN"/>
        </w:rPr>
      </w:pPr>
      <w:r>
        <w:rPr>
          <w:rFonts w:ascii="宋体" w:hAnsi="宋体"/>
          <w:color w:val="auto"/>
          <w:sz w:val="24"/>
          <w:highlight w:val="none"/>
          <w:lang w:val="zh-CN"/>
        </w:rPr>
        <w:t>8</w:t>
      </w:r>
      <w:r>
        <w:rPr>
          <w:rFonts w:hint="eastAsia" w:ascii="宋体" w:hAnsi="宋体"/>
          <w:color w:val="auto"/>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地址：</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电话：</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传真：</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开户银行：</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银行账号：</w:t>
      </w:r>
    </w:p>
    <w:p>
      <w:pPr>
        <w:autoSpaceDE w:val="0"/>
        <w:autoSpaceDN w:val="0"/>
        <w:adjustRightInd w:val="0"/>
        <w:spacing w:line="30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lang w:val="zh-CN"/>
        </w:rPr>
        <w:t>投标人法定代表人姓名（签字）：</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投标人名称：（盖章）</w:t>
      </w:r>
    </w:p>
    <w:p>
      <w:pPr>
        <w:autoSpaceDE w:val="0"/>
        <w:autoSpaceDN w:val="0"/>
        <w:adjustRightInd w:val="0"/>
        <w:spacing w:line="30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日期：     年   月    日</w:t>
      </w:r>
    </w:p>
    <w:p>
      <w:pPr>
        <w:spacing w:line="360" w:lineRule="auto"/>
        <w:rPr>
          <w:rFonts w:asci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ascii="宋体" w:hAnsi="宋体"/>
          <w:b/>
          <w:color w:val="auto"/>
          <w:sz w:val="28"/>
          <w:szCs w:val="28"/>
          <w:highlight w:val="none"/>
        </w:rPr>
        <w:t>3</w:t>
      </w:r>
      <w:r>
        <w:rPr>
          <w:rFonts w:hint="eastAsia" w:ascii="宋体" w:hAnsi="宋体"/>
          <w:b/>
          <w:color w:val="auto"/>
          <w:sz w:val="28"/>
          <w:szCs w:val="28"/>
          <w:highlight w:val="none"/>
        </w:rPr>
        <w:t>：</w:t>
      </w:r>
    </w:p>
    <w:p>
      <w:pPr>
        <w:spacing w:line="360" w:lineRule="auto"/>
        <w:jc w:val="center"/>
        <w:rPr>
          <w:rFonts w:ascii="宋体"/>
          <w:color w:val="auto"/>
          <w:sz w:val="44"/>
          <w:szCs w:val="44"/>
          <w:highlight w:val="none"/>
        </w:rPr>
      </w:pPr>
      <w:r>
        <w:rPr>
          <w:rFonts w:hint="eastAsia" w:ascii="宋体" w:hAnsi="宋体"/>
          <w:color w:val="auto"/>
          <w:sz w:val="44"/>
          <w:szCs w:val="44"/>
          <w:highlight w:val="none"/>
        </w:rPr>
        <w:t>投标项目报价明细表</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投标人</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招标编号及分包号</w:t>
      </w:r>
    </w:p>
    <w:p>
      <w:pPr>
        <w:spacing w:line="360" w:lineRule="auto"/>
        <w:rPr>
          <w:rFonts w:ascii="宋体"/>
          <w:color w:val="auto"/>
          <w:sz w:val="28"/>
          <w:szCs w:val="28"/>
          <w:highlight w:val="none"/>
          <w:u w:val="single"/>
        </w:rPr>
      </w:pPr>
      <w:r>
        <w:rPr>
          <w:rFonts w:hint="eastAsia" w:ascii="宋体" w:hAnsi="宋体"/>
          <w:color w:val="auto"/>
          <w:sz w:val="28"/>
          <w:szCs w:val="28"/>
          <w:highlight w:val="none"/>
        </w:rPr>
        <w:t>投标报价</w:t>
      </w:r>
    </w:p>
    <w:tbl>
      <w:tblPr>
        <w:tblStyle w:val="17"/>
        <w:tblW w:w="9771" w:type="dxa"/>
        <w:jc w:val="center"/>
        <w:tblLayout w:type="autofit"/>
        <w:tblCellMar>
          <w:top w:w="0" w:type="dxa"/>
          <w:left w:w="108" w:type="dxa"/>
          <w:bottom w:w="0" w:type="dxa"/>
          <w:right w:w="108" w:type="dxa"/>
        </w:tblCellMar>
      </w:tblPr>
      <w:tblGrid>
        <w:gridCol w:w="660"/>
        <w:gridCol w:w="1315"/>
        <w:gridCol w:w="992"/>
        <w:gridCol w:w="567"/>
        <w:gridCol w:w="709"/>
        <w:gridCol w:w="1276"/>
        <w:gridCol w:w="3402"/>
        <w:gridCol w:w="850"/>
      </w:tblGrid>
      <w:tr>
        <w:tblPrEx>
          <w:tblCellMar>
            <w:top w:w="0" w:type="dxa"/>
            <w:left w:w="108" w:type="dxa"/>
            <w:bottom w:w="0" w:type="dxa"/>
            <w:right w:w="108" w:type="dxa"/>
          </w:tblCellMar>
        </w:tblPrEx>
        <w:trPr>
          <w:trHeight w:val="300" w:hRule="atLeast"/>
          <w:jc w:val="center"/>
        </w:trPr>
        <w:tc>
          <w:tcPr>
            <w:tcW w:w="9771" w:type="dxa"/>
            <w:gridSpan w:val="8"/>
            <w:tcBorders>
              <w:top w:val="single" w:color="595959" w:sz="8" w:space="0"/>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b/>
                <w:bCs/>
                <w:color w:val="auto"/>
                <w:kern w:val="0"/>
                <w:sz w:val="18"/>
                <w:szCs w:val="18"/>
                <w:highlight w:val="none"/>
              </w:rPr>
            </w:pPr>
            <w:r>
              <w:rPr>
                <w:rFonts w:hint="eastAsia" w:ascii="微软雅黑" w:hAnsi="微软雅黑" w:eastAsia="微软雅黑" w:cs="宋体"/>
                <w:b/>
                <w:bCs/>
                <w:color w:val="auto"/>
                <w:kern w:val="0"/>
                <w:sz w:val="18"/>
                <w:szCs w:val="18"/>
                <w:highlight w:val="none"/>
              </w:rPr>
              <w:t>报价单</w:t>
            </w:r>
          </w:p>
        </w:tc>
      </w:tr>
      <w:tr>
        <w:tblPrEx>
          <w:tblCellMar>
            <w:top w:w="0" w:type="dxa"/>
            <w:left w:w="108" w:type="dxa"/>
            <w:bottom w:w="0" w:type="dxa"/>
            <w:right w:w="108" w:type="dxa"/>
          </w:tblCellMar>
        </w:tblPrEx>
        <w:trPr>
          <w:trHeight w:val="300"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序号</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项目模型</w:t>
            </w:r>
          </w:p>
        </w:tc>
        <w:tc>
          <w:tcPr>
            <w:tcW w:w="992"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展现形式</w:t>
            </w:r>
          </w:p>
        </w:tc>
        <w:tc>
          <w:tcPr>
            <w:tcW w:w="567"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数量</w:t>
            </w:r>
          </w:p>
        </w:tc>
        <w:tc>
          <w:tcPr>
            <w:tcW w:w="709"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材质</w:t>
            </w:r>
          </w:p>
        </w:tc>
        <w:tc>
          <w:tcPr>
            <w:tcW w:w="1276"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模型尺寸</w:t>
            </w:r>
          </w:p>
        </w:tc>
        <w:tc>
          <w:tcPr>
            <w:tcW w:w="3402"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工艺说明</w:t>
            </w:r>
          </w:p>
        </w:tc>
        <w:tc>
          <w:tcPr>
            <w:tcW w:w="85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价格</w:t>
            </w:r>
          </w:p>
        </w:tc>
      </w:tr>
      <w:tr>
        <w:tblPrEx>
          <w:tblCellMar>
            <w:top w:w="0" w:type="dxa"/>
            <w:left w:w="108" w:type="dxa"/>
            <w:bottom w:w="0" w:type="dxa"/>
            <w:right w:w="108" w:type="dxa"/>
          </w:tblCellMar>
        </w:tblPrEx>
        <w:trPr>
          <w:trHeight w:val="1365"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w:t>
            </w:r>
          </w:p>
        </w:tc>
        <w:tc>
          <w:tcPr>
            <w:tcW w:w="1315" w:type="dxa"/>
            <w:tcBorders>
              <w:top w:val="nil"/>
              <w:left w:val="nil"/>
              <w:bottom w:val="nil"/>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南京信息工程大学本部</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rPr>
              <w:t>（含底座）</w:t>
            </w:r>
          </w:p>
        </w:tc>
        <w:tc>
          <w:tcPr>
            <w:tcW w:w="992" w:type="dxa"/>
            <w:tcBorders>
              <w:top w:val="nil"/>
              <w:left w:val="nil"/>
              <w:bottom w:val="nil"/>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平放立体</w:t>
            </w:r>
          </w:p>
        </w:tc>
        <w:tc>
          <w:tcPr>
            <w:tcW w:w="567"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1套</w:t>
            </w:r>
          </w:p>
        </w:tc>
        <w:tc>
          <w:tcPr>
            <w:tcW w:w="709"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w:t>
            </w:r>
          </w:p>
        </w:tc>
        <w:tc>
          <w:tcPr>
            <w:tcW w:w="1276"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≥5.2m*2.4m</w:t>
            </w:r>
          </w:p>
        </w:tc>
        <w:tc>
          <w:tcPr>
            <w:tcW w:w="3402"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写实复原表现南京信息工程大学本部风貌，最大程度还原建筑外立面、景观亮、建筑造型等细节。利用先进3D建模打印、CNC镭射切割、UV激光打印等多工艺相结合。</w:t>
            </w:r>
          </w:p>
        </w:tc>
        <w:tc>
          <w:tcPr>
            <w:tcW w:w="850" w:type="dxa"/>
            <w:tcBorders>
              <w:top w:val="nil"/>
              <w:left w:val="nil"/>
              <w:bottom w:val="nil"/>
              <w:right w:val="single" w:color="595959" w:sz="8" w:space="0"/>
            </w:tcBorders>
            <w:shd w:val="clear" w:color="auto" w:fill="auto"/>
            <w:noWrap/>
            <w:vAlign w:val="center"/>
          </w:tcPr>
          <w:p>
            <w:pPr>
              <w:widowControl/>
              <w:jc w:val="center"/>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w:t>
            </w:r>
          </w:p>
        </w:tc>
      </w:tr>
      <w:tr>
        <w:tblPrEx>
          <w:tblCellMar>
            <w:top w:w="0" w:type="dxa"/>
            <w:left w:w="108" w:type="dxa"/>
            <w:bottom w:w="0" w:type="dxa"/>
            <w:right w:w="108" w:type="dxa"/>
          </w:tblCellMar>
        </w:tblPrEx>
        <w:trPr>
          <w:trHeight w:val="1320"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w:t>
            </w:r>
          </w:p>
        </w:tc>
        <w:tc>
          <w:tcPr>
            <w:tcW w:w="1315"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金牛湖园区</w:t>
            </w:r>
            <w:r>
              <w:rPr>
                <w:rFonts w:hint="eastAsia" w:ascii="微软雅黑" w:hAnsi="微软雅黑" w:eastAsia="微软雅黑" w:cs="宋体"/>
                <w:color w:val="auto"/>
                <w:kern w:val="0"/>
                <w:sz w:val="18"/>
                <w:szCs w:val="18"/>
                <w:highlight w:val="none"/>
              </w:rPr>
              <w:br w:type="textWrapping"/>
            </w:r>
            <w:r>
              <w:rPr>
                <w:rFonts w:hint="eastAsia" w:ascii="微软雅黑" w:hAnsi="微软雅黑" w:eastAsia="微软雅黑" w:cs="宋体"/>
                <w:color w:val="auto"/>
                <w:kern w:val="0"/>
                <w:sz w:val="18"/>
                <w:szCs w:val="18"/>
                <w:highlight w:val="none"/>
              </w:rPr>
              <w:t>（含底座）</w:t>
            </w:r>
          </w:p>
        </w:tc>
        <w:tc>
          <w:tcPr>
            <w:tcW w:w="992"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平放立体</w:t>
            </w:r>
          </w:p>
        </w:tc>
        <w:tc>
          <w:tcPr>
            <w:tcW w:w="567"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1套</w:t>
            </w:r>
          </w:p>
        </w:tc>
        <w:tc>
          <w:tcPr>
            <w:tcW w:w="709"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w:t>
            </w:r>
          </w:p>
        </w:tc>
        <w:tc>
          <w:tcPr>
            <w:tcW w:w="1276"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≥4.3m*2.4m</w:t>
            </w:r>
          </w:p>
        </w:tc>
        <w:tc>
          <w:tcPr>
            <w:tcW w:w="3402"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写实复原表现</w:t>
            </w:r>
            <w:r>
              <w:rPr>
                <w:rFonts w:hint="eastAsia" w:ascii="微软雅黑" w:hAnsi="微软雅黑" w:eastAsia="微软雅黑" w:cs="宋体"/>
                <w:color w:val="auto"/>
                <w:kern w:val="0"/>
                <w:sz w:val="18"/>
                <w:szCs w:val="18"/>
                <w:highlight w:val="none"/>
                <w:lang w:val="en-US" w:eastAsia="zh-CN"/>
              </w:rPr>
              <w:t>金牛湖园区</w:t>
            </w:r>
            <w:r>
              <w:rPr>
                <w:rFonts w:hint="eastAsia" w:ascii="微软雅黑" w:hAnsi="微软雅黑" w:eastAsia="微软雅黑" w:cs="宋体"/>
                <w:color w:val="auto"/>
                <w:kern w:val="0"/>
                <w:sz w:val="18"/>
                <w:szCs w:val="18"/>
                <w:highlight w:val="none"/>
              </w:rPr>
              <w:t>风貌，最大程度还原建筑外立面、景观亮、建筑造型等细节。利用先进3D建模打印、CNC镭射切割、UV激光打印等多工艺相结合。</w:t>
            </w:r>
          </w:p>
        </w:tc>
        <w:tc>
          <w:tcPr>
            <w:tcW w:w="85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w:t>
            </w:r>
          </w:p>
        </w:tc>
      </w:tr>
      <w:tr>
        <w:tblPrEx>
          <w:tblCellMar>
            <w:top w:w="0" w:type="dxa"/>
            <w:left w:w="108" w:type="dxa"/>
            <w:bottom w:w="0" w:type="dxa"/>
            <w:right w:w="108" w:type="dxa"/>
          </w:tblCellMar>
        </w:tblPrEx>
        <w:trPr>
          <w:trHeight w:val="1320"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lang w:val="en-US" w:eastAsia="zh-CN" w:bidi="ar-SA"/>
              </w:rPr>
            </w:pPr>
            <w:r>
              <w:rPr>
                <w:rFonts w:hint="eastAsia" w:ascii="微软雅黑" w:hAnsi="微软雅黑" w:eastAsia="微软雅黑" w:cs="宋体"/>
                <w:color w:val="auto"/>
                <w:kern w:val="0"/>
                <w:sz w:val="18"/>
                <w:szCs w:val="18"/>
                <w:highlight w:val="none"/>
              </w:rPr>
              <w:t>3</w:t>
            </w:r>
          </w:p>
        </w:tc>
        <w:tc>
          <w:tcPr>
            <w:tcW w:w="1315"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hint="eastAsia" w:ascii="微软雅黑" w:hAnsi="微软雅黑" w:eastAsia="微软雅黑" w:cs="宋体"/>
                <w:color w:val="auto"/>
                <w:kern w:val="0"/>
                <w:sz w:val="18"/>
                <w:szCs w:val="18"/>
                <w:highlight w:val="none"/>
                <w:lang w:val="en-US" w:eastAsia="zh-CN" w:bidi="ar-SA"/>
              </w:rPr>
            </w:pPr>
            <w:r>
              <w:rPr>
                <w:rFonts w:hint="eastAsia" w:ascii="微软雅黑" w:hAnsi="微软雅黑" w:eastAsia="微软雅黑" w:cs="宋体"/>
                <w:color w:val="auto"/>
                <w:kern w:val="0"/>
                <w:sz w:val="18"/>
                <w:szCs w:val="18"/>
                <w:highlight w:val="none"/>
              </w:rPr>
              <w:t>玻璃贴膜</w:t>
            </w:r>
          </w:p>
        </w:tc>
        <w:tc>
          <w:tcPr>
            <w:tcW w:w="992" w:type="dxa"/>
            <w:tcBorders>
              <w:top w:val="single" w:color="595959" w:sz="8" w:space="0"/>
              <w:left w:val="nil"/>
              <w:bottom w:val="single" w:color="595959" w:sz="8" w:space="0"/>
              <w:right w:val="single" w:color="595959" w:sz="8" w:space="0"/>
            </w:tcBorders>
            <w:shd w:val="clear" w:color="auto" w:fill="auto"/>
            <w:vAlign w:val="center"/>
          </w:tcPr>
          <w:p>
            <w:pPr>
              <w:widowControl/>
              <w:jc w:val="center"/>
              <w:rPr>
                <w:rFonts w:hint="eastAsia" w:ascii="微软雅黑" w:hAnsi="微软雅黑" w:eastAsia="微软雅黑" w:cs="宋体"/>
                <w:color w:val="auto"/>
                <w:kern w:val="0"/>
                <w:sz w:val="18"/>
                <w:szCs w:val="18"/>
                <w:highlight w:val="none"/>
                <w:lang w:val="en-US" w:eastAsia="zh-CN" w:bidi="ar-SA"/>
              </w:rPr>
            </w:pPr>
          </w:p>
        </w:tc>
        <w:tc>
          <w:tcPr>
            <w:tcW w:w="567"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lang w:val="en-US" w:eastAsia="zh-CN" w:bidi="ar-SA"/>
              </w:rPr>
            </w:pPr>
            <w:r>
              <w:rPr>
                <w:rFonts w:hint="eastAsia" w:ascii="微软雅黑" w:hAnsi="微软雅黑" w:eastAsia="微软雅黑" w:cs="宋体"/>
                <w:color w:val="auto"/>
                <w:kern w:val="0"/>
                <w:sz w:val="18"/>
                <w:szCs w:val="18"/>
                <w:highlight w:val="none"/>
              </w:rPr>
              <w:t>1项</w:t>
            </w:r>
          </w:p>
        </w:tc>
        <w:tc>
          <w:tcPr>
            <w:tcW w:w="709"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lang w:val="en-US" w:eastAsia="zh-CN" w:bidi="ar-SA"/>
              </w:rPr>
            </w:pPr>
          </w:p>
        </w:tc>
        <w:tc>
          <w:tcPr>
            <w:tcW w:w="1276"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lang w:val="en-US" w:eastAsia="zh-CN" w:bidi="ar-SA"/>
              </w:rPr>
            </w:pPr>
            <w:r>
              <w:rPr>
                <w:rFonts w:hint="eastAsia" w:ascii="微软雅黑" w:hAnsi="微软雅黑" w:eastAsia="微软雅黑" w:cs="宋体"/>
                <w:color w:val="auto"/>
                <w:kern w:val="0"/>
                <w:sz w:val="18"/>
                <w:szCs w:val="18"/>
                <w:highlight w:val="none"/>
              </w:rPr>
              <w:t>高度约4m</w:t>
            </w:r>
          </w:p>
        </w:tc>
        <w:tc>
          <w:tcPr>
            <w:tcW w:w="3402" w:type="dxa"/>
            <w:tcBorders>
              <w:top w:val="nil"/>
              <w:left w:val="nil"/>
              <w:bottom w:val="single" w:color="595959" w:sz="8" w:space="0"/>
              <w:right w:val="single" w:color="595959" w:sz="8" w:space="0"/>
            </w:tcBorders>
            <w:shd w:val="clear" w:color="auto" w:fill="auto"/>
            <w:vAlign w:val="center"/>
          </w:tcPr>
          <w:p>
            <w:pPr>
              <w:widowControl/>
              <w:jc w:val="left"/>
              <w:rPr>
                <w:rFonts w:hint="eastAsia" w:ascii="微软雅黑" w:hAnsi="微软雅黑" w:eastAsia="微软雅黑" w:cs="宋体"/>
                <w:color w:val="auto"/>
                <w:kern w:val="0"/>
                <w:sz w:val="18"/>
                <w:szCs w:val="18"/>
                <w:highlight w:val="none"/>
                <w:lang w:val="en-US" w:eastAsia="zh-CN" w:bidi="ar-SA"/>
              </w:rPr>
            </w:pPr>
            <w:r>
              <w:rPr>
                <w:rFonts w:hint="eastAsia" w:ascii="微软雅黑" w:hAnsi="微软雅黑" w:eastAsia="微软雅黑" w:cs="宋体"/>
                <w:color w:val="auto"/>
                <w:kern w:val="0"/>
                <w:sz w:val="18"/>
                <w:szCs w:val="18"/>
                <w:highlight w:val="none"/>
              </w:rPr>
              <w:t>半透光膜，阻挡刺眼眩光，隔离太阳热量和紫外线</w:t>
            </w:r>
          </w:p>
        </w:tc>
        <w:tc>
          <w:tcPr>
            <w:tcW w:w="850" w:type="dxa"/>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Cs w:val="21"/>
                <w:highlight w:val="none"/>
              </w:rPr>
            </w:pPr>
          </w:p>
        </w:tc>
      </w:tr>
      <w:tr>
        <w:tblPrEx>
          <w:tblCellMar>
            <w:top w:w="0" w:type="dxa"/>
            <w:left w:w="108" w:type="dxa"/>
            <w:bottom w:w="0" w:type="dxa"/>
            <w:right w:w="108" w:type="dxa"/>
          </w:tblCellMar>
        </w:tblPrEx>
        <w:trPr>
          <w:trHeight w:val="735"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lang w:eastAsia="zh-CN"/>
              </w:rPr>
            </w:pPr>
            <w:r>
              <w:rPr>
                <w:rFonts w:hint="eastAsia" w:ascii="微软雅黑" w:hAnsi="微软雅黑" w:eastAsia="微软雅黑" w:cs="宋体"/>
                <w:color w:val="auto"/>
                <w:kern w:val="0"/>
                <w:sz w:val="18"/>
                <w:szCs w:val="18"/>
                <w:highlight w:val="none"/>
                <w:lang w:val="en-US" w:eastAsia="zh-CN"/>
              </w:rPr>
              <w:t>4</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控制、演示系统</w:t>
            </w:r>
          </w:p>
        </w:tc>
        <w:tc>
          <w:tcPr>
            <w:tcW w:w="992"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567"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709"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276"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3402"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采用分区控制，分为触摸屏控制和手动控制2套系统　</w:t>
            </w:r>
          </w:p>
        </w:tc>
        <w:tc>
          <w:tcPr>
            <w:tcW w:w="85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w:t>
            </w:r>
          </w:p>
        </w:tc>
      </w:tr>
      <w:tr>
        <w:tblPrEx>
          <w:tblCellMar>
            <w:top w:w="0" w:type="dxa"/>
            <w:left w:w="108" w:type="dxa"/>
            <w:bottom w:w="0" w:type="dxa"/>
            <w:right w:w="108" w:type="dxa"/>
          </w:tblCellMar>
        </w:tblPrEx>
        <w:trPr>
          <w:trHeight w:val="735"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hint="default"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5</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运输、安装、调试</w:t>
            </w:r>
          </w:p>
        </w:tc>
        <w:tc>
          <w:tcPr>
            <w:tcW w:w="992"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567"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709"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276"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3402"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运送到甲方指定地点安装调试完成　</w:t>
            </w:r>
          </w:p>
        </w:tc>
        <w:tc>
          <w:tcPr>
            <w:tcW w:w="85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w:t>
            </w:r>
          </w:p>
        </w:tc>
      </w:tr>
      <w:tr>
        <w:tblPrEx>
          <w:tblCellMar>
            <w:top w:w="0" w:type="dxa"/>
            <w:left w:w="108" w:type="dxa"/>
            <w:bottom w:w="0" w:type="dxa"/>
            <w:right w:w="108" w:type="dxa"/>
          </w:tblCellMar>
        </w:tblPrEx>
        <w:trPr>
          <w:trHeight w:val="735"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lang w:eastAsia="zh-CN"/>
              </w:rPr>
            </w:pPr>
            <w:r>
              <w:rPr>
                <w:rFonts w:hint="eastAsia" w:ascii="微软雅黑" w:hAnsi="微软雅黑" w:eastAsia="微软雅黑" w:cs="宋体"/>
                <w:color w:val="auto"/>
                <w:kern w:val="0"/>
                <w:sz w:val="18"/>
                <w:szCs w:val="18"/>
                <w:highlight w:val="none"/>
                <w:lang w:val="en-US" w:eastAsia="zh-CN"/>
              </w:rPr>
              <w:t>6</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辅料</w:t>
            </w:r>
          </w:p>
        </w:tc>
        <w:tc>
          <w:tcPr>
            <w:tcW w:w="992" w:type="dxa"/>
            <w:tcBorders>
              <w:top w:val="nil"/>
              <w:left w:val="nil"/>
              <w:bottom w:val="single" w:color="595959" w:sz="8" w:space="0"/>
              <w:right w:val="single" w:color="595959" w:sz="8" w:space="0"/>
            </w:tcBorders>
            <w:shd w:val="clear" w:color="auto" w:fill="auto"/>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567"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1项</w:t>
            </w:r>
          </w:p>
        </w:tc>
        <w:tc>
          <w:tcPr>
            <w:tcW w:w="709"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276"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3402" w:type="dxa"/>
            <w:tcBorders>
              <w:top w:val="nil"/>
              <w:left w:val="nil"/>
              <w:bottom w:val="single" w:color="595959" w:sz="8" w:space="0"/>
              <w:right w:val="single" w:color="595959" w:sz="8" w:space="0"/>
            </w:tcBorders>
            <w:shd w:val="clear" w:color="auto" w:fill="auto"/>
            <w:vAlign w:val="center"/>
          </w:tcPr>
          <w:p>
            <w:pPr>
              <w:widowControl/>
              <w:jc w:val="left"/>
              <w:rPr>
                <w:rFonts w:ascii="微软雅黑" w:hAnsi="微软雅黑" w:eastAsia="微软雅黑" w:cs="宋体"/>
                <w:color w:val="auto"/>
                <w:kern w:val="0"/>
                <w:sz w:val="18"/>
                <w:szCs w:val="18"/>
                <w:highlight w:val="none"/>
              </w:rPr>
            </w:pPr>
          </w:p>
        </w:tc>
        <w:tc>
          <w:tcPr>
            <w:tcW w:w="850"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w:t>
            </w:r>
          </w:p>
        </w:tc>
      </w:tr>
      <w:tr>
        <w:tblPrEx>
          <w:tblCellMar>
            <w:top w:w="0" w:type="dxa"/>
            <w:left w:w="108" w:type="dxa"/>
            <w:bottom w:w="0" w:type="dxa"/>
            <w:right w:w="108" w:type="dxa"/>
          </w:tblCellMar>
        </w:tblPrEx>
        <w:trPr>
          <w:trHeight w:val="300"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合计</w:t>
            </w:r>
          </w:p>
        </w:tc>
        <w:tc>
          <w:tcPr>
            <w:tcW w:w="7796" w:type="dxa"/>
            <w:gridSpan w:val="6"/>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r>
      <w:tr>
        <w:tblPrEx>
          <w:tblCellMar>
            <w:top w:w="0" w:type="dxa"/>
            <w:left w:w="108" w:type="dxa"/>
            <w:bottom w:w="0" w:type="dxa"/>
            <w:right w:w="108" w:type="dxa"/>
          </w:tblCellMar>
        </w:tblPrEx>
        <w:trPr>
          <w:trHeight w:val="300"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税金</w:t>
            </w:r>
          </w:p>
        </w:tc>
        <w:tc>
          <w:tcPr>
            <w:tcW w:w="7796" w:type="dxa"/>
            <w:gridSpan w:val="6"/>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r>
      <w:tr>
        <w:tblPrEx>
          <w:tblCellMar>
            <w:top w:w="0" w:type="dxa"/>
            <w:left w:w="108" w:type="dxa"/>
            <w:bottom w:w="0" w:type="dxa"/>
            <w:right w:w="108" w:type="dxa"/>
          </w:tblCellMar>
        </w:tblPrEx>
        <w:trPr>
          <w:trHeight w:val="300" w:hRule="atLeast"/>
          <w:jc w:val="center"/>
        </w:trPr>
        <w:tc>
          <w:tcPr>
            <w:tcW w:w="660" w:type="dxa"/>
            <w:tcBorders>
              <w:top w:val="nil"/>
              <w:left w:val="single" w:color="595959" w:sz="8" w:space="0"/>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c>
          <w:tcPr>
            <w:tcW w:w="1315" w:type="dxa"/>
            <w:tcBorders>
              <w:top w:val="nil"/>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总计</w:t>
            </w:r>
          </w:p>
        </w:tc>
        <w:tc>
          <w:tcPr>
            <w:tcW w:w="7796" w:type="dxa"/>
            <w:gridSpan w:val="6"/>
            <w:tcBorders>
              <w:top w:val="single" w:color="595959" w:sz="8" w:space="0"/>
              <w:left w:val="nil"/>
              <w:bottom w:val="single" w:color="595959" w:sz="8" w:space="0"/>
              <w:right w:val="single" w:color="595959" w:sz="8"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tc>
      </w:tr>
    </w:tbl>
    <w:p>
      <w:pPr>
        <w:spacing w:line="360" w:lineRule="auto"/>
        <w:rPr>
          <w:rFonts w:ascii="宋体"/>
          <w:color w:val="auto"/>
          <w:sz w:val="28"/>
          <w:szCs w:val="28"/>
          <w:highlight w:val="none"/>
        </w:rPr>
      </w:pPr>
    </w:p>
    <w:p>
      <w:pPr>
        <w:spacing w:line="360" w:lineRule="auto"/>
        <w:rPr>
          <w:rFonts w:ascii="宋体"/>
          <w:color w:val="auto"/>
          <w:sz w:val="28"/>
          <w:szCs w:val="28"/>
          <w:highlight w:val="none"/>
          <w:u w:val="single"/>
        </w:rPr>
      </w:pPr>
      <w:r>
        <w:rPr>
          <w:rFonts w:hint="eastAsia" w:ascii="宋体" w:hAnsi="宋体"/>
          <w:color w:val="auto"/>
          <w:sz w:val="28"/>
          <w:szCs w:val="28"/>
          <w:highlight w:val="none"/>
        </w:rPr>
        <w:t>单位盖章：</w:t>
      </w:r>
    </w:p>
    <w:p>
      <w:pPr>
        <w:spacing w:line="360" w:lineRule="auto"/>
        <w:rPr>
          <w:rFonts w:ascii="宋体"/>
          <w:color w:val="auto"/>
          <w:sz w:val="28"/>
          <w:szCs w:val="28"/>
          <w:highlight w:val="none"/>
        </w:rPr>
      </w:pPr>
      <w:r>
        <w:rPr>
          <w:rFonts w:hint="eastAsia" w:ascii="宋体" w:hAnsi="宋体"/>
          <w:color w:val="auto"/>
          <w:sz w:val="28"/>
          <w:szCs w:val="28"/>
          <w:highlight w:val="none"/>
        </w:rPr>
        <w:t>授权代表签字：</w:t>
      </w:r>
    </w:p>
    <w:p>
      <w:pPr>
        <w:spacing w:line="360" w:lineRule="auto"/>
        <w:ind w:firstLine="560" w:firstLineChars="200"/>
        <w:rPr>
          <w:rFonts w:ascii="宋体"/>
          <w:color w:val="auto"/>
          <w:sz w:val="28"/>
          <w:szCs w:val="28"/>
          <w:highlight w:val="none"/>
        </w:rPr>
      </w:pP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月 </w:t>
      </w:r>
      <w:r>
        <w:rPr>
          <w:rFonts w:ascii="宋体" w:hAnsi="宋体"/>
          <w:color w:val="auto"/>
          <w:sz w:val="28"/>
          <w:szCs w:val="28"/>
          <w:highlight w:val="none"/>
        </w:rPr>
        <w:t xml:space="preserve">   </w:t>
      </w:r>
      <w:r>
        <w:rPr>
          <w:rFonts w:hint="eastAsia" w:ascii="宋体" w:hAnsi="宋体"/>
          <w:color w:val="auto"/>
          <w:sz w:val="28"/>
          <w:szCs w:val="28"/>
          <w:highlight w:val="none"/>
        </w:rPr>
        <w:t>日</w:t>
      </w:r>
    </w:p>
    <w:bookmarkEnd w:id="7"/>
    <w:bookmarkEnd w:id="10"/>
    <w:p>
      <w:pPr>
        <w:adjustRightInd w:val="0"/>
        <w:snapToGrid w:val="0"/>
        <w:spacing w:line="360" w:lineRule="auto"/>
        <w:rPr>
          <w:rFonts w:ascii="宋体" w:hAnsi="宋体" w:cs="仿宋"/>
          <w:b/>
          <w:bCs/>
          <w:color w:val="auto"/>
          <w:sz w:val="28"/>
          <w:szCs w:val="28"/>
          <w:highlight w:val="none"/>
        </w:rPr>
      </w:pPr>
      <w:r>
        <w:rPr>
          <w:rFonts w:hint="eastAsia" w:ascii="宋体" w:hAnsi="宋体" w:cs="仿宋"/>
          <w:b/>
          <w:bCs/>
          <w:color w:val="auto"/>
          <w:sz w:val="28"/>
          <w:szCs w:val="28"/>
          <w:highlight w:val="none"/>
        </w:rPr>
        <w:t>附件</w:t>
      </w:r>
      <w:r>
        <w:rPr>
          <w:rFonts w:ascii="宋体" w:hAnsi="宋体" w:cs="仿宋"/>
          <w:b/>
          <w:bCs/>
          <w:color w:val="auto"/>
          <w:sz w:val="28"/>
          <w:szCs w:val="28"/>
          <w:highlight w:val="none"/>
        </w:rPr>
        <w:t>4</w:t>
      </w:r>
      <w:r>
        <w:rPr>
          <w:rFonts w:hint="eastAsia" w:ascii="宋体" w:hAnsi="宋体" w:cs="仿宋"/>
          <w:b/>
          <w:bCs/>
          <w:color w:val="auto"/>
          <w:sz w:val="28"/>
          <w:szCs w:val="28"/>
          <w:highlight w:val="none"/>
        </w:rPr>
        <w:t>：评标办法</w:t>
      </w:r>
    </w:p>
    <w:p>
      <w:pPr>
        <w:spacing w:line="440" w:lineRule="exact"/>
        <w:rPr>
          <w:color w:val="auto"/>
          <w:szCs w:val="21"/>
          <w:highlight w:val="none"/>
        </w:rPr>
      </w:pPr>
      <w:r>
        <w:rPr>
          <w:color w:val="auto"/>
          <w:kern w:val="0"/>
          <w:szCs w:val="21"/>
          <w:highlight w:val="none"/>
        </w:rPr>
        <w:t>本项目采用综合评分法确定中标候选人。评标委员会将按以下评标办法和标准进行评分。总分值为100分，</w:t>
      </w:r>
      <w:r>
        <w:rPr>
          <w:color w:val="auto"/>
          <w:szCs w:val="21"/>
          <w:highlight w:val="none"/>
        </w:rPr>
        <w:t>小数点后保留两位。</w:t>
      </w:r>
    </w:p>
    <w:tbl>
      <w:tblPr>
        <w:tblStyle w:val="17"/>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tcPr>
          <w:p>
            <w:pPr>
              <w:kinsoku w:val="0"/>
              <w:overflowPunct w:val="0"/>
              <w:spacing w:before="88" w:after="120"/>
              <w:rPr>
                <w:rFonts w:ascii="宋体" w:hAnsi="宋体" w:cs="宋体"/>
                <w:color w:val="auto"/>
                <w:szCs w:val="21"/>
                <w:highlight w:val="none"/>
              </w:rPr>
            </w:pPr>
            <w:r>
              <w:rPr>
                <w:rFonts w:hint="eastAsia" w:ascii="宋体" w:hAnsi="宋体" w:cs="宋体"/>
                <w:color w:val="auto"/>
                <w:szCs w:val="21"/>
                <w:highlight w:val="none"/>
              </w:rPr>
              <w:t>序号</w:t>
            </w:r>
          </w:p>
        </w:tc>
        <w:tc>
          <w:tcPr>
            <w:tcW w:w="1276" w:type="dxa"/>
          </w:tcPr>
          <w:p>
            <w:pPr>
              <w:kinsoku w:val="0"/>
              <w:overflowPunct w:val="0"/>
              <w:spacing w:before="88" w:after="120"/>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5103" w:type="dxa"/>
          </w:tcPr>
          <w:p>
            <w:pPr>
              <w:kinsoku w:val="0"/>
              <w:overflowPunct w:val="0"/>
              <w:spacing w:before="88" w:after="120"/>
              <w:ind w:right="34" w:rightChars="16"/>
              <w:jc w:val="center"/>
              <w:rPr>
                <w:rFonts w:ascii="宋体" w:hAnsi="宋体" w:cs="宋体"/>
                <w:color w:val="auto"/>
                <w:szCs w:val="21"/>
                <w:highlight w:val="none"/>
              </w:rPr>
            </w:pPr>
            <w:r>
              <w:rPr>
                <w:rFonts w:hint="eastAsia" w:ascii="宋体" w:hAnsi="宋体" w:cs="宋体"/>
                <w:color w:val="auto"/>
                <w:szCs w:val="21"/>
                <w:highlight w:val="none"/>
              </w:rPr>
              <w:t>评分细节</w:t>
            </w:r>
          </w:p>
        </w:tc>
        <w:tc>
          <w:tcPr>
            <w:tcW w:w="1048" w:type="dxa"/>
          </w:tcPr>
          <w:p>
            <w:pPr>
              <w:kinsoku w:val="0"/>
              <w:overflowPunct w:val="0"/>
              <w:spacing w:before="88" w:after="120"/>
              <w:ind w:left="172"/>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tcPr>
          <w:p>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76" w:type="dxa"/>
            <w:vAlign w:val="center"/>
          </w:tcPr>
          <w:p>
            <w:pPr>
              <w:kinsoku w:val="0"/>
              <w:overflowPunct w:val="0"/>
              <w:spacing w:after="120" w:line="360" w:lineRule="exact"/>
              <w:ind w:right="155"/>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5103" w:type="dxa"/>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价格分采用低价优先法计算，即满足招标文件要求且投标价格最低的投标报价为评标基准价，其价格分为满分</w:t>
            </w: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rPr>
              <w:t>分。其他投标人的价格分按照下列公式计算：</w:t>
            </w:r>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w:t>
            </w: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rPr>
              <w:t>（精确到小数点后两位）</w:t>
            </w:r>
          </w:p>
        </w:tc>
        <w:tc>
          <w:tcPr>
            <w:tcW w:w="1048" w:type="dxa"/>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1704" w:type="dxa"/>
          </w:tcPr>
          <w:p>
            <w:pPr>
              <w:spacing w:line="360" w:lineRule="exact"/>
              <w:rPr>
                <w:rFonts w:ascii="宋体" w:hAnsi="宋体" w:cs="宋体"/>
                <w:color w:val="auto"/>
                <w:kern w:val="0"/>
                <w:szCs w:val="21"/>
                <w:highlight w:val="none"/>
              </w:rPr>
            </w:pPr>
          </w:p>
          <w:p>
            <w:pPr>
              <w:spacing w:line="360" w:lineRule="exact"/>
              <w:jc w:val="center"/>
              <w:rPr>
                <w:rFonts w:hint="eastAsia" w:ascii="宋体" w:hAnsi="宋体" w:cs="宋体"/>
                <w:color w:val="auto"/>
                <w:kern w:val="0"/>
                <w:szCs w:val="21"/>
                <w:highlight w:val="none"/>
              </w:rPr>
            </w:pPr>
          </w:p>
          <w:p>
            <w:pPr>
              <w:spacing w:line="360" w:lineRule="exact"/>
              <w:jc w:val="center"/>
              <w:rPr>
                <w:rFonts w:hint="eastAsia" w:ascii="宋体" w:hAnsi="宋体" w:cs="宋体"/>
                <w:color w:val="auto"/>
                <w:kern w:val="0"/>
                <w:szCs w:val="21"/>
                <w:highlight w:val="none"/>
              </w:rPr>
            </w:pPr>
          </w:p>
          <w:p>
            <w:pPr>
              <w:spacing w:line="360" w:lineRule="exact"/>
              <w:jc w:val="center"/>
              <w:rPr>
                <w:rFonts w:hint="eastAsia" w:ascii="宋体" w:hAnsi="宋体" w:cs="宋体"/>
                <w:color w:val="auto"/>
                <w:kern w:val="0"/>
                <w:szCs w:val="21"/>
                <w:highlight w:val="none"/>
              </w:rPr>
            </w:pPr>
          </w:p>
          <w:p>
            <w:pPr>
              <w:spacing w:line="360" w:lineRule="exact"/>
              <w:jc w:val="center"/>
              <w:rPr>
                <w:rFonts w:hint="eastAsia" w:ascii="宋体" w:hAnsi="宋体" w:cs="宋体"/>
                <w:color w:val="auto"/>
                <w:kern w:val="0"/>
                <w:szCs w:val="21"/>
                <w:highlight w:val="none"/>
              </w:rPr>
            </w:pPr>
          </w:p>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276" w:type="dxa"/>
          </w:tcPr>
          <w:p>
            <w:pPr>
              <w:spacing w:line="360" w:lineRule="exact"/>
              <w:rPr>
                <w:rFonts w:ascii="宋体" w:hAnsi="宋体" w:cs="宋体"/>
                <w:color w:val="auto"/>
                <w:kern w:val="0"/>
                <w:szCs w:val="21"/>
                <w:highlight w:val="none"/>
              </w:rPr>
            </w:pPr>
          </w:p>
          <w:p>
            <w:pPr>
              <w:spacing w:line="360" w:lineRule="exact"/>
              <w:jc w:val="center"/>
              <w:rPr>
                <w:rFonts w:hint="eastAsia" w:ascii="宋体" w:hAnsi="宋体" w:cs="宋体"/>
                <w:color w:val="auto"/>
                <w:kern w:val="0"/>
                <w:szCs w:val="21"/>
                <w:highlight w:val="none"/>
                <w:lang w:val="en-US" w:eastAsia="zh-CN"/>
              </w:rPr>
            </w:pPr>
          </w:p>
          <w:p>
            <w:pPr>
              <w:spacing w:line="360" w:lineRule="exact"/>
              <w:jc w:val="center"/>
              <w:rPr>
                <w:rFonts w:hint="eastAsia" w:ascii="宋体" w:hAnsi="宋体" w:cs="宋体"/>
                <w:color w:val="auto"/>
                <w:kern w:val="0"/>
                <w:szCs w:val="21"/>
                <w:highlight w:val="none"/>
                <w:lang w:val="en-US" w:eastAsia="zh-CN"/>
              </w:rPr>
            </w:pPr>
          </w:p>
          <w:p>
            <w:pPr>
              <w:spacing w:line="360" w:lineRule="exact"/>
              <w:jc w:val="center"/>
              <w:rPr>
                <w:rFonts w:hint="eastAsia" w:ascii="宋体" w:hAnsi="宋体" w:cs="宋体"/>
                <w:color w:val="auto"/>
                <w:kern w:val="0"/>
                <w:szCs w:val="21"/>
                <w:highlight w:val="none"/>
                <w:lang w:val="en-US" w:eastAsia="zh-CN"/>
              </w:rPr>
            </w:pPr>
          </w:p>
          <w:p>
            <w:pPr>
              <w:spacing w:line="360" w:lineRule="exact"/>
              <w:jc w:val="center"/>
              <w:rPr>
                <w:rFonts w:hint="eastAsia" w:ascii="宋体" w:hAnsi="宋体" w:cs="宋体"/>
                <w:color w:val="auto"/>
                <w:kern w:val="0"/>
                <w:szCs w:val="21"/>
                <w:highlight w:val="none"/>
                <w:lang w:val="en-US" w:eastAsia="zh-CN"/>
              </w:rPr>
            </w:pPr>
          </w:p>
          <w:p>
            <w:pPr>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方案</w:t>
            </w:r>
          </w:p>
        </w:tc>
        <w:tc>
          <w:tcPr>
            <w:tcW w:w="5103" w:type="dxa"/>
          </w:tcPr>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根据招标文件模型尺寸情况，结合制作内容，最大限度的满足模型展示需求，做到模型的空间布局合理，比例设计合适。（最优得分：20分；良得分：10分；一般得分：5分；）</w:t>
            </w:r>
          </w:p>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设计方案模型使用材质类别、品质效果、制作工艺、展现形式符合招标文件要求，具有相当的创新性，利用现代高科技设备工艺运用，制作出高水准艺术展示模型。（最优得分：20分；良得分：10分；一般得分：5分；）</w:t>
            </w:r>
          </w:p>
          <w:p>
            <w:pPr>
              <w:spacing w:line="360" w:lineRule="exact"/>
              <w:rPr>
                <w:rFonts w:ascii="宋体" w:hAnsi="宋体" w:cs="宋体"/>
                <w:color w:val="auto"/>
                <w:kern w:val="0"/>
                <w:szCs w:val="21"/>
                <w:highlight w:val="none"/>
              </w:rPr>
            </w:pPr>
          </w:p>
        </w:tc>
        <w:tc>
          <w:tcPr>
            <w:tcW w:w="1048" w:type="dxa"/>
            <w:vAlign w:val="center"/>
          </w:tcPr>
          <w:p>
            <w:pPr>
              <w:spacing w:line="360" w:lineRule="exact"/>
              <w:jc w:val="center"/>
              <w:rPr>
                <w:rFonts w:ascii="宋体" w:hAnsi="宋体" w:cs="宋体"/>
                <w:color w:val="auto"/>
                <w:kern w:val="0"/>
                <w:szCs w:val="21"/>
                <w:highlight w:val="none"/>
              </w:rPr>
            </w:pPr>
          </w:p>
          <w:p>
            <w:pPr>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131" w:type="dxa"/>
            <w:gridSpan w:val="4"/>
          </w:tcPr>
          <w:p>
            <w:pPr>
              <w:kinsoku w:val="0"/>
              <w:overflowPunct w:val="0"/>
              <w:spacing w:before="88" w:after="120" w:line="360" w:lineRule="exact"/>
              <w:rPr>
                <w:rFonts w:ascii="宋体" w:hAnsi="宋体" w:cs="宋体"/>
                <w:color w:val="auto"/>
                <w:szCs w:val="21"/>
                <w:highlight w:val="none"/>
              </w:rPr>
            </w:pPr>
            <w:r>
              <w:rPr>
                <w:rFonts w:hint="eastAsia" w:ascii="宋体" w:hAnsi="宋体" w:cs="宋体"/>
                <w:color w:val="auto"/>
                <w:szCs w:val="21"/>
                <w:highlight w:val="none"/>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1704" w:type="dxa"/>
            <w:vAlign w:val="center"/>
          </w:tcPr>
          <w:p>
            <w:pPr>
              <w:spacing w:line="360" w:lineRule="exact"/>
              <w:ind w:firstLine="630" w:firstLineChars="300"/>
              <w:jc w:val="both"/>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276" w:type="dxa"/>
            <w:vAlign w:val="center"/>
          </w:tcPr>
          <w:p>
            <w:pPr>
              <w:kinsoku w:val="0"/>
              <w:overflowPunct w:val="0"/>
              <w:spacing w:after="120" w:line="360" w:lineRule="exact"/>
              <w:ind w:left="337"/>
              <w:jc w:val="center"/>
              <w:rPr>
                <w:rFonts w:ascii="宋体" w:hAnsi="宋体" w:cs="宋体"/>
                <w:color w:val="auto"/>
                <w:szCs w:val="21"/>
                <w:highlight w:val="none"/>
              </w:rPr>
            </w:pPr>
          </w:p>
          <w:p>
            <w:pPr>
              <w:kinsoku w:val="0"/>
              <w:overflowPunct w:val="0"/>
              <w:spacing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售后服务方案</w:t>
            </w:r>
          </w:p>
          <w:p>
            <w:pPr>
              <w:spacing w:line="360" w:lineRule="exact"/>
              <w:jc w:val="center"/>
              <w:rPr>
                <w:rFonts w:ascii="宋体" w:hAnsi="宋体" w:cs="宋体"/>
                <w:color w:val="auto"/>
                <w:kern w:val="0"/>
                <w:szCs w:val="21"/>
                <w:highlight w:val="none"/>
              </w:rPr>
            </w:pPr>
          </w:p>
        </w:tc>
        <w:tc>
          <w:tcPr>
            <w:tcW w:w="5103" w:type="dxa"/>
            <w:vAlign w:val="center"/>
          </w:tcPr>
          <w:p>
            <w:pPr>
              <w:kinsoku w:val="0"/>
              <w:overflowPunct w:val="0"/>
              <w:spacing w:before="88" w:after="120" w:line="360" w:lineRule="exact"/>
              <w:jc w:val="left"/>
              <w:rPr>
                <w:rFonts w:ascii="宋体" w:hAnsi="宋体" w:cs="宋体"/>
                <w:color w:val="auto"/>
                <w:szCs w:val="21"/>
                <w:highlight w:val="none"/>
              </w:rPr>
            </w:pPr>
            <w:r>
              <w:rPr>
                <w:rFonts w:hint="eastAsia" w:ascii="宋体" w:hAnsi="宋体" w:cs="宋体"/>
                <w:color w:val="auto"/>
                <w:szCs w:val="21"/>
                <w:highlight w:val="none"/>
              </w:rPr>
              <w:t>售后服务方案（服务体系、服务内容、故障解决方案、专业技术人员保障及服务电话）最优的得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分，一般得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分，其他不得分。</w:t>
            </w:r>
          </w:p>
        </w:tc>
        <w:tc>
          <w:tcPr>
            <w:tcW w:w="1048" w:type="dxa"/>
            <w:vAlign w:val="center"/>
          </w:tcPr>
          <w:p>
            <w:pPr>
              <w:spacing w:line="360" w:lineRule="exact"/>
              <w:jc w:val="center"/>
              <w:rPr>
                <w:rFonts w:ascii="宋体" w:hAnsi="宋体" w:cs="宋体"/>
                <w:color w:val="auto"/>
                <w:kern w:val="0"/>
                <w:szCs w:val="21"/>
                <w:highlight w:val="none"/>
              </w:rPr>
            </w:pPr>
          </w:p>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1" w:type="dxa"/>
            <w:gridSpan w:val="4"/>
          </w:tcPr>
          <w:p>
            <w:pPr>
              <w:kinsoku w:val="0"/>
              <w:overflowPunct w:val="0"/>
              <w:spacing w:before="88" w:after="120" w:line="360" w:lineRule="exact"/>
              <w:ind w:left="123"/>
              <w:rPr>
                <w:rFonts w:ascii="宋体" w:hAnsi="宋体" w:cs="宋体"/>
                <w:color w:val="auto"/>
                <w:szCs w:val="21"/>
                <w:highlight w:val="none"/>
              </w:rPr>
            </w:pPr>
            <w:r>
              <w:rPr>
                <w:rFonts w:hint="eastAsia" w:ascii="宋体" w:hAnsi="宋体" w:cs="宋体"/>
                <w:color w:val="auto"/>
                <w:szCs w:val="21"/>
                <w:highlight w:val="none"/>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704" w:type="dxa"/>
          </w:tcPr>
          <w:p>
            <w:pPr>
              <w:kinsoku w:val="0"/>
              <w:overflowPunct w:val="0"/>
              <w:spacing w:after="120" w:line="360" w:lineRule="exact"/>
              <w:ind w:left="213"/>
              <w:rPr>
                <w:rFonts w:ascii="宋体" w:hAnsi="宋体" w:cs="宋体"/>
                <w:color w:val="auto"/>
                <w:szCs w:val="21"/>
                <w:highlight w:val="none"/>
              </w:rPr>
            </w:pPr>
          </w:p>
          <w:p>
            <w:pPr>
              <w:kinsoku w:val="0"/>
              <w:overflowPunct w:val="0"/>
              <w:spacing w:after="120" w:line="360" w:lineRule="exact"/>
              <w:ind w:left="213" w:firstLine="420" w:firstLineChars="200"/>
              <w:rPr>
                <w:rFonts w:ascii="宋体" w:hAnsi="宋体" w:cs="宋体"/>
                <w:color w:val="auto"/>
                <w:szCs w:val="21"/>
                <w:highlight w:val="none"/>
              </w:rPr>
            </w:pPr>
            <w:r>
              <w:rPr>
                <w:rFonts w:hint="eastAsia" w:ascii="宋体" w:hAnsi="宋体" w:cs="宋体"/>
                <w:color w:val="auto"/>
                <w:szCs w:val="21"/>
                <w:highlight w:val="none"/>
              </w:rPr>
              <w:t>4.1</w:t>
            </w:r>
          </w:p>
        </w:tc>
        <w:tc>
          <w:tcPr>
            <w:tcW w:w="1276" w:type="dxa"/>
          </w:tcPr>
          <w:p>
            <w:pPr>
              <w:kinsoku w:val="0"/>
              <w:overflowPunct w:val="0"/>
              <w:spacing w:after="120" w:line="360" w:lineRule="exact"/>
              <w:ind w:left="155" w:right="155"/>
              <w:jc w:val="center"/>
              <w:rPr>
                <w:rFonts w:ascii="宋体" w:hAnsi="宋体" w:cs="宋体"/>
                <w:color w:val="auto"/>
                <w:szCs w:val="21"/>
                <w:highlight w:val="none"/>
              </w:rPr>
            </w:pPr>
          </w:p>
          <w:p>
            <w:pPr>
              <w:kinsoku w:val="0"/>
              <w:overflowPunct w:val="0"/>
              <w:spacing w:after="120" w:line="360" w:lineRule="exact"/>
              <w:ind w:left="155" w:right="155"/>
              <w:jc w:val="center"/>
              <w:rPr>
                <w:rFonts w:ascii="宋体" w:hAnsi="宋体" w:cs="宋体"/>
                <w:color w:val="auto"/>
                <w:kern w:val="0"/>
                <w:szCs w:val="21"/>
                <w:highlight w:val="none"/>
              </w:rPr>
            </w:pPr>
            <w:r>
              <w:rPr>
                <w:rFonts w:hint="eastAsia" w:ascii="宋体" w:hAnsi="宋体" w:cs="宋体"/>
                <w:color w:val="auto"/>
                <w:szCs w:val="21"/>
                <w:highlight w:val="none"/>
              </w:rPr>
              <w:t>业绩</w:t>
            </w:r>
          </w:p>
        </w:tc>
        <w:tc>
          <w:tcPr>
            <w:tcW w:w="5103" w:type="dxa"/>
          </w:tcPr>
          <w:p>
            <w:pPr>
              <w:kinsoku w:val="0"/>
              <w:overflowPunct w:val="0"/>
              <w:spacing w:before="88" w:after="120" w:line="360" w:lineRule="exact"/>
              <w:ind w:right="155"/>
              <w:rPr>
                <w:rFonts w:ascii="宋体" w:hAnsi="宋体" w:cs="宋体"/>
                <w:color w:val="auto"/>
                <w:szCs w:val="21"/>
                <w:highlight w:val="none"/>
              </w:rPr>
            </w:pPr>
            <w:r>
              <w:rPr>
                <w:rFonts w:hint="eastAsia" w:ascii="宋体" w:hAnsi="宋体" w:cs="宋体"/>
                <w:color w:val="auto"/>
                <w:szCs w:val="21"/>
                <w:highlight w:val="none"/>
              </w:rPr>
              <w:t>依据投标人自201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月1日以来完成过同类项目案例，每提供一个得</w:t>
            </w:r>
            <w:r>
              <w:rPr>
                <w:rFonts w:ascii="宋体" w:hAnsi="宋体" w:cs="宋体"/>
                <w:color w:val="auto"/>
                <w:szCs w:val="21"/>
                <w:highlight w:val="none"/>
              </w:rPr>
              <w:t>1</w:t>
            </w:r>
            <w:r>
              <w:rPr>
                <w:rFonts w:hint="eastAsia" w:ascii="宋体" w:hAnsi="宋体" w:cs="宋体"/>
                <w:color w:val="auto"/>
                <w:szCs w:val="21"/>
                <w:highlight w:val="none"/>
              </w:rPr>
              <w:t>分，最多</w:t>
            </w:r>
            <w:r>
              <w:rPr>
                <w:rFonts w:ascii="宋体" w:hAnsi="宋体" w:cs="宋体"/>
                <w:color w:val="auto"/>
                <w:szCs w:val="21"/>
                <w:highlight w:val="none"/>
              </w:rPr>
              <w:t>5</w:t>
            </w:r>
            <w:r>
              <w:rPr>
                <w:rFonts w:hint="eastAsia" w:ascii="宋体" w:hAnsi="宋体" w:cs="宋体"/>
                <w:color w:val="auto"/>
                <w:szCs w:val="21"/>
                <w:highlight w:val="none"/>
              </w:rPr>
              <w:t>分。须提供有效的合同（时间以合同签订日期为准）。（复印件加盖公章，原件备查）。</w:t>
            </w:r>
          </w:p>
        </w:tc>
        <w:tc>
          <w:tcPr>
            <w:tcW w:w="1048" w:type="dxa"/>
          </w:tcPr>
          <w:p>
            <w:pPr>
              <w:spacing w:line="360" w:lineRule="exact"/>
              <w:rPr>
                <w:rFonts w:ascii="宋体" w:hAnsi="宋体" w:cs="宋体"/>
                <w:color w:val="auto"/>
                <w:kern w:val="0"/>
                <w:szCs w:val="21"/>
                <w:highlight w:val="none"/>
              </w:rPr>
            </w:pPr>
          </w:p>
          <w:p>
            <w:pPr>
              <w:spacing w:line="36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131" w:type="dxa"/>
            <w:gridSpan w:val="4"/>
          </w:tcPr>
          <w:p>
            <w:pPr>
              <w:kinsoku w:val="0"/>
              <w:overflowPunct w:val="0"/>
              <w:spacing w:before="88" w:after="120" w:line="360" w:lineRule="exact"/>
              <w:ind w:left="123"/>
              <w:rPr>
                <w:rFonts w:ascii="宋体" w:hAnsi="宋体" w:cs="宋体"/>
                <w:color w:val="auto"/>
                <w:szCs w:val="21"/>
                <w:highlight w:val="none"/>
              </w:rPr>
            </w:pPr>
            <w:r>
              <w:rPr>
                <w:rFonts w:hint="eastAsia" w:ascii="宋体" w:hAnsi="宋体" w:cs="宋体"/>
                <w:color w:val="auto"/>
                <w:szCs w:val="21"/>
                <w:highlight w:val="none"/>
              </w:rPr>
              <w:t>5、信誉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704" w:type="dxa"/>
            <w:vAlign w:val="center"/>
          </w:tcPr>
          <w:p>
            <w:pPr>
              <w:kinsoku w:val="0"/>
              <w:overflowPunct w:val="0"/>
              <w:spacing w:after="120" w:line="360" w:lineRule="exact"/>
              <w:rPr>
                <w:rFonts w:ascii="宋体" w:hAnsi="宋体" w:cs="宋体"/>
                <w:color w:val="auto"/>
                <w:szCs w:val="21"/>
                <w:highlight w:val="none"/>
              </w:rPr>
            </w:pPr>
          </w:p>
          <w:p>
            <w:pPr>
              <w:kinsoku w:val="0"/>
              <w:overflowPunct w:val="0"/>
              <w:spacing w:after="120" w:line="360" w:lineRule="exact"/>
              <w:ind w:left="213"/>
              <w:jc w:val="center"/>
              <w:rPr>
                <w:rFonts w:ascii="宋体" w:hAnsi="宋体" w:cs="宋体"/>
                <w:color w:val="auto"/>
                <w:szCs w:val="21"/>
                <w:highlight w:val="none"/>
              </w:rPr>
            </w:pPr>
            <w:r>
              <w:rPr>
                <w:rFonts w:hint="eastAsia" w:ascii="宋体" w:hAnsi="宋体" w:cs="宋体"/>
                <w:color w:val="auto"/>
                <w:szCs w:val="21"/>
                <w:highlight w:val="none"/>
              </w:rPr>
              <w:t>5.1</w:t>
            </w:r>
          </w:p>
          <w:p>
            <w:pPr>
              <w:spacing w:line="360" w:lineRule="exact"/>
              <w:jc w:val="center"/>
              <w:rPr>
                <w:rFonts w:ascii="宋体" w:hAnsi="宋体" w:cs="宋体"/>
                <w:color w:val="auto"/>
                <w:kern w:val="0"/>
                <w:szCs w:val="21"/>
                <w:highlight w:val="none"/>
              </w:rPr>
            </w:pPr>
          </w:p>
        </w:tc>
        <w:tc>
          <w:tcPr>
            <w:tcW w:w="1276" w:type="dxa"/>
            <w:vAlign w:val="center"/>
          </w:tcPr>
          <w:p>
            <w:pPr>
              <w:kinsoku w:val="0"/>
              <w:overflowPunct w:val="0"/>
              <w:spacing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质量安全体系认证</w:t>
            </w:r>
          </w:p>
          <w:p>
            <w:pPr>
              <w:spacing w:line="360" w:lineRule="exact"/>
              <w:jc w:val="center"/>
              <w:rPr>
                <w:rFonts w:ascii="宋体" w:hAnsi="宋体" w:cs="宋体"/>
                <w:color w:val="auto"/>
                <w:kern w:val="0"/>
                <w:szCs w:val="21"/>
                <w:highlight w:val="none"/>
              </w:rPr>
            </w:pPr>
          </w:p>
        </w:tc>
        <w:tc>
          <w:tcPr>
            <w:tcW w:w="5103" w:type="dxa"/>
          </w:tcPr>
          <w:p>
            <w:pPr>
              <w:kinsoku w:val="0"/>
              <w:overflowPunct w:val="0"/>
              <w:spacing w:before="88" w:after="120" w:line="360" w:lineRule="exact"/>
              <w:ind w:right="155"/>
              <w:rPr>
                <w:rFonts w:ascii="宋体" w:hAnsi="宋体" w:cs="宋体"/>
                <w:color w:val="auto"/>
                <w:szCs w:val="21"/>
                <w:highlight w:val="none"/>
              </w:rPr>
            </w:pPr>
            <w:r>
              <w:rPr>
                <w:rFonts w:hint="eastAsia" w:ascii="宋体" w:hAnsi="宋体" w:cs="宋体"/>
                <w:color w:val="auto"/>
                <w:szCs w:val="21"/>
                <w:highlight w:val="none"/>
              </w:rPr>
              <w:t>投标人具有有效期内的ISO9001质量体系认证，每提供1个得</w:t>
            </w:r>
            <w:r>
              <w:rPr>
                <w:rFonts w:ascii="宋体" w:hAnsi="宋体" w:cs="宋体"/>
                <w:color w:val="auto"/>
                <w:szCs w:val="21"/>
                <w:highlight w:val="none"/>
              </w:rPr>
              <w:t>3</w:t>
            </w:r>
            <w:r>
              <w:rPr>
                <w:rFonts w:hint="eastAsia" w:ascii="宋体" w:hAnsi="宋体" w:cs="宋体"/>
                <w:color w:val="auto"/>
                <w:szCs w:val="21"/>
                <w:highlight w:val="none"/>
              </w:rPr>
              <w:t>分，没有不得分，最多得3分。（复印件加盖单位公章）</w:t>
            </w:r>
          </w:p>
        </w:tc>
        <w:tc>
          <w:tcPr>
            <w:tcW w:w="1048" w:type="dxa"/>
          </w:tcPr>
          <w:p>
            <w:pPr>
              <w:spacing w:line="360" w:lineRule="exact"/>
              <w:rPr>
                <w:rFonts w:ascii="宋体" w:hAnsi="宋体" w:cs="宋体"/>
                <w:color w:val="auto"/>
                <w:kern w:val="0"/>
                <w:szCs w:val="21"/>
                <w:highlight w:val="none"/>
              </w:rPr>
            </w:pPr>
          </w:p>
          <w:p>
            <w:pPr>
              <w:spacing w:line="3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31"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6、投标文件制作分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704" w:type="dxa"/>
            <w:vAlign w:val="center"/>
          </w:tcPr>
          <w:p>
            <w:pPr>
              <w:jc w:val="center"/>
              <w:rPr>
                <w:rFonts w:ascii="宋体" w:hAnsi="宋体"/>
                <w:color w:val="auto"/>
                <w:szCs w:val="21"/>
                <w:highlight w:val="none"/>
              </w:rPr>
            </w:pPr>
            <w:r>
              <w:rPr>
                <w:rFonts w:hint="eastAsia" w:ascii="宋体" w:hAnsi="宋体"/>
                <w:color w:val="auto"/>
                <w:szCs w:val="21"/>
                <w:highlight w:val="none"/>
              </w:rPr>
              <w:t>6.1</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投标文件便于评审</w:t>
            </w:r>
          </w:p>
        </w:tc>
        <w:tc>
          <w:tcPr>
            <w:tcW w:w="5103" w:type="dxa"/>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文件内容完备，格式规范，封装整齐，满足招标文件要求得2分。未经胶封（如文件夹或订书机等）此项不得分。</w:t>
            </w:r>
          </w:p>
        </w:tc>
        <w:tc>
          <w:tcPr>
            <w:tcW w:w="104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r>
    </w:tbl>
    <w:p>
      <w:pPr>
        <w:rPr>
          <w:rFonts w:ascii="宋体"/>
          <w:b/>
          <w:color w:val="auto"/>
          <w:sz w:val="24"/>
          <w:highlight w:val="none"/>
        </w:rPr>
      </w:pPr>
      <w:bookmarkStart w:id="11" w:name="_GoBack"/>
      <w:bookmarkEnd w:id="11"/>
    </w:p>
    <w:p>
      <w:pPr>
        <w:pStyle w:val="2"/>
        <w:ind w:left="0" w:leftChars="0" w:firstLine="0" w:firstLineChars="0"/>
        <w:rPr>
          <w:color w:val="auto"/>
          <w:highlight w:val="none"/>
        </w:rPr>
      </w:pPr>
    </w:p>
    <w:p>
      <w:pPr>
        <w:ind w:firstLine="354" w:firstLineChars="147"/>
        <w:rPr>
          <w:b/>
          <w:color w:val="auto"/>
          <w:highlight w:val="none"/>
          <w:lang w:val="zh-CN"/>
        </w:rPr>
      </w:pPr>
      <w:r>
        <w:rPr>
          <w:rFonts w:hint="eastAsia" w:ascii="宋体"/>
          <w:b/>
          <w:color w:val="auto"/>
          <w:sz w:val="24"/>
          <w:highlight w:val="none"/>
        </w:rPr>
        <w:t>（本部分内容由南京信息工程大学</w:t>
      </w:r>
      <w:r>
        <w:rPr>
          <w:rFonts w:hint="eastAsia" w:ascii="宋体"/>
          <w:b/>
          <w:color w:val="auto"/>
          <w:sz w:val="24"/>
          <w:highlight w:val="none"/>
          <w:lang w:val="en-US" w:eastAsia="zh-CN"/>
        </w:rPr>
        <w:t>金牛湖</w:t>
      </w:r>
      <w:r>
        <w:rPr>
          <w:rFonts w:hint="default" w:ascii="宋体"/>
          <w:b/>
          <w:color w:val="auto"/>
          <w:sz w:val="24"/>
          <w:highlight w:val="none"/>
          <w:lang w:val="en-US" w:eastAsia="zh-CN"/>
        </w:rPr>
        <w:t>产教融合</w:t>
      </w:r>
      <w:r>
        <w:rPr>
          <w:rFonts w:hint="eastAsia" w:ascii="宋体"/>
          <w:b/>
          <w:color w:val="auto"/>
          <w:sz w:val="24"/>
          <w:highlight w:val="none"/>
          <w:lang w:val="en-US" w:eastAsia="zh-CN"/>
        </w:rPr>
        <w:t>园区管委会</w:t>
      </w:r>
      <w:r>
        <w:rPr>
          <w:rFonts w:hint="eastAsia" w:ascii="宋体"/>
          <w:b/>
          <w:color w:val="auto"/>
          <w:sz w:val="24"/>
          <w:highlight w:val="none"/>
        </w:rPr>
        <w:t>提供并负责）</w:t>
      </w:r>
    </w:p>
    <w:p>
      <w:pPr>
        <w:spacing w:line="360" w:lineRule="auto"/>
        <w:rPr>
          <w:b/>
          <w:color w:val="auto"/>
          <w:sz w:val="28"/>
          <w:szCs w:val="28"/>
          <w:highlight w:val="none"/>
        </w:rPr>
      </w:pPr>
    </w:p>
    <w:p>
      <w:pPr>
        <w:spacing w:line="360" w:lineRule="auto"/>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spacing w:line="360" w:lineRule="auto"/>
        <w:rPr>
          <w:b/>
          <w:color w:val="auto"/>
          <w:sz w:val="28"/>
          <w:szCs w:val="28"/>
          <w:highlight w:val="none"/>
        </w:rPr>
      </w:pPr>
      <w:r>
        <w:rPr>
          <w:rFonts w:hint="eastAsia"/>
          <w:b/>
          <w:color w:val="auto"/>
          <w:sz w:val="28"/>
          <w:szCs w:val="28"/>
          <w:highlight w:val="none"/>
        </w:rPr>
        <w:t>附件</w:t>
      </w:r>
      <w:r>
        <w:rPr>
          <w:b/>
          <w:color w:val="auto"/>
          <w:sz w:val="28"/>
          <w:szCs w:val="28"/>
          <w:highlight w:val="none"/>
        </w:rPr>
        <w:t>5</w:t>
      </w:r>
      <w:r>
        <w:rPr>
          <w:rFonts w:hint="eastAsia"/>
          <w:b/>
          <w:color w:val="auto"/>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bCs/>
          <w:color w:val="auto"/>
          <w:sz w:val="34"/>
          <w:highlight w:val="none"/>
        </w:rPr>
      </w:pPr>
      <w:r>
        <w:rPr>
          <w:rFonts w:hint="eastAsia" w:ascii="黑体" w:hAnsi="黑体" w:eastAsia="黑体"/>
          <w:b/>
          <w:color w:val="auto"/>
          <w:sz w:val="34"/>
          <w:highlight w:val="none"/>
        </w:rPr>
        <w:t>采购合同</w:t>
      </w:r>
    </w:p>
    <w:p>
      <w:pPr>
        <w:pStyle w:val="10"/>
        <w:adjustRightInd w:val="0"/>
        <w:snapToGrid w:val="0"/>
        <w:spacing w:before="120" w:after="120" w:line="360" w:lineRule="auto"/>
        <w:ind w:firstLine="658"/>
        <w:jc w:val="center"/>
        <w:rPr>
          <w:rFonts w:hAnsi="宋体"/>
          <w:color w:val="auto"/>
          <w:sz w:val="24"/>
          <w:szCs w:val="24"/>
          <w:highlight w:val="none"/>
        </w:rPr>
      </w:pPr>
      <w:r>
        <w:rPr>
          <w:rFonts w:hint="eastAsia" w:hAnsi="宋体"/>
          <w:color w:val="auto"/>
          <w:sz w:val="24"/>
          <w:szCs w:val="24"/>
          <w:highlight w:val="none"/>
        </w:rPr>
        <w:t>本合同为参考合同文本，最终以甲方审核单位最终审核意见为准。</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项目名称：</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项目编号：</w:t>
      </w:r>
    </w:p>
    <w:p>
      <w:pPr>
        <w:pStyle w:val="10"/>
        <w:adjustRightInd w:val="0"/>
        <w:snapToGrid w:val="0"/>
        <w:spacing w:before="120" w:after="120" w:line="360" w:lineRule="auto"/>
        <w:ind w:firstLine="658"/>
        <w:rPr>
          <w:rFonts w:hAnsi="宋体"/>
          <w:color w:val="auto"/>
          <w:sz w:val="24"/>
          <w:szCs w:val="24"/>
          <w:highlight w:val="none"/>
          <w:u w:val="single"/>
        </w:rPr>
      </w:pPr>
      <w:r>
        <w:rPr>
          <w:rFonts w:hint="eastAsia" w:hAnsi="宋体"/>
          <w:color w:val="auto"/>
          <w:sz w:val="24"/>
          <w:szCs w:val="24"/>
          <w:highlight w:val="none"/>
        </w:rPr>
        <w:t>甲方：（买方）</w:t>
      </w:r>
      <w:r>
        <w:rPr>
          <w:rFonts w:hAnsi="宋体"/>
          <w:color w:val="auto"/>
          <w:sz w:val="24"/>
          <w:szCs w:val="24"/>
          <w:highlight w:val="none"/>
        </w:rPr>
        <w:t>__________________</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乙方：（卖方）</w:t>
      </w:r>
      <w:r>
        <w:rPr>
          <w:rFonts w:hAnsi="宋体"/>
          <w:color w:val="auto"/>
          <w:sz w:val="24"/>
          <w:szCs w:val="24"/>
          <w:highlight w:val="none"/>
        </w:rPr>
        <w:t>__________________</w:t>
      </w:r>
    </w:p>
    <w:p>
      <w:pPr>
        <w:pStyle w:val="10"/>
        <w:adjustRightInd w:val="0"/>
        <w:snapToGrid w:val="0"/>
        <w:spacing w:before="120" w:after="120" w:line="360" w:lineRule="auto"/>
        <w:ind w:firstLine="658"/>
        <w:rPr>
          <w:rFonts w:hAnsi="宋体"/>
          <w:b/>
          <w:color w:val="auto"/>
          <w:sz w:val="24"/>
          <w:szCs w:val="24"/>
          <w:highlight w:val="none"/>
        </w:rPr>
      </w:pPr>
      <w:r>
        <w:rPr>
          <w:rFonts w:hint="eastAsia" w:hAnsi="宋体"/>
          <w:color w:val="auto"/>
          <w:sz w:val="24"/>
          <w:szCs w:val="24"/>
          <w:highlight w:val="none"/>
        </w:rPr>
        <w:t>甲、乙双方根据甲方项目采购谈判的结果，签署本合同。</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一、货物内容</w:t>
      </w:r>
    </w:p>
    <w:tbl>
      <w:tblPr>
        <w:tblStyle w:val="17"/>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分包号</w:t>
            </w:r>
          </w:p>
        </w:tc>
        <w:tc>
          <w:tcPr>
            <w:tcW w:w="116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货物</w:t>
            </w:r>
          </w:p>
          <w:p>
            <w:pPr>
              <w:spacing w:line="360" w:lineRule="auto"/>
              <w:jc w:val="center"/>
              <w:rPr>
                <w:rFonts w:ascii="宋体"/>
                <w:b/>
                <w:color w:val="auto"/>
                <w:sz w:val="24"/>
                <w:highlight w:val="none"/>
              </w:rPr>
            </w:pPr>
            <w:r>
              <w:rPr>
                <w:rFonts w:hint="eastAsia" w:ascii="宋体" w:hAnsi="宋体"/>
                <w:b/>
                <w:color w:val="auto"/>
                <w:sz w:val="24"/>
                <w:highlight w:val="none"/>
              </w:rPr>
              <w:t>名称</w:t>
            </w:r>
          </w:p>
        </w:tc>
        <w:tc>
          <w:tcPr>
            <w:tcW w:w="111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型号</w:t>
            </w:r>
            <w:r>
              <w:rPr>
                <w:rFonts w:ascii="宋体" w:hAnsi="宋体"/>
                <w:b/>
                <w:color w:val="auto"/>
                <w:sz w:val="24"/>
                <w:highlight w:val="none"/>
              </w:rPr>
              <w:t>/</w:t>
            </w:r>
          </w:p>
          <w:p>
            <w:pPr>
              <w:spacing w:line="360" w:lineRule="auto"/>
              <w:jc w:val="center"/>
              <w:rPr>
                <w:rFonts w:ascii="宋体"/>
                <w:b/>
                <w:color w:val="auto"/>
                <w:sz w:val="24"/>
                <w:highlight w:val="none"/>
              </w:rPr>
            </w:pPr>
            <w:r>
              <w:rPr>
                <w:rFonts w:hint="eastAsia" w:ascii="宋体" w:hAnsi="宋体"/>
                <w:b/>
                <w:color w:val="auto"/>
                <w:sz w:val="24"/>
                <w:highlight w:val="none"/>
              </w:rPr>
              <w:t>规格</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品牌</w:t>
            </w:r>
            <w:r>
              <w:rPr>
                <w:rFonts w:ascii="宋体" w:hAnsi="宋体"/>
                <w:b/>
                <w:color w:val="auto"/>
                <w:sz w:val="24"/>
                <w:highlight w:val="none"/>
              </w:rPr>
              <w:t>/</w:t>
            </w:r>
            <w:r>
              <w:rPr>
                <w:rFonts w:hint="eastAsia" w:ascii="宋体" w:hAnsi="宋体"/>
                <w:b/>
                <w:color w:val="auto"/>
                <w:sz w:val="24"/>
                <w:highlight w:val="none"/>
              </w:rPr>
              <w:t>生产厂家</w:t>
            </w:r>
            <w:r>
              <w:rPr>
                <w:rFonts w:ascii="宋体" w:hAnsi="宋体"/>
                <w:b/>
                <w:color w:val="auto"/>
                <w:sz w:val="24"/>
                <w:highlight w:val="none"/>
              </w:rPr>
              <w:t>/</w:t>
            </w:r>
            <w:r>
              <w:rPr>
                <w:rFonts w:hint="eastAsia" w:ascii="宋体" w:hAnsi="宋体"/>
                <w:b/>
                <w:color w:val="auto"/>
                <w:sz w:val="24"/>
                <w:highlight w:val="none"/>
              </w:rPr>
              <w:t>国别</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计量</w:t>
            </w:r>
          </w:p>
          <w:p>
            <w:pPr>
              <w:spacing w:line="360" w:lineRule="auto"/>
              <w:jc w:val="center"/>
              <w:rPr>
                <w:rFonts w:ascii="宋体"/>
                <w:b/>
                <w:color w:val="auto"/>
                <w:sz w:val="24"/>
                <w:highlight w:val="none"/>
              </w:rPr>
            </w:pPr>
            <w:r>
              <w:rPr>
                <w:rFonts w:hint="eastAsia" w:ascii="宋体" w:hAnsi="宋体"/>
                <w:b/>
                <w:color w:val="auto"/>
                <w:sz w:val="24"/>
                <w:highlight w:val="none"/>
              </w:rPr>
              <w:t>单位</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数量</w:t>
            </w:r>
          </w:p>
        </w:tc>
        <w:tc>
          <w:tcPr>
            <w:tcW w:w="1160"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116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每项</w:t>
            </w:r>
          </w:p>
          <w:p>
            <w:pPr>
              <w:spacing w:line="360" w:lineRule="auto"/>
              <w:jc w:val="center"/>
              <w:rPr>
                <w:rFonts w:ascii="宋体"/>
                <w:b/>
                <w:color w:val="auto"/>
                <w:sz w:val="24"/>
                <w:highlight w:val="none"/>
              </w:rPr>
            </w:pPr>
            <w:r>
              <w:rPr>
                <w:rFonts w:hint="eastAsia" w:ascii="宋体" w:hAnsi="宋体"/>
                <w:b/>
                <w:color w:val="auto"/>
                <w:sz w:val="24"/>
                <w:highlight w:val="none"/>
              </w:rPr>
              <w:t>总价</w:t>
            </w:r>
          </w:p>
        </w:tc>
        <w:tc>
          <w:tcPr>
            <w:tcW w:w="1171"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color w:val="auto"/>
                <w:sz w:val="24"/>
                <w:highlight w:val="none"/>
              </w:rPr>
            </w:pPr>
          </w:p>
        </w:tc>
        <w:tc>
          <w:tcPr>
            <w:tcW w:w="1165" w:type="dxa"/>
            <w:vAlign w:val="center"/>
          </w:tcPr>
          <w:p>
            <w:pPr>
              <w:spacing w:line="360" w:lineRule="auto"/>
              <w:jc w:val="center"/>
              <w:rPr>
                <w:rFonts w:ascii="宋体"/>
                <w:color w:val="auto"/>
                <w:sz w:val="24"/>
                <w:highlight w:val="none"/>
              </w:rPr>
            </w:pPr>
          </w:p>
        </w:tc>
        <w:tc>
          <w:tcPr>
            <w:tcW w:w="1115" w:type="dxa"/>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0" w:type="dxa"/>
            <w:vAlign w:val="center"/>
          </w:tcPr>
          <w:p>
            <w:pPr>
              <w:spacing w:line="360" w:lineRule="auto"/>
              <w:jc w:val="center"/>
              <w:rPr>
                <w:rFonts w:ascii="宋体"/>
                <w:color w:val="auto"/>
                <w:sz w:val="24"/>
                <w:highlight w:val="none"/>
              </w:rPr>
            </w:pPr>
          </w:p>
        </w:tc>
        <w:tc>
          <w:tcPr>
            <w:tcW w:w="1162" w:type="dxa"/>
            <w:vAlign w:val="center"/>
          </w:tcPr>
          <w:p>
            <w:pPr>
              <w:spacing w:line="360" w:lineRule="auto"/>
              <w:jc w:val="center"/>
              <w:rPr>
                <w:rFonts w:ascii="宋体"/>
                <w:color w:val="auto"/>
                <w:sz w:val="24"/>
                <w:highlight w:val="none"/>
              </w:rPr>
            </w:pPr>
          </w:p>
        </w:tc>
        <w:tc>
          <w:tcPr>
            <w:tcW w:w="1171" w:type="dxa"/>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color w:val="auto"/>
                <w:sz w:val="24"/>
                <w:highlight w:val="none"/>
              </w:rPr>
            </w:pPr>
            <w:r>
              <w:rPr>
                <w:rFonts w:hint="eastAsia" w:ascii="宋体" w:hAnsi="宋体"/>
                <w:color w:val="auto"/>
                <w:sz w:val="24"/>
                <w:highlight w:val="none"/>
              </w:rPr>
              <w:t>合计总价</w:t>
            </w:r>
          </w:p>
        </w:tc>
        <w:tc>
          <w:tcPr>
            <w:tcW w:w="8088" w:type="dxa"/>
            <w:gridSpan w:val="7"/>
            <w:vAlign w:val="center"/>
          </w:tcPr>
          <w:p>
            <w:pPr>
              <w:spacing w:line="360" w:lineRule="auto"/>
              <w:rPr>
                <w:rFonts w:ascii="宋体"/>
                <w:color w:val="auto"/>
                <w:sz w:val="24"/>
                <w:highlight w:val="none"/>
                <w:u w:val="single"/>
              </w:rPr>
            </w:pPr>
            <w:r>
              <w:rPr>
                <w:rFonts w:hint="eastAsia" w:ascii="宋体" w:hAnsi="宋体"/>
                <w:color w:val="auto"/>
                <w:sz w:val="24"/>
                <w:highlight w:val="none"/>
              </w:rPr>
              <w:t>大写：      小写：      元</w:t>
            </w:r>
          </w:p>
        </w:tc>
      </w:tr>
    </w:tbl>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二、合同金额</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2.1 </w:t>
      </w:r>
      <w:r>
        <w:rPr>
          <w:rFonts w:hint="eastAsia" w:hAnsi="宋体"/>
          <w:color w:val="auto"/>
          <w:sz w:val="24"/>
          <w:szCs w:val="24"/>
          <w:highlight w:val="none"/>
        </w:rPr>
        <w:t>本合同金额为（大写）：</w:t>
      </w:r>
      <w:r>
        <w:rPr>
          <w:rFonts w:hAnsi="宋体"/>
          <w:color w:val="auto"/>
          <w:sz w:val="24"/>
          <w:szCs w:val="24"/>
          <w:highlight w:val="none"/>
        </w:rPr>
        <w:t>________________________</w:t>
      </w:r>
      <w:r>
        <w:rPr>
          <w:rFonts w:hint="eastAsia" w:hAnsi="宋体"/>
          <w:color w:val="auto"/>
          <w:sz w:val="24"/>
          <w:szCs w:val="24"/>
          <w:highlight w:val="none"/>
        </w:rPr>
        <w:t>元人民币。合同金额为完成本项目</w:t>
      </w:r>
    </w:p>
    <w:p>
      <w:pPr>
        <w:pStyle w:val="10"/>
        <w:adjustRightInd w:val="0"/>
        <w:snapToGrid w:val="0"/>
        <w:spacing w:before="120" w:after="120" w:line="360" w:lineRule="auto"/>
        <w:rPr>
          <w:rFonts w:hAnsi="宋体"/>
          <w:color w:val="auto"/>
          <w:sz w:val="24"/>
          <w:szCs w:val="24"/>
          <w:highlight w:val="none"/>
        </w:rPr>
      </w:pPr>
      <w:r>
        <w:rPr>
          <w:rFonts w:hint="eastAsia" w:hAnsi="宋体"/>
          <w:color w:val="auto"/>
          <w:sz w:val="24"/>
          <w:szCs w:val="24"/>
          <w:highlight w:val="none"/>
        </w:rPr>
        <w:t>所需的全部费用，包括但不限于设计费、制作费、人员成本、运输费、装卸费、税金、售后服务等，除此之外，甲方不再向乙方承担其他任何费用支付义务。</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三、技术资料</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3.1</w:t>
      </w:r>
      <w:r>
        <w:rPr>
          <w:rFonts w:hint="eastAsia" w:hAnsi="宋体"/>
          <w:color w:val="auto"/>
          <w:sz w:val="24"/>
          <w:szCs w:val="24"/>
          <w:highlight w:val="none"/>
        </w:rPr>
        <w:t>乙方应按采购文件规定的时间向甲方提供使用货物的有关技术资料。</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3.2 </w:t>
      </w:r>
      <w:r>
        <w:rPr>
          <w:rFonts w:hint="eastAsia"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660"/>
        <w:rPr>
          <w:rFonts w:hAnsi="宋体"/>
          <w:b/>
          <w:color w:val="auto"/>
          <w:sz w:val="24"/>
          <w:szCs w:val="24"/>
          <w:highlight w:val="none"/>
        </w:rPr>
      </w:pPr>
      <w:r>
        <w:rPr>
          <w:rFonts w:hint="eastAsia" w:hAnsi="宋体"/>
          <w:b/>
          <w:color w:val="auto"/>
          <w:sz w:val="24"/>
          <w:szCs w:val="24"/>
          <w:highlight w:val="none"/>
        </w:rPr>
        <w:t>四、知识产权</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0"/>
        <w:adjustRightInd w:val="0"/>
        <w:snapToGrid w:val="0"/>
        <w:spacing w:before="120" w:after="120" w:line="360" w:lineRule="auto"/>
        <w:ind w:firstLine="660"/>
        <w:rPr>
          <w:rFonts w:hAnsi="宋体"/>
          <w:color w:val="auto"/>
          <w:sz w:val="24"/>
          <w:szCs w:val="24"/>
          <w:highlight w:val="none"/>
          <w:u w:val="single"/>
        </w:rPr>
      </w:pPr>
      <w:r>
        <w:rPr>
          <w:rFonts w:hint="eastAsia" w:hAnsi="宋体"/>
          <w:b/>
          <w:color w:val="auto"/>
          <w:sz w:val="24"/>
          <w:szCs w:val="24"/>
          <w:highlight w:val="none"/>
        </w:rPr>
        <w:t>五、产权担保</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5.1 </w:t>
      </w:r>
      <w:r>
        <w:rPr>
          <w:rFonts w:hint="eastAsia" w:hAnsi="宋体"/>
          <w:color w:val="auto"/>
          <w:sz w:val="24"/>
          <w:szCs w:val="24"/>
          <w:highlight w:val="none"/>
        </w:rPr>
        <w:t>乙方保证所交付的货物的所有权完全属于乙方且无任何抵押、查封等产权瑕疵。</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六、履约保证金</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6.1 </w:t>
      </w:r>
      <w:r>
        <w:rPr>
          <w:rFonts w:hint="eastAsia" w:hAnsi="宋体"/>
          <w:color w:val="auto"/>
          <w:sz w:val="24"/>
          <w:szCs w:val="24"/>
          <w:highlight w:val="none"/>
        </w:rPr>
        <w:t>乙方交纳人民币</w:t>
      </w:r>
      <w:r>
        <w:rPr>
          <w:rFonts w:hAnsi="宋体"/>
          <w:color w:val="auto"/>
          <w:sz w:val="24"/>
          <w:szCs w:val="24"/>
          <w:highlight w:val="none"/>
        </w:rPr>
        <w:t>_____</w:t>
      </w:r>
      <w:r>
        <w:rPr>
          <w:rFonts w:hint="eastAsia" w:hAnsi="宋体"/>
          <w:color w:val="auto"/>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color w:val="auto"/>
          <w:sz w:val="24"/>
          <w:highlight w:val="none"/>
        </w:rPr>
      </w:pPr>
      <w:r>
        <w:rPr>
          <w:rFonts w:hint="eastAsia" w:ascii="宋体" w:hAnsi="宋体" w:cs="Courier New"/>
          <w:b/>
          <w:color w:val="auto"/>
          <w:sz w:val="24"/>
          <w:highlight w:val="none"/>
        </w:rPr>
        <w:t>七</w:t>
      </w:r>
      <w:r>
        <w:rPr>
          <w:rFonts w:ascii="宋体" w:cs="Courier New"/>
          <w:b/>
          <w:color w:val="auto"/>
          <w:sz w:val="24"/>
          <w:highlight w:val="none"/>
        </w:rPr>
        <w:t>.</w:t>
      </w:r>
      <w:r>
        <w:rPr>
          <w:rFonts w:hint="eastAsia" w:ascii="宋体" w:hAnsi="宋体" w:cs="Courier New"/>
          <w:b/>
          <w:color w:val="auto"/>
          <w:sz w:val="24"/>
          <w:highlight w:val="none"/>
        </w:rPr>
        <w:t>转包或分包</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7.1</w:t>
      </w:r>
      <w:r>
        <w:rPr>
          <w:rFonts w:hint="eastAsia" w:hAnsi="宋体"/>
          <w:color w:val="auto"/>
          <w:sz w:val="24"/>
          <w:szCs w:val="24"/>
          <w:highlight w:val="none"/>
        </w:rPr>
        <w:t>本合同范围的货物，应由乙方直接供应，不得转让他人供应；</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7.2</w:t>
      </w:r>
      <w:r>
        <w:rPr>
          <w:rFonts w:hint="eastAsia" w:hAnsi="宋体"/>
          <w:color w:val="auto"/>
          <w:sz w:val="24"/>
          <w:szCs w:val="24"/>
          <w:highlight w:val="none"/>
        </w:rPr>
        <w:t>除非得到甲方的书面同意，乙方不得部分分包给他人供应。</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7.3</w:t>
      </w:r>
      <w:r>
        <w:rPr>
          <w:rFonts w:hint="eastAsia" w:hAnsi="宋体"/>
          <w:color w:val="auto"/>
          <w:sz w:val="24"/>
          <w:szCs w:val="24"/>
          <w:highlight w:val="none"/>
        </w:rPr>
        <w:t>如有转让和未经甲方同意的分包行为，甲方有权给予终止合同。</w:t>
      </w:r>
    </w:p>
    <w:p>
      <w:pPr>
        <w:pStyle w:val="10"/>
        <w:adjustRightInd w:val="0"/>
        <w:snapToGrid w:val="0"/>
        <w:spacing w:before="120" w:after="120" w:line="360" w:lineRule="auto"/>
        <w:ind w:firstLine="660"/>
        <w:rPr>
          <w:rFonts w:hAnsi="宋体"/>
          <w:color w:val="auto"/>
          <w:sz w:val="24"/>
          <w:szCs w:val="24"/>
          <w:highlight w:val="none"/>
        </w:rPr>
      </w:pPr>
      <w:r>
        <w:rPr>
          <w:rFonts w:hint="eastAsia" w:hAnsi="宋体"/>
          <w:b/>
          <w:color w:val="auto"/>
          <w:sz w:val="24"/>
          <w:szCs w:val="24"/>
          <w:highlight w:val="none"/>
        </w:rPr>
        <w:t>八、质保期</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8.1</w:t>
      </w:r>
      <w:r>
        <w:rPr>
          <w:rFonts w:hint="eastAsia" w:hAnsi="宋体"/>
          <w:color w:val="auto"/>
          <w:sz w:val="24"/>
          <w:szCs w:val="24"/>
          <w:highlight w:val="none"/>
        </w:rPr>
        <w:t>质保期1年。（自交货验收合格之日起计）</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九、交货期、交货方式及交货地点</w:t>
      </w:r>
    </w:p>
    <w:p>
      <w:pPr>
        <w:pStyle w:val="10"/>
        <w:adjustRightInd w:val="0"/>
        <w:snapToGrid w:val="0"/>
        <w:spacing w:before="120" w:after="120" w:line="360" w:lineRule="auto"/>
        <w:ind w:left="48" w:firstLine="658"/>
        <w:rPr>
          <w:rFonts w:hAnsi="宋体"/>
          <w:color w:val="auto"/>
          <w:sz w:val="24"/>
          <w:szCs w:val="24"/>
          <w:highlight w:val="none"/>
        </w:rPr>
      </w:pPr>
      <w:r>
        <w:rPr>
          <w:rFonts w:hint="eastAsia" w:hAnsi="宋体"/>
          <w:color w:val="auto"/>
          <w:sz w:val="24"/>
          <w:szCs w:val="24"/>
          <w:highlight w:val="none"/>
        </w:rPr>
        <w:t>9.1 交付时间：乙方应根据甲方的时间要求，制定模型设计方案并经甲方审定后，严格执行。 2022 年   月   日起乙方对模型进行工程施工，乙方必须在 2022 年   月    日前，在甲方指定地点模型总装及调试完毕，甲方对模型进行验收。</w:t>
      </w:r>
    </w:p>
    <w:p>
      <w:pPr>
        <w:pStyle w:val="10"/>
        <w:adjustRightInd w:val="0"/>
        <w:snapToGrid w:val="0"/>
        <w:spacing w:before="120" w:after="120" w:line="360" w:lineRule="auto"/>
        <w:ind w:left="48" w:firstLine="658"/>
        <w:rPr>
          <w:color w:val="auto"/>
          <w:sz w:val="24"/>
          <w:szCs w:val="24"/>
          <w:highlight w:val="none"/>
        </w:rPr>
      </w:pPr>
      <w:r>
        <w:rPr>
          <w:rFonts w:hAnsi="宋体"/>
          <w:color w:val="auto"/>
          <w:sz w:val="24"/>
          <w:szCs w:val="24"/>
          <w:highlight w:val="none"/>
        </w:rPr>
        <w:t xml:space="preserve">9.2 </w:t>
      </w:r>
      <w:r>
        <w:rPr>
          <w:rFonts w:hint="eastAsia" w:hAnsi="宋体"/>
          <w:color w:val="auto"/>
          <w:sz w:val="24"/>
          <w:szCs w:val="24"/>
          <w:highlight w:val="none"/>
        </w:rPr>
        <w:t>交货方式：</w:t>
      </w:r>
      <w:r>
        <w:rPr>
          <w:rFonts w:hint="eastAsia"/>
          <w:color w:val="auto"/>
          <w:sz w:val="24"/>
          <w:szCs w:val="24"/>
          <w:highlight w:val="none"/>
        </w:rPr>
        <w:t>安排专人免费送货上门，并搬运至指定位置。</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9.3 </w:t>
      </w:r>
      <w:r>
        <w:rPr>
          <w:rFonts w:hint="eastAsia" w:hAnsi="宋体"/>
          <w:color w:val="auto"/>
          <w:sz w:val="24"/>
          <w:szCs w:val="24"/>
          <w:highlight w:val="none"/>
        </w:rPr>
        <w:t>交货地点：按照甲方要求配送到指定位置。</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十、货款支付</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10.1</w:t>
      </w:r>
      <w:r>
        <w:rPr>
          <w:rFonts w:hint="eastAsia" w:hAnsi="宋体"/>
          <w:color w:val="auto"/>
          <w:sz w:val="24"/>
          <w:szCs w:val="24"/>
          <w:highlight w:val="none"/>
        </w:rPr>
        <w:t>付款方式：</w:t>
      </w:r>
    </w:p>
    <w:p>
      <w:pPr>
        <w:pStyle w:val="10"/>
        <w:adjustRightInd w:val="0"/>
        <w:snapToGrid w:val="0"/>
        <w:spacing w:before="120" w:after="120" w:line="360" w:lineRule="auto"/>
        <w:ind w:left="48" w:firstLine="658"/>
        <w:rPr>
          <w:rFonts w:hAnsi="宋体"/>
          <w:color w:val="auto"/>
          <w:sz w:val="24"/>
          <w:szCs w:val="24"/>
          <w:highlight w:val="none"/>
        </w:rPr>
      </w:pPr>
      <w:r>
        <w:rPr>
          <w:rFonts w:hint="eastAsia" w:hAnsi="宋体"/>
          <w:color w:val="auto"/>
          <w:sz w:val="24"/>
          <w:szCs w:val="24"/>
          <w:highlight w:val="none"/>
        </w:rPr>
        <w:t xml:space="preserve">（1）模型现场制作完成通过甲方验收后，甲方向乙方支付合同总价款的95 %， </w:t>
      </w:r>
    </w:p>
    <w:p>
      <w:pPr>
        <w:pStyle w:val="10"/>
        <w:adjustRightInd w:val="0"/>
        <w:snapToGrid w:val="0"/>
        <w:spacing w:before="120" w:after="120" w:line="360" w:lineRule="auto"/>
        <w:ind w:left="48" w:firstLine="658"/>
        <w:rPr>
          <w:rFonts w:hAnsi="宋体"/>
          <w:color w:val="auto"/>
          <w:sz w:val="24"/>
          <w:szCs w:val="24"/>
          <w:highlight w:val="none"/>
        </w:rPr>
      </w:pPr>
      <w:r>
        <w:rPr>
          <w:rFonts w:hint="eastAsia" w:hAnsi="宋体"/>
          <w:color w:val="auto"/>
          <w:sz w:val="24"/>
          <w:szCs w:val="24"/>
          <w:highlight w:val="none"/>
        </w:rPr>
        <w:t>（2）质保期满无任何质量问题后，剩余合同款一次性付清（不计息）。</w:t>
      </w:r>
    </w:p>
    <w:p>
      <w:pPr>
        <w:ind w:firstLine="723" w:firstLineChars="300"/>
        <w:rPr>
          <w:rFonts w:ascii="宋体"/>
          <w:b/>
          <w:color w:val="auto"/>
          <w:sz w:val="24"/>
          <w:highlight w:val="none"/>
        </w:rPr>
      </w:pPr>
      <w:r>
        <w:rPr>
          <w:rFonts w:hint="eastAsia" w:ascii="宋体" w:hAnsi="宋体"/>
          <w:b/>
          <w:color w:val="auto"/>
          <w:sz w:val="24"/>
          <w:highlight w:val="none"/>
        </w:rPr>
        <w:t>十一、税</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11.1</w:t>
      </w:r>
      <w:r>
        <w:rPr>
          <w:rFonts w:hint="eastAsia" w:hAnsi="宋体"/>
          <w:color w:val="auto"/>
          <w:sz w:val="24"/>
          <w:szCs w:val="24"/>
          <w:highlight w:val="none"/>
        </w:rPr>
        <w:t>发票要求：针对国内供货的货物，乙方开具合同全额“增值税专用发票”。</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11.2</w:t>
      </w:r>
      <w:r>
        <w:rPr>
          <w:rFonts w:hint="eastAsia" w:hAnsi="宋体"/>
          <w:color w:val="auto"/>
          <w:sz w:val="24"/>
          <w:szCs w:val="24"/>
          <w:highlight w:val="none"/>
        </w:rPr>
        <w:t>本合同执行中相关的一切税费均由乙方负担。</w:t>
      </w:r>
    </w:p>
    <w:p>
      <w:pPr>
        <w:pStyle w:val="10"/>
        <w:adjustRightInd w:val="0"/>
        <w:snapToGrid w:val="0"/>
        <w:spacing w:before="120" w:after="120" w:line="360" w:lineRule="auto"/>
        <w:ind w:left="1" w:firstLine="660"/>
        <w:rPr>
          <w:rFonts w:hAnsi="宋体"/>
          <w:color w:val="auto"/>
          <w:sz w:val="24"/>
          <w:szCs w:val="24"/>
          <w:highlight w:val="none"/>
        </w:rPr>
      </w:pPr>
      <w:r>
        <w:rPr>
          <w:rFonts w:hint="eastAsia" w:hAnsi="宋体"/>
          <w:b/>
          <w:color w:val="auto"/>
          <w:sz w:val="24"/>
          <w:szCs w:val="24"/>
          <w:highlight w:val="none"/>
        </w:rPr>
        <w:t>十二、质量保证及售后服务</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12.1 </w:t>
      </w:r>
      <w:r>
        <w:rPr>
          <w:rFonts w:hint="eastAsia" w:hAnsi="宋体"/>
          <w:color w:val="auto"/>
          <w:sz w:val="24"/>
          <w:szCs w:val="24"/>
          <w:highlight w:val="none"/>
        </w:rPr>
        <w:t>乙方应按采购文件规定的货物性能、技术要求、质量标准向甲方提供未经使用的全新产品。</w:t>
      </w:r>
    </w:p>
    <w:p>
      <w:pPr>
        <w:pStyle w:val="10"/>
        <w:adjustRightInd w:val="0"/>
        <w:snapToGrid w:val="0"/>
        <w:spacing w:before="120" w:after="120" w:line="360" w:lineRule="auto"/>
        <w:ind w:left="48" w:firstLine="658"/>
        <w:rPr>
          <w:rFonts w:hAnsi="宋体"/>
          <w:color w:val="auto"/>
          <w:sz w:val="24"/>
          <w:szCs w:val="24"/>
          <w:highlight w:val="none"/>
        </w:rPr>
      </w:pPr>
      <w:r>
        <w:rPr>
          <w:rFonts w:hAnsi="宋体"/>
          <w:color w:val="auto"/>
          <w:sz w:val="24"/>
          <w:szCs w:val="24"/>
          <w:highlight w:val="none"/>
        </w:rPr>
        <w:t xml:space="preserve">12.2 </w:t>
      </w:r>
      <w:r>
        <w:rPr>
          <w:rFonts w:hint="eastAsia" w:hAnsi="宋体"/>
          <w:color w:val="auto"/>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）更换：由乙方承担所发生的全部费用。</w:t>
      </w:r>
    </w:p>
    <w:p>
      <w:pPr>
        <w:adjustRightInd w:val="0"/>
        <w:snapToGrid w:val="0"/>
        <w:spacing w:line="360" w:lineRule="auto"/>
        <w:ind w:firstLine="360" w:firstLineChars="15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）贬值处理：由甲乙双方合议定价。</w:t>
      </w:r>
    </w:p>
    <w:p>
      <w:pPr>
        <w:adjustRightInd w:val="0"/>
        <w:snapToGrid w:val="0"/>
        <w:spacing w:line="360" w:lineRule="auto"/>
        <w:ind w:firstLine="360" w:firstLineChars="15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）退货处理：乙方应退还甲方支付的合同款，同时应承担该货物的直接费用（运输、保险、检验、货款利息及银行手续费等）。</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12.3 </w:t>
      </w:r>
      <w:r>
        <w:rPr>
          <w:rFonts w:hint="eastAsia" w:hAnsi="宋体"/>
          <w:color w:val="auto"/>
          <w:sz w:val="24"/>
          <w:szCs w:val="24"/>
          <w:highlight w:val="none"/>
        </w:rPr>
        <w:t>如在使用过程中发生质量问题，乙方在接到甲方通知后在小时内到达甲方现场。</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12.4 </w:t>
      </w:r>
      <w:r>
        <w:rPr>
          <w:rFonts w:hint="eastAsia" w:hAnsi="宋体"/>
          <w:color w:val="auto"/>
          <w:sz w:val="24"/>
          <w:szCs w:val="24"/>
          <w:highlight w:val="none"/>
        </w:rPr>
        <w:t>在质保期内，乙方应对货物出现的质量及安全问题负责处理解决并承担一切费用。</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12.5</w:t>
      </w:r>
      <w:r>
        <w:rPr>
          <w:rFonts w:hint="eastAsia" w:hAnsi="宋体"/>
          <w:color w:val="auto"/>
          <w:sz w:val="24"/>
          <w:szCs w:val="24"/>
          <w:highlight w:val="none"/>
        </w:rPr>
        <w:t>上述的货物免费保修期为</w:t>
      </w:r>
      <w:r>
        <w:rPr>
          <w:rFonts w:hint="eastAsia" w:hAnsi="宋体"/>
          <w:color w:val="auto"/>
          <w:sz w:val="24"/>
          <w:szCs w:val="24"/>
          <w:highlight w:val="none"/>
          <w:u w:val="single"/>
        </w:rPr>
        <w:t xml:space="preserve">  1 </w:t>
      </w:r>
      <w:r>
        <w:rPr>
          <w:rFonts w:hint="eastAsia" w:hAnsi="宋体"/>
          <w:color w:val="auto"/>
          <w:sz w:val="24"/>
          <w:szCs w:val="24"/>
          <w:highlight w:val="none"/>
        </w:rPr>
        <w:t>年，因人为因素出现的故障不在免费保修范围内。超过保修期的机器设备，终生维修，维修时只收部件成本费。</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十三、调试和验收</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13.1 </w:t>
      </w:r>
      <w:r>
        <w:rPr>
          <w:rFonts w:hint="eastAsia" w:hAnsi="宋体"/>
          <w:color w:val="auto"/>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13.2 </w:t>
      </w:r>
      <w:r>
        <w:rPr>
          <w:rFonts w:hint="eastAsia" w:hAnsi="宋体"/>
          <w:color w:val="auto"/>
          <w:sz w:val="24"/>
          <w:szCs w:val="24"/>
          <w:highlight w:val="none"/>
        </w:rPr>
        <w:t>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13.3 </w:t>
      </w:r>
      <w:r>
        <w:rPr>
          <w:rFonts w:hint="eastAsia" w:hAnsi="宋体"/>
          <w:color w:val="auto"/>
          <w:sz w:val="24"/>
          <w:szCs w:val="24"/>
          <w:highlight w:val="none"/>
        </w:rPr>
        <w:t>甲方对乙方提供的货物在使用前进行调试时，乙方需负责安装并培训甲方的使用操作人员，并协助甲方一起调试，直到符合技术要求，甲方才做最终验收。</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13.4 </w:t>
      </w:r>
      <w:r>
        <w:rPr>
          <w:rFonts w:hint="eastAsia" w:hAnsi="宋体"/>
          <w:color w:val="auto"/>
          <w:sz w:val="24"/>
          <w:szCs w:val="24"/>
          <w:highlight w:val="none"/>
        </w:rPr>
        <w:t>对技术复杂的货物，甲方可请国家认可的专业检测机构参与初步验收及最终验收，并由其出具质量检测报告。</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13.5 </w:t>
      </w:r>
      <w:r>
        <w:rPr>
          <w:rFonts w:hint="eastAsia" w:hAnsi="宋体"/>
          <w:color w:val="auto"/>
          <w:sz w:val="24"/>
          <w:szCs w:val="24"/>
          <w:highlight w:val="none"/>
        </w:rPr>
        <w:t>验收时乙方必须在现场，验收完毕后作出验收结果报告，验收报告须经甲方最终用户签字和部门盖章。</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十四、货物包装、发运及运输</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14.1 </w:t>
      </w:r>
      <w:r>
        <w:rPr>
          <w:rFonts w:hint="eastAsia" w:hAnsi="宋体"/>
          <w:color w:val="auto"/>
          <w:sz w:val="24"/>
          <w:szCs w:val="24"/>
          <w:highlight w:val="none"/>
        </w:rPr>
        <w:t>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14.2 </w:t>
      </w:r>
      <w:r>
        <w:rPr>
          <w:rFonts w:hint="eastAsia" w:hAnsi="宋体"/>
          <w:color w:val="auto"/>
          <w:sz w:val="24"/>
          <w:szCs w:val="24"/>
          <w:highlight w:val="none"/>
        </w:rPr>
        <w:t>使用说明书、质量检验证明书、随配附件和工具以及清单一并附于货物内。</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14.3 </w:t>
      </w:r>
      <w:r>
        <w:rPr>
          <w:rFonts w:hint="eastAsia" w:hAnsi="宋体"/>
          <w:color w:val="auto"/>
          <w:sz w:val="24"/>
          <w:szCs w:val="24"/>
          <w:highlight w:val="none"/>
        </w:rPr>
        <w:t>乙方在货物发运手续办理完毕后</w:t>
      </w:r>
      <w:r>
        <w:rPr>
          <w:rFonts w:hAnsi="宋体"/>
          <w:color w:val="auto"/>
          <w:sz w:val="24"/>
          <w:szCs w:val="24"/>
          <w:highlight w:val="none"/>
        </w:rPr>
        <w:t>24</w:t>
      </w:r>
      <w:r>
        <w:rPr>
          <w:rFonts w:hint="eastAsia" w:hAnsi="宋体"/>
          <w:color w:val="auto"/>
          <w:sz w:val="24"/>
          <w:szCs w:val="24"/>
          <w:highlight w:val="none"/>
        </w:rPr>
        <w:t>小时内或货到甲方</w:t>
      </w:r>
      <w:r>
        <w:rPr>
          <w:rFonts w:hAnsi="宋体"/>
          <w:color w:val="auto"/>
          <w:sz w:val="24"/>
          <w:szCs w:val="24"/>
          <w:highlight w:val="none"/>
        </w:rPr>
        <w:t>48</w:t>
      </w:r>
      <w:r>
        <w:rPr>
          <w:rFonts w:hint="eastAsia" w:hAnsi="宋体"/>
          <w:color w:val="auto"/>
          <w:sz w:val="24"/>
          <w:szCs w:val="24"/>
          <w:highlight w:val="none"/>
        </w:rPr>
        <w:t>小时前通知甲方，以准备接货。</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14.4 </w:t>
      </w:r>
      <w:r>
        <w:rPr>
          <w:rFonts w:hint="eastAsia" w:hAnsi="宋体"/>
          <w:color w:val="auto"/>
          <w:sz w:val="24"/>
          <w:szCs w:val="24"/>
          <w:highlight w:val="none"/>
        </w:rPr>
        <w:t>货物在交付甲方前发生的风险均由乙方负责。</w:t>
      </w:r>
    </w:p>
    <w:p>
      <w:pPr>
        <w:pStyle w:val="10"/>
        <w:adjustRightInd w:val="0"/>
        <w:snapToGrid w:val="0"/>
        <w:spacing w:before="120" w:after="120" w:line="360" w:lineRule="auto"/>
        <w:ind w:left="1" w:firstLine="566"/>
        <w:rPr>
          <w:rFonts w:hAnsi="宋体"/>
          <w:color w:val="auto"/>
          <w:sz w:val="24"/>
          <w:szCs w:val="24"/>
          <w:highlight w:val="none"/>
        </w:rPr>
      </w:pPr>
      <w:r>
        <w:rPr>
          <w:rFonts w:hAnsi="宋体"/>
          <w:color w:val="auto"/>
          <w:sz w:val="24"/>
          <w:szCs w:val="24"/>
          <w:highlight w:val="none"/>
        </w:rPr>
        <w:t xml:space="preserve">14.5 </w:t>
      </w:r>
      <w:r>
        <w:rPr>
          <w:rFonts w:hint="eastAsia" w:hAnsi="宋体"/>
          <w:color w:val="auto"/>
          <w:sz w:val="24"/>
          <w:szCs w:val="24"/>
          <w:highlight w:val="none"/>
        </w:rPr>
        <w:t>货物在规定的交付期限内由乙方送达甲方指定的地点并经甲方验收合格视为交付，乙方同时需通知甲方货物已送达。</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十五、违约责任</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15.1</w:t>
      </w:r>
      <w:r>
        <w:rPr>
          <w:rFonts w:hint="eastAsia" w:hAnsi="宋体"/>
          <w:color w:val="auto"/>
          <w:sz w:val="24"/>
          <w:szCs w:val="24"/>
          <w:highlight w:val="none"/>
        </w:rPr>
        <w:t>乙方逾期交付货物的，乙方应按逾期交货总额每日千分之六向甲方支付违约金，由甲方从待付货款中扣除。逾期超过约定日期</w:t>
      </w:r>
      <w:r>
        <w:rPr>
          <w:rFonts w:hAnsi="宋体"/>
          <w:color w:val="auto"/>
          <w:sz w:val="24"/>
          <w:szCs w:val="24"/>
          <w:highlight w:val="none"/>
        </w:rPr>
        <w:t>10</w:t>
      </w:r>
      <w:r>
        <w:rPr>
          <w:rFonts w:hint="eastAsia" w:hAnsi="宋体"/>
          <w:color w:val="auto"/>
          <w:sz w:val="24"/>
          <w:szCs w:val="24"/>
          <w:highlight w:val="none"/>
        </w:rPr>
        <w:t>个工作日不能交货的，甲方可解除本合同。乙方因逾期交货或因其他违约行为导致甲方解除合同的，乙方应向甲方支付合同总值</w:t>
      </w:r>
      <w:r>
        <w:rPr>
          <w:rFonts w:hAnsi="宋体"/>
          <w:color w:val="auto"/>
          <w:sz w:val="24"/>
          <w:szCs w:val="24"/>
          <w:highlight w:val="none"/>
        </w:rPr>
        <w:t>5%</w:t>
      </w:r>
      <w:r>
        <w:rPr>
          <w:rFonts w:hint="eastAsia" w:hAnsi="宋体"/>
          <w:color w:val="auto"/>
          <w:sz w:val="24"/>
          <w:szCs w:val="24"/>
          <w:highlight w:val="none"/>
        </w:rPr>
        <w:t>的违约金，如造成甲方损失超过违约金的，超出部分由乙方继续承担赔偿责任。</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15.2</w:t>
      </w:r>
      <w:r>
        <w:rPr>
          <w:rFonts w:hint="eastAsia" w:hAnsi="宋体"/>
          <w:color w:val="auto"/>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十六、廉政条款</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16.1</w:t>
      </w:r>
      <w:r>
        <w:rPr>
          <w:rFonts w:hint="eastAsia" w:hAnsi="宋体"/>
          <w:color w:val="auto"/>
          <w:sz w:val="24"/>
          <w:szCs w:val="24"/>
          <w:highlight w:val="none"/>
        </w:rPr>
        <w:t>乙方必须支持甲方的廉政建设，不得向甲方相关人员提供金钱和物质上的好处，一经发现处以合同金额</w:t>
      </w:r>
      <w:r>
        <w:rPr>
          <w:rFonts w:hAnsi="宋体"/>
          <w:color w:val="auto"/>
          <w:sz w:val="24"/>
          <w:szCs w:val="24"/>
          <w:highlight w:val="none"/>
        </w:rPr>
        <w:t>20%</w:t>
      </w:r>
      <w:r>
        <w:rPr>
          <w:rFonts w:hint="eastAsia" w:hAnsi="宋体"/>
          <w:color w:val="auto"/>
          <w:sz w:val="24"/>
          <w:szCs w:val="24"/>
          <w:highlight w:val="none"/>
        </w:rPr>
        <w:t>的罚款。</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十七、不可抗力事件处理</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 xml:space="preserve">17.1 </w:t>
      </w:r>
      <w:r>
        <w:rPr>
          <w:rFonts w:hint="eastAsia" w:hAnsi="宋体"/>
          <w:color w:val="auto"/>
          <w:sz w:val="24"/>
          <w:szCs w:val="24"/>
          <w:highlight w:val="none"/>
        </w:rPr>
        <w:t>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 xml:space="preserve">17.2 </w:t>
      </w:r>
      <w:r>
        <w:rPr>
          <w:rFonts w:hint="eastAsia" w:hAnsi="宋体"/>
          <w:color w:val="auto"/>
          <w:sz w:val="24"/>
          <w:szCs w:val="24"/>
          <w:highlight w:val="none"/>
        </w:rPr>
        <w:t>不可抗力事件发生后，应立即通知对方，并寄送有关权威机构出具的证明。</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 xml:space="preserve">17.3 </w:t>
      </w:r>
      <w:r>
        <w:rPr>
          <w:rFonts w:hint="eastAsia" w:hAnsi="宋体"/>
          <w:color w:val="auto"/>
          <w:sz w:val="24"/>
          <w:szCs w:val="24"/>
          <w:highlight w:val="none"/>
        </w:rPr>
        <w:t>不可抗力事件延续</w:t>
      </w:r>
      <w:r>
        <w:rPr>
          <w:rFonts w:hAnsi="宋体"/>
          <w:color w:val="auto"/>
          <w:sz w:val="24"/>
          <w:szCs w:val="24"/>
          <w:highlight w:val="none"/>
        </w:rPr>
        <w:t>30</w:t>
      </w:r>
      <w:r>
        <w:rPr>
          <w:rFonts w:hint="eastAsia" w:hAnsi="宋体"/>
          <w:color w:val="auto"/>
          <w:sz w:val="24"/>
          <w:szCs w:val="24"/>
          <w:highlight w:val="none"/>
        </w:rPr>
        <w:t>天以上，双方应通过友好协商，确定是否继续履行合同。</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十八、诉讼</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 xml:space="preserve">18.1 </w:t>
      </w:r>
      <w:r>
        <w:rPr>
          <w:rFonts w:hint="eastAsia" w:hAnsi="宋体"/>
          <w:color w:val="auto"/>
          <w:sz w:val="24"/>
          <w:szCs w:val="24"/>
          <w:highlight w:val="none"/>
        </w:rPr>
        <w:t>双方在执行合同中所发生的一切争议，应通过协商解决。如协商不成，可向合同签订地法院起诉，合同签订地在此约定为南京市。</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十九、合同文件的优先顺序</w:t>
      </w:r>
      <w:r>
        <w:rPr>
          <w:rFonts w:hint="eastAsia" w:hAnsi="宋体"/>
          <w:color w:val="auto"/>
          <w:sz w:val="24"/>
          <w:szCs w:val="24"/>
          <w:highlight w:val="none"/>
        </w:rPr>
        <w:t xml:space="preserve">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 xml:space="preserve">组成合同的各项文件应互相解释，互为说明。除专用合同条款另有约定外，解释合同文件的优先顺序如下：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 xml:space="preserve">（1）合同协议书；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（2）中标通知书；</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（3）招标文件；</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（4）投标函及其附录（如果有）；</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（5）专用合同条款及其附件；</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 xml:space="preserve">（6）通用合同条款； </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（7）技术标准和要求；</w:t>
      </w:r>
    </w:p>
    <w:p>
      <w:pPr>
        <w:pStyle w:val="10"/>
        <w:adjustRightInd w:val="0"/>
        <w:snapToGrid w:val="0"/>
        <w:spacing w:before="120" w:after="120" w:line="360" w:lineRule="auto"/>
        <w:ind w:left="1" w:firstLine="658"/>
        <w:rPr>
          <w:rFonts w:hAnsi="宋体"/>
          <w:color w:val="auto"/>
          <w:sz w:val="24"/>
          <w:szCs w:val="24"/>
          <w:highlight w:val="none"/>
        </w:rPr>
      </w:pPr>
      <w:r>
        <w:rPr>
          <w:rFonts w:hint="eastAsia" w:hAnsi="宋体"/>
          <w:color w:val="auto"/>
          <w:sz w:val="24"/>
          <w:szCs w:val="24"/>
          <w:highlight w:val="none"/>
        </w:rPr>
        <w:t>（8）其他合同文件。</w:t>
      </w:r>
    </w:p>
    <w:p>
      <w:pPr>
        <w:pStyle w:val="10"/>
        <w:adjustRightInd w:val="0"/>
        <w:snapToGrid w:val="0"/>
        <w:spacing w:before="120" w:after="120" w:line="360" w:lineRule="auto"/>
        <w:ind w:firstLine="660"/>
        <w:rPr>
          <w:rFonts w:hAnsi="宋体"/>
          <w:b/>
          <w:color w:val="auto"/>
          <w:sz w:val="24"/>
          <w:szCs w:val="24"/>
          <w:highlight w:val="none"/>
        </w:rPr>
      </w:pPr>
      <w:r>
        <w:rPr>
          <w:rFonts w:hint="eastAsia" w:hAnsi="宋体"/>
          <w:b/>
          <w:color w:val="auto"/>
          <w:sz w:val="24"/>
          <w:szCs w:val="24"/>
          <w:highlight w:val="none"/>
        </w:rPr>
        <w:t>二十、合同生效及其它</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 xml:space="preserve">19.1 </w:t>
      </w:r>
      <w:r>
        <w:rPr>
          <w:rFonts w:hint="eastAsia" w:hAnsi="宋体"/>
          <w:color w:val="auto"/>
          <w:sz w:val="24"/>
          <w:szCs w:val="24"/>
          <w:highlight w:val="none"/>
        </w:rPr>
        <w:t>合同经双方法定代表人或授权委托代表人签字并加盖单位公章后生效。</w:t>
      </w:r>
    </w:p>
    <w:p>
      <w:pPr>
        <w:pStyle w:val="10"/>
        <w:adjustRightInd w:val="0"/>
        <w:snapToGrid w:val="0"/>
        <w:spacing w:before="120" w:after="120" w:line="360" w:lineRule="auto"/>
        <w:ind w:firstLine="658"/>
        <w:rPr>
          <w:rFonts w:hAnsi="宋体"/>
          <w:color w:val="auto"/>
          <w:sz w:val="24"/>
          <w:szCs w:val="24"/>
          <w:highlight w:val="none"/>
        </w:rPr>
      </w:pPr>
      <w:r>
        <w:rPr>
          <w:rFonts w:hAnsi="宋体"/>
          <w:color w:val="auto"/>
          <w:sz w:val="24"/>
          <w:szCs w:val="24"/>
          <w:highlight w:val="none"/>
        </w:rPr>
        <w:t>19.2</w:t>
      </w:r>
      <w:r>
        <w:rPr>
          <w:rFonts w:hint="eastAsia" w:hAnsi="宋体"/>
          <w:color w:val="auto"/>
          <w:sz w:val="24"/>
          <w:szCs w:val="24"/>
          <w:highlight w:val="none"/>
        </w:rPr>
        <w:t>本合同未尽事宜，遵照《民法典》有关条文执行。</w:t>
      </w:r>
    </w:p>
    <w:p>
      <w:pPr>
        <w:pStyle w:val="10"/>
        <w:adjustRightInd w:val="0"/>
        <w:snapToGrid w:val="0"/>
        <w:spacing w:before="120" w:after="120" w:line="360" w:lineRule="auto"/>
        <w:ind w:left="1" w:firstLine="658"/>
        <w:rPr>
          <w:rFonts w:hAnsi="宋体"/>
          <w:color w:val="auto"/>
          <w:sz w:val="24"/>
          <w:szCs w:val="24"/>
          <w:highlight w:val="none"/>
        </w:rPr>
      </w:pPr>
      <w:r>
        <w:rPr>
          <w:rFonts w:hAnsi="宋体"/>
          <w:color w:val="auto"/>
          <w:sz w:val="24"/>
          <w:szCs w:val="24"/>
          <w:highlight w:val="none"/>
        </w:rPr>
        <w:t xml:space="preserve">19.3 </w:t>
      </w:r>
      <w:r>
        <w:rPr>
          <w:rFonts w:hint="eastAsia" w:hAnsi="宋体"/>
          <w:color w:val="auto"/>
          <w:sz w:val="24"/>
          <w:szCs w:val="24"/>
          <w:highlight w:val="none"/>
        </w:rPr>
        <w:t>本合同正本一式四份，具有同等法律效力，甲方、乙方各执两份。</w:t>
      </w:r>
    </w:p>
    <w:p>
      <w:pPr>
        <w:pStyle w:val="10"/>
        <w:adjustRightInd w:val="0"/>
        <w:snapToGrid w:val="0"/>
        <w:spacing w:before="120" w:after="120" w:line="360" w:lineRule="auto"/>
        <w:ind w:left="420" w:leftChars="200" w:firstLine="240" w:firstLineChars="100"/>
        <w:rPr>
          <w:rFonts w:hAnsi="宋体"/>
          <w:color w:val="auto"/>
          <w:sz w:val="24"/>
          <w:szCs w:val="24"/>
          <w:highlight w:val="none"/>
        </w:rPr>
      </w:pPr>
      <w:r>
        <w:rPr>
          <w:rFonts w:hint="eastAsia" w:hAnsi="宋体"/>
          <w:color w:val="auto"/>
          <w:sz w:val="24"/>
          <w:szCs w:val="24"/>
          <w:highlight w:val="none"/>
        </w:rPr>
        <w:t>甲方：乙方：</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地址：地址：</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法定代表人或授权代表：</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项目负责人</w:t>
      </w:r>
      <w:r>
        <w:rPr>
          <w:rFonts w:hAnsi="宋体"/>
          <w:color w:val="auto"/>
          <w:sz w:val="24"/>
          <w:szCs w:val="24"/>
          <w:highlight w:val="none"/>
        </w:rPr>
        <w:t xml:space="preserve">:                              </w:t>
      </w:r>
      <w:r>
        <w:rPr>
          <w:rFonts w:hint="eastAsia" w:hAnsi="宋体"/>
          <w:color w:val="auto"/>
          <w:sz w:val="24"/>
          <w:szCs w:val="24"/>
          <w:highlight w:val="none"/>
        </w:rPr>
        <w:t>法定代表人或授权代表：</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项目联系人</w:t>
      </w:r>
      <w:r>
        <w:rPr>
          <w:rFonts w:hAnsi="宋体"/>
          <w:color w:val="auto"/>
          <w:sz w:val="24"/>
          <w:szCs w:val="24"/>
          <w:highlight w:val="none"/>
        </w:rPr>
        <w:t>:</w:t>
      </w:r>
    </w:p>
    <w:p>
      <w:pPr>
        <w:pStyle w:val="10"/>
        <w:adjustRightInd w:val="0"/>
        <w:snapToGrid w:val="0"/>
        <w:spacing w:before="120" w:after="120" w:line="360" w:lineRule="auto"/>
        <w:ind w:firstLine="658"/>
        <w:rPr>
          <w:rFonts w:hAnsi="宋体"/>
          <w:color w:val="auto"/>
          <w:sz w:val="24"/>
          <w:szCs w:val="24"/>
          <w:highlight w:val="none"/>
        </w:rPr>
      </w:pPr>
      <w:r>
        <w:rPr>
          <w:rFonts w:hint="eastAsia" w:hAnsi="宋体"/>
          <w:color w:val="auto"/>
          <w:sz w:val="24"/>
          <w:szCs w:val="24"/>
          <w:highlight w:val="none"/>
        </w:rPr>
        <w:t>联系电话：联系电话：</w:t>
      </w:r>
    </w:p>
    <w:p>
      <w:pPr>
        <w:pStyle w:val="10"/>
        <w:adjustRightInd w:val="0"/>
        <w:snapToGrid w:val="0"/>
        <w:spacing w:before="120" w:after="120" w:line="360" w:lineRule="auto"/>
        <w:ind w:firstLine="767"/>
        <w:rPr>
          <w:rFonts w:cs="仿宋"/>
          <w:color w:val="auto"/>
          <w:sz w:val="24"/>
          <w:highlight w:val="none"/>
        </w:rPr>
      </w:pPr>
      <w:r>
        <w:rPr>
          <w:rFonts w:hint="eastAsia"/>
          <w:color w:val="auto"/>
          <w:sz w:val="28"/>
          <w:szCs w:val="28"/>
          <w:highlight w:val="none"/>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Segoe Print"/>
    <w:panose1 w:val="00000000000000000000"/>
    <w:charset w:val="00"/>
    <w:family w:val="swiss"/>
    <w:pitch w:val="default"/>
    <w:sig w:usb0="00000000" w:usb1="00000000" w:usb2="00000028" w:usb3="00000000" w:csb0="0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lang w:val="en-US" w:eastAsia="zh-CN"/>
      </w:rPr>
      <w:t>3</w:t>
    </w:r>
    <w:r>
      <w:rPr>
        <w:rFonts w:hint="eastAsia" w:ascii="宋体" w:hAnsi="宋体" w:cs="宋体"/>
        <w:b/>
        <w:bCs/>
        <w:kern w:val="0"/>
        <w:sz w:val="15"/>
        <w:szCs w:val="15"/>
      </w:rPr>
      <w:t>年招标文件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43C5"/>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58F2"/>
    <w:rsid w:val="001D7657"/>
    <w:rsid w:val="001D76D4"/>
    <w:rsid w:val="001E056B"/>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2AF7"/>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108"/>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83B"/>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13C"/>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038"/>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B554C"/>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3751"/>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A4D"/>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16D2"/>
    <w:rsid w:val="00732152"/>
    <w:rsid w:val="00733E6E"/>
    <w:rsid w:val="007344A9"/>
    <w:rsid w:val="00734575"/>
    <w:rsid w:val="00735CFC"/>
    <w:rsid w:val="00735D71"/>
    <w:rsid w:val="00736148"/>
    <w:rsid w:val="00736A76"/>
    <w:rsid w:val="00736B32"/>
    <w:rsid w:val="007401E7"/>
    <w:rsid w:val="00743156"/>
    <w:rsid w:val="00743564"/>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A2F"/>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07"/>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29A9"/>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65E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3D65"/>
    <w:rsid w:val="009243AC"/>
    <w:rsid w:val="0092721C"/>
    <w:rsid w:val="009302BC"/>
    <w:rsid w:val="009302E2"/>
    <w:rsid w:val="009305D2"/>
    <w:rsid w:val="00930F17"/>
    <w:rsid w:val="00932637"/>
    <w:rsid w:val="00934021"/>
    <w:rsid w:val="00934830"/>
    <w:rsid w:val="00935252"/>
    <w:rsid w:val="00935CDC"/>
    <w:rsid w:val="00936E3B"/>
    <w:rsid w:val="0093715C"/>
    <w:rsid w:val="00937BBD"/>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146A"/>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3D13"/>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D7EEC"/>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5D4D"/>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B616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CF6C78"/>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0E5"/>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764AA"/>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62C"/>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1243"/>
    <w:rsid w:val="00EF22DD"/>
    <w:rsid w:val="00EF62FC"/>
    <w:rsid w:val="00EF7252"/>
    <w:rsid w:val="00F00EF4"/>
    <w:rsid w:val="00F021F4"/>
    <w:rsid w:val="00F02FB9"/>
    <w:rsid w:val="00F0301E"/>
    <w:rsid w:val="00F037D9"/>
    <w:rsid w:val="00F06DB3"/>
    <w:rsid w:val="00F07799"/>
    <w:rsid w:val="00F078B8"/>
    <w:rsid w:val="00F1100E"/>
    <w:rsid w:val="00F115D6"/>
    <w:rsid w:val="00F1287A"/>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1607"/>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0FF3E96"/>
    <w:rsid w:val="018204A8"/>
    <w:rsid w:val="0323443A"/>
    <w:rsid w:val="036159EE"/>
    <w:rsid w:val="03DF364B"/>
    <w:rsid w:val="04926F71"/>
    <w:rsid w:val="05B517B2"/>
    <w:rsid w:val="0666393D"/>
    <w:rsid w:val="06CC4290"/>
    <w:rsid w:val="070E7A21"/>
    <w:rsid w:val="076A079F"/>
    <w:rsid w:val="078D73D6"/>
    <w:rsid w:val="07D33D16"/>
    <w:rsid w:val="07D505B7"/>
    <w:rsid w:val="09637941"/>
    <w:rsid w:val="09D122E9"/>
    <w:rsid w:val="09F23E40"/>
    <w:rsid w:val="0AEB2E9F"/>
    <w:rsid w:val="0B675B31"/>
    <w:rsid w:val="0BDF51D7"/>
    <w:rsid w:val="0C3615C8"/>
    <w:rsid w:val="0C4861BD"/>
    <w:rsid w:val="0C7E7AA1"/>
    <w:rsid w:val="0CFE3A2E"/>
    <w:rsid w:val="0D0F05D3"/>
    <w:rsid w:val="0D5C668E"/>
    <w:rsid w:val="0D873213"/>
    <w:rsid w:val="0D8D59F2"/>
    <w:rsid w:val="0D9425DE"/>
    <w:rsid w:val="0D99361C"/>
    <w:rsid w:val="107D340A"/>
    <w:rsid w:val="10EB4170"/>
    <w:rsid w:val="10F05838"/>
    <w:rsid w:val="113C24CA"/>
    <w:rsid w:val="119D0D41"/>
    <w:rsid w:val="11D57EAE"/>
    <w:rsid w:val="12162C3B"/>
    <w:rsid w:val="130F1D58"/>
    <w:rsid w:val="145263CB"/>
    <w:rsid w:val="146723C1"/>
    <w:rsid w:val="14896182"/>
    <w:rsid w:val="14F0793F"/>
    <w:rsid w:val="155010AB"/>
    <w:rsid w:val="15572C10"/>
    <w:rsid w:val="15737A45"/>
    <w:rsid w:val="1584594C"/>
    <w:rsid w:val="15907301"/>
    <w:rsid w:val="15A069B5"/>
    <w:rsid w:val="15A90346"/>
    <w:rsid w:val="15B24E31"/>
    <w:rsid w:val="16AA09BD"/>
    <w:rsid w:val="17652C65"/>
    <w:rsid w:val="17833DE3"/>
    <w:rsid w:val="19775424"/>
    <w:rsid w:val="1A241EC0"/>
    <w:rsid w:val="1A565416"/>
    <w:rsid w:val="1AE96A89"/>
    <w:rsid w:val="1B7E7DF7"/>
    <w:rsid w:val="1C121D57"/>
    <w:rsid w:val="1C1756F5"/>
    <w:rsid w:val="1C4A137C"/>
    <w:rsid w:val="1C57656B"/>
    <w:rsid w:val="1C8F1DE9"/>
    <w:rsid w:val="1DA871CA"/>
    <w:rsid w:val="1EA20A62"/>
    <w:rsid w:val="1F11313D"/>
    <w:rsid w:val="1F956998"/>
    <w:rsid w:val="1FA31BDA"/>
    <w:rsid w:val="20DC5C02"/>
    <w:rsid w:val="20DE7ECC"/>
    <w:rsid w:val="20FE711F"/>
    <w:rsid w:val="2121386E"/>
    <w:rsid w:val="21241474"/>
    <w:rsid w:val="21A70E96"/>
    <w:rsid w:val="225E4DAF"/>
    <w:rsid w:val="22891E2D"/>
    <w:rsid w:val="22A743B8"/>
    <w:rsid w:val="22D33607"/>
    <w:rsid w:val="23FD2509"/>
    <w:rsid w:val="243943F8"/>
    <w:rsid w:val="24E05430"/>
    <w:rsid w:val="25CA29E7"/>
    <w:rsid w:val="267A7579"/>
    <w:rsid w:val="272231F7"/>
    <w:rsid w:val="27961F1E"/>
    <w:rsid w:val="27AD7C03"/>
    <w:rsid w:val="28C46277"/>
    <w:rsid w:val="29062B05"/>
    <w:rsid w:val="29127A38"/>
    <w:rsid w:val="29B9620C"/>
    <w:rsid w:val="2A5433FA"/>
    <w:rsid w:val="2AA66A22"/>
    <w:rsid w:val="2AAA7342"/>
    <w:rsid w:val="2AB43BC5"/>
    <w:rsid w:val="2B243F83"/>
    <w:rsid w:val="2B556F15"/>
    <w:rsid w:val="2B7F4BC3"/>
    <w:rsid w:val="2CE81BAF"/>
    <w:rsid w:val="2D3C187A"/>
    <w:rsid w:val="2DAC05D8"/>
    <w:rsid w:val="2DE728EA"/>
    <w:rsid w:val="2E726843"/>
    <w:rsid w:val="2EC078ED"/>
    <w:rsid w:val="2EDC02FF"/>
    <w:rsid w:val="2EE87C86"/>
    <w:rsid w:val="2EEC5388"/>
    <w:rsid w:val="3073392F"/>
    <w:rsid w:val="307621D0"/>
    <w:rsid w:val="3172033E"/>
    <w:rsid w:val="3227588C"/>
    <w:rsid w:val="325F6558"/>
    <w:rsid w:val="327B2543"/>
    <w:rsid w:val="331653E5"/>
    <w:rsid w:val="341C30A3"/>
    <w:rsid w:val="351529A9"/>
    <w:rsid w:val="35396A06"/>
    <w:rsid w:val="355A74E9"/>
    <w:rsid w:val="35FD1F7A"/>
    <w:rsid w:val="36616918"/>
    <w:rsid w:val="366D672C"/>
    <w:rsid w:val="3676129B"/>
    <w:rsid w:val="36E3150F"/>
    <w:rsid w:val="38310C0D"/>
    <w:rsid w:val="3836614A"/>
    <w:rsid w:val="384A4707"/>
    <w:rsid w:val="385D644E"/>
    <w:rsid w:val="38F33167"/>
    <w:rsid w:val="39861ED8"/>
    <w:rsid w:val="39C83C69"/>
    <w:rsid w:val="39CE5E1D"/>
    <w:rsid w:val="3A9701E9"/>
    <w:rsid w:val="3B4244C5"/>
    <w:rsid w:val="3BD53EDD"/>
    <w:rsid w:val="3BFD5007"/>
    <w:rsid w:val="3C003247"/>
    <w:rsid w:val="3C8E6F2D"/>
    <w:rsid w:val="3D29758D"/>
    <w:rsid w:val="3D6145DC"/>
    <w:rsid w:val="3E495BEB"/>
    <w:rsid w:val="3E5E0082"/>
    <w:rsid w:val="3EDB4EA4"/>
    <w:rsid w:val="3F163732"/>
    <w:rsid w:val="3F9F3463"/>
    <w:rsid w:val="3FC31914"/>
    <w:rsid w:val="405D6728"/>
    <w:rsid w:val="40FD6FDA"/>
    <w:rsid w:val="41110191"/>
    <w:rsid w:val="414A37BB"/>
    <w:rsid w:val="416C1B7B"/>
    <w:rsid w:val="41B45A04"/>
    <w:rsid w:val="42643A73"/>
    <w:rsid w:val="42AA1012"/>
    <w:rsid w:val="439F6D58"/>
    <w:rsid w:val="43FB66E3"/>
    <w:rsid w:val="44842A36"/>
    <w:rsid w:val="44A458E2"/>
    <w:rsid w:val="44DC7F4B"/>
    <w:rsid w:val="45651876"/>
    <w:rsid w:val="45CC523B"/>
    <w:rsid w:val="466F6CEB"/>
    <w:rsid w:val="46AA377D"/>
    <w:rsid w:val="46BB7930"/>
    <w:rsid w:val="49363676"/>
    <w:rsid w:val="49713AA7"/>
    <w:rsid w:val="499A2688"/>
    <w:rsid w:val="49D47D5A"/>
    <w:rsid w:val="49F62026"/>
    <w:rsid w:val="4A4B48E3"/>
    <w:rsid w:val="4B1A7369"/>
    <w:rsid w:val="4B5137BF"/>
    <w:rsid w:val="4C2C6922"/>
    <w:rsid w:val="4D4D6AF7"/>
    <w:rsid w:val="4D774E55"/>
    <w:rsid w:val="4D7B6445"/>
    <w:rsid w:val="4DA86B45"/>
    <w:rsid w:val="4DD06B99"/>
    <w:rsid w:val="4E3720DD"/>
    <w:rsid w:val="4F2320A5"/>
    <w:rsid w:val="4F510F39"/>
    <w:rsid w:val="4F5A0990"/>
    <w:rsid w:val="4FAF38AA"/>
    <w:rsid w:val="503D78E7"/>
    <w:rsid w:val="50630D8E"/>
    <w:rsid w:val="51286055"/>
    <w:rsid w:val="51497070"/>
    <w:rsid w:val="51536D04"/>
    <w:rsid w:val="51E025FE"/>
    <w:rsid w:val="52922F88"/>
    <w:rsid w:val="52AA4A52"/>
    <w:rsid w:val="52FD675A"/>
    <w:rsid w:val="532B7AD5"/>
    <w:rsid w:val="53D80FA7"/>
    <w:rsid w:val="542D758B"/>
    <w:rsid w:val="5448002A"/>
    <w:rsid w:val="5473349C"/>
    <w:rsid w:val="549E05E7"/>
    <w:rsid w:val="54A3797A"/>
    <w:rsid w:val="54B6223B"/>
    <w:rsid w:val="54E15A0F"/>
    <w:rsid w:val="55344B23"/>
    <w:rsid w:val="56732DC5"/>
    <w:rsid w:val="56C21B98"/>
    <w:rsid w:val="57360F05"/>
    <w:rsid w:val="5804270C"/>
    <w:rsid w:val="581F495D"/>
    <w:rsid w:val="58484116"/>
    <w:rsid w:val="58DA78C0"/>
    <w:rsid w:val="58E017CC"/>
    <w:rsid w:val="59F73FC6"/>
    <w:rsid w:val="5A770570"/>
    <w:rsid w:val="5AC859BF"/>
    <w:rsid w:val="5B4C17F1"/>
    <w:rsid w:val="5B9F7FBE"/>
    <w:rsid w:val="5C0F2072"/>
    <w:rsid w:val="5CFC1D50"/>
    <w:rsid w:val="5D4F0A1F"/>
    <w:rsid w:val="5E6C25B6"/>
    <w:rsid w:val="5E84123F"/>
    <w:rsid w:val="5F0028BB"/>
    <w:rsid w:val="5F2528F6"/>
    <w:rsid w:val="5F9764C2"/>
    <w:rsid w:val="603300A7"/>
    <w:rsid w:val="607E0927"/>
    <w:rsid w:val="60D968DA"/>
    <w:rsid w:val="60F41422"/>
    <w:rsid w:val="619D5BCC"/>
    <w:rsid w:val="62107539"/>
    <w:rsid w:val="6233128F"/>
    <w:rsid w:val="62635DDC"/>
    <w:rsid w:val="62F71652"/>
    <w:rsid w:val="62FE3555"/>
    <w:rsid w:val="63D7368B"/>
    <w:rsid w:val="63EA24F1"/>
    <w:rsid w:val="657A0549"/>
    <w:rsid w:val="665A104A"/>
    <w:rsid w:val="66ED444E"/>
    <w:rsid w:val="67484273"/>
    <w:rsid w:val="67883798"/>
    <w:rsid w:val="68A603CF"/>
    <w:rsid w:val="69362162"/>
    <w:rsid w:val="69D32689"/>
    <w:rsid w:val="69E27B06"/>
    <w:rsid w:val="69EA623B"/>
    <w:rsid w:val="6A0F3694"/>
    <w:rsid w:val="6A5445FC"/>
    <w:rsid w:val="6A5C1E75"/>
    <w:rsid w:val="6AB76CFB"/>
    <w:rsid w:val="6ABA08C1"/>
    <w:rsid w:val="6B5B46E4"/>
    <w:rsid w:val="6BBD714D"/>
    <w:rsid w:val="6BC1702A"/>
    <w:rsid w:val="6C282248"/>
    <w:rsid w:val="6CA07FE2"/>
    <w:rsid w:val="6CBD55AC"/>
    <w:rsid w:val="6CC149BE"/>
    <w:rsid w:val="6DE636A7"/>
    <w:rsid w:val="6DE86594"/>
    <w:rsid w:val="6E5C2511"/>
    <w:rsid w:val="708C6892"/>
    <w:rsid w:val="70CF5460"/>
    <w:rsid w:val="718764FD"/>
    <w:rsid w:val="725831A5"/>
    <w:rsid w:val="732C6966"/>
    <w:rsid w:val="73607DE9"/>
    <w:rsid w:val="73711235"/>
    <w:rsid w:val="73F74CCC"/>
    <w:rsid w:val="74A47C6A"/>
    <w:rsid w:val="753E278B"/>
    <w:rsid w:val="75BE6EB5"/>
    <w:rsid w:val="75DE03EB"/>
    <w:rsid w:val="7815375E"/>
    <w:rsid w:val="78423357"/>
    <w:rsid w:val="7861192B"/>
    <w:rsid w:val="790D6252"/>
    <w:rsid w:val="7948492D"/>
    <w:rsid w:val="79B750A1"/>
    <w:rsid w:val="79F640F2"/>
    <w:rsid w:val="7A60675D"/>
    <w:rsid w:val="7AD8769F"/>
    <w:rsid w:val="7AE40810"/>
    <w:rsid w:val="7AF83CFD"/>
    <w:rsid w:val="7B0749C7"/>
    <w:rsid w:val="7B1C59E8"/>
    <w:rsid w:val="7BBB6C68"/>
    <w:rsid w:val="7C574749"/>
    <w:rsid w:val="7C8E2CF6"/>
    <w:rsid w:val="7C967B8B"/>
    <w:rsid w:val="7CD015B7"/>
    <w:rsid w:val="7E3F60E7"/>
    <w:rsid w:val="7E4931C0"/>
    <w:rsid w:val="7E4F190E"/>
    <w:rsid w:val="7E7248EE"/>
    <w:rsid w:val="7EEF6C2A"/>
    <w:rsid w:val="7F074C20"/>
    <w:rsid w:val="7F363A3A"/>
    <w:rsid w:val="7FDF1E58"/>
    <w:rsid w:val="7FF15E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25"/>
    <w:qFormat/>
    <w:uiPriority w:val="99"/>
    <w:pPr>
      <w:jc w:val="left"/>
    </w:pPr>
    <w:rPr>
      <w:sz w:val="24"/>
      <w:szCs w:val="20"/>
    </w:rPr>
  </w:style>
  <w:style w:type="paragraph" w:styleId="6">
    <w:name w:val="Body Text"/>
    <w:basedOn w:val="1"/>
    <w:link w:val="43"/>
    <w:unhideWhenUsed/>
    <w:qFormat/>
    <w:locked/>
    <w:uiPriority w:val="99"/>
    <w:pPr>
      <w:spacing w:after="120"/>
    </w:pPr>
  </w:style>
  <w:style w:type="paragraph" w:styleId="7">
    <w:name w:val="Body Text Indent"/>
    <w:basedOn w:val="1"/>
    <w:link w:val="26"/>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7"/>
    <w:qFormat/>
    <w:uiPriority w:val="0"/>
    <w:rPr>
      <w:rFonts w:ascii="宋体" w:hAnsi="Courier New"/>
      <w:szCs w:val="20"/>
    </w:rPr>
  </w:style>
  <w:style w:type="paragraph" w:styleId="11">
    <w:name w:val="Date"/>
    <w:basedOn w:val="1"/>
    <w:next w:val="1"/>
    <w:link w:val="28"/>
    <w:qFormat/>
    <w:uiPriority w:val="99"/>
    <w:pPr>
      <w:ind w:left="100" w:leftChars="2500"/>
    </w:pPr>
    <w:rPr>
      <w:sz w:val="24"/>
      <w:szCs w:val="20"/>
    </w:rPr>
  </w:style>
  <w:style w:type="paragraph" w:styleId="12">
    <w:name w:val="footer"/>
    <w:basedOn w:val="1"/>
    <w:link w:val="29"/>
    <w:qFormat/>
    <w:uiPriority w:val="99"/>
    <w:pPr>
      <w:tabs>
        <w:tab w:val="center" w:pos="4153"/>
        <w:tab w:val="right" w:pos="8306"/>
      </w:tabs>
      <w:snapToGrid w:val="0"/>
      <w:jc w:val="left"/>
    </w:pPr>
    <w:rPr>
      <w:kern w:val="0"/>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link w:val="54"/>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16">
    <w:name w:val="annotation subject"/>
    <w:basedOn w:val="5"/>
    <w:next w:val="5"/>
    <w:link w:val="31"/>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rFonts w:ascii="Times New Roman" w:hAnsi="Times New Roman" w:eastAsia="宋体" w:cs="Times New Roman"/>
      <w:b/>
    </w:rPr>
  </w:style>
  <w:style w:type="character" w:styleId="21">
    <w:name w:val="page number"/>
    <w:basedOn w:val="19"/>
    <w:qFormat/>
    <w:locked/>
    <w:uiPriority w:val="0"/>
  </w:style>
  <w:style w:type="character" w:styleId="22">
    <w:name w:val="Hyperlink"/>
    <w:qFormat/>
    <w:uiPriority w:val="99"/>
    <w:rPr>
      <w:rFonts w:cs="Times New Roman"/>
      <w:color w:val="0563C1"/>
      <w:u w:val="single"/>
    </w:rPr>
  </w:style>
  <w:style w:type="character" w:styleId="23">
    <w:name w:val="annotation reference"/>
    <w:basedOn w:val="19"/>
    <w:qFormat/>
    <w:uiPriority w:val="99"/>
    <w:rPr>
      <w:rFonts w:cs="Times New Roman"/>
      <w:sz w:val="21"/>
    </w:rPr>
  </w:style>
  <w:style w:type="character" w:customStyle="1" w:styleId="24">
    <w:name w:val="标题 1 字符"/>
    <w:link w:val="3"/>
    <w:qFormat/>
    <w:locked/>
    <w:uiPriority w:val="99"/>
    <w:rPr>
      <w:rFonts w:cs="Times New Roman"/>
      <w:b/>
      <w:kern w:val="44"/>
      <w:sz w:val="44"/>
    </w:rPr>
  </w:style>
  <w:style w:type="character" w:customStyle="1" w:styleId="25">
    <w:name w:val="批注文字 字符"/>
    <w:link w:val="5"/>
    <w:qFormat/>
    <w:locked/>
    <w:uiPriority w:val="99"/>
    <w:rPr>
      <w:rFonts w:cs="Times New Roman"/>
      <w:kern w:val="2"/>
      <w:sz w:val="24"/>
    </w:rPr>
  </w:style>
  <w:style w:type="character" w:customStyle="1" w:styleId="26">
    <w:name w:val="正文文本缩进 字符"/>
    <w:link w:val="7"/>
    <w:qFormat/>
    <w:locked/>
    <w:uiPriority w:val="99"/>
    <w:rPr>
      <w:rFonts w:ascii="等线" w:eastAsia="等线" w:cs="Times New Roman"/>
      <w:kern w:val="2"/>
      <w:sz w:val="22"/>
    </w:rPr>
  </w:style>
  <w:style w:type="character" w:customStyle="1" w:styleId="27">
    <w:name w:val="纯文本 字符"/>
    <w:link w:val="10"/>
    <w:qFormat/>
    <w:locked/>
    <w:uiPriority w:val="0"/>
    <w:rPr>
      <w:rFonts w:ascii="宋体" w:hAnsi="Courier New" w:cs="Times New Roman"/>
      <w:kern w:val="2"/>
      <w:sz w:val="21"/>
    </w:rPr>
  </w:style>
  <w:style w:type="character" w:customStyle="1" w:styleId="28">
    <w:name w:val="日期 字符"/>
    <w:link w:val="11"/>
    <w:qFormat/>
    <w:locked/>
    <w:uiPriority w:val="99"/>
    <w:rPr>
      <w:rFonts w:cs="Times New Roman"/>
      <w:kern w:val="2"/>
      <w:sz w:val="24"/>
    </w:rPr>
  </w:style>
  <w:style w:type="character" w:customStyle="1" w:styleId="29">
    <w:name w:val="页脚 字符"/>
    <w:link w:val="12"/>
    <w:semiHidden/>
    <w:qFormat/>
    <w:locked/>
    <w:uiPriority w:val="99"/>
    <w:rPr>
      <w:rFonts w:cs="Times New Roman"/>
      <w:sz w:val="18"/>
      <w:szCs w:val="18"/>
    </w:rPr>
  </w:style>
  <w:style w:type="character" w:customStyle="1" w:styleId="30">
    <w:name w:val="页眉 字符"/>
    <w:link w:val="13"/>
    <w:qFormat/>
    <w:locked/>
    <w:uiPriority w:val="99"/>
    <w:rPr>
      <w:rFonts w:cs="Times New Roman"/>
      <w:kern w:val="2"/>
      <w:sz w:val="18"/>
    </w:rPr>
  </w:style>
  <w:style w:type="character" w:customStyle="1" w:styleId="31">
    <w:name w:val="批注主题 字符"/>
    <w:link w:val="16"/>
    <w:qFormat/>
    <w:locked/>
    <w:uiPriority w:val="99"/>
    <w:rPr>
      <w:rFonts w:cs="Times New Roman"/>
      <w:b/>
      <w:kern w:val="2"/>
      <w:sz w:val="24"/>
    </w:rPr>
  </w:style>
  <w:style w:type="paragraph" w:customStyle="1" w:styleId="32">
    <w:name w:val="Char"/>
    <w:basedOn w:val="1"/>
    <w:qFormat/>
    <w:uiPriority w:val="99"/>
    <w:pPr>
      <w:tabs>
        <w:tab w:val="left" w:pos="360"/>
      </w:tabs>
    </w:pPr>
    <w:rPr>
      <w:sz w:val="24"/>
    </w:rPr>
  </w:style>
  <w:style w:type="character" w:customStyle="1" w:styleId="33">
    <w:name w:val="列表段落 字符"/>
    <w:link w:val="34"/>
    <w:qFormat/>
    <w:locked/>
    <w:uiPriority w:val="0"/>
  </w:style>
  <w:style w:type="paragraph" w:styleId="34">
    <w:name w:val="List Paragraph"/>
    <w:basedOn w:val="1"/>
    <w:link w:val="33"/>
    <w:qFormat/>
    <w:uiPriority w:val="34"/>
    <w:pPr>
      <w:widowControl/>
      <w:ind w:firstLine="420" w:firstLineChars="200"/>
      <w:jc w:val="left"/>
    </w:pPr>
    <w:rPr>
      <w:kern w:val="0"/>
      <w:sz w:val="20"/>
      <w:szCs w:val="20"/>
    </w:rPr>
  </w:style>
  <w:style w:type="table" w:customStyle="1" w:styleId="35">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laceholder Text"/>
    <w:semiHidden/>
    <w:qFormat/>
    <w:uiPriority w:val="99"/>
    <w:rPr>
      <w:rFonts w:cs="Times New Roman"/>
      <w:color w:val="808080"/>
    </w:rPr>
  </w:style>
  <w:style w:type="paragraph" w:customStyle="1" w:styleId="37">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8">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9">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列出段落2"/>
    <w:basedOn w:val="1"/>
    <w:qFormat/>
    <w:uiPriority w:val="99"/>
    <w:pPr>
      <w:ind w:firstLine="420" w:firstLineChars="200"/>
    </w:pPr>
    <w:rPr>
      <w:rFonts w:ascii="Calibri" w:hAnsi="Calibri"/>
      <w:szCs w:val="22"/>
    </w:rPr>
  </w:style>
  <w:style w:type="character" w:customStyle="1" w:styleId="41">
    <w:name w:val="标题 2 Char Char Char"/>
    <w:qFormat/>
    <w:uiPriority w:val="99"/>
    <w:rPr>
      <w:rFonts w:ascii="Arial" w:hAnsi="Arial" w:eastAsia="黑体"/>
      <w:b/>
      <w:kern w:val="2"/>
      <w:sz w:val="32"/>
      <w:lang w:val="en-US" w:eastAsia="zh-CN"/>
    </w:rPr>
  </w:style>
  <w:style w:type="paragraph" w:customStyle="1" w:styleId="42">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3">
    <w:name w:val="正文文本 字符"/>
    <w:link w:val="6"/>
    <w:qFormat/>
    <w:uiPriority w:val="99"/>
    <w:rPr>
      <w:kern w:val="2"/>
      <w:sz w:val="21"/>
      <w:szCs w:val="24"/>
    </w:rPr>
  </w:style>
  <w:style w:type="paragraph" w:customStyle="1" w:styleId="44">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5">
    <w:name w:val="正文2"/>
    <w:basedOn w:val="1"/>
    <w:qFormat/>
    <w:uiPriority w:val="0"/>
    <w:pPr>
      <w:spacing w:before="156" w:line="360" w:lineRule="auto"/>
      <w:ind w:firstLine="510" w:firstLineChars="200"/>
    </w:pPr>
    <w:rPr>
      <w:sz w:val="24"/>
    </w:rPr>
  </w:style>
  <w:style w:type="paragraph" w:customStyle="1" w:styleId="46">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7">
    <w:name w:val="A9"/>
    <w:qFormat/>
    <w:uiPriority w:val="0"/>
    <w:rPr>
      <w:rFonts w:cs="PSFEIH+StoneSans"/>
      <w:color w:val="262424"/>
      <w:sz w:val="20"/>
      <w:szCs w:val="20"/>
    </w:rPr>
  </w:style>
  <w:style w:type="paragraph" w:customStyle="1" w:styleId="4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9">
    <w:name w:val="A14"/>
    <w:qFormat/>
    <w:uiPriority w:val="99"/>
    <w:rPr>
      <w:rFonts w:cs="Open Sans Light"/>
      <w:color w:val="FFFFFF"/>
      <w:sz w:val="13"/>
      <w:szCs w:val="13"/>
    </w:rPr>
  </w:style>
  <w:style w:type="paragraph" w:customStyle="1" w:styleId="50">
    <w:name w:val="表格文字"/>
    <w:basedOn w:val="1"/>
    <w:next w:val="6"/>
    <w:qFormat/>
    <w:uiPriority w:val="0"/>
    <w:rPr>
      <w:sz w:val="24"/>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2">
    <w:name w:val="标题 1 Char"/>
    <w:qFormat/>
    <w:locked/>
    <w:uiPriority w:val="99"/>
    <w:rPr>
      <w:rFonts w:cs="Times New Roman"/>
      <w:b/>
      <w:kern w:val="44"/>
      <w:sz w:val="44"/>
    </w:rPr>
  </w:style>
  <w:style w:type="character" w:customStyle="1" w:styleId="53">
    <w:name w:val="标题 字符"/>
    <w:basedOn w:val="19"/>
    <w:qFormat/>
    <w:uiPriority w:val="0"/>
    <w:rPr>
      <w:rFonts w:asciiTheme="majorHAnsi" w:hAnsiTheme="majorHAnsi" w:eastAsiaTheme="majorEastAsia" w:cstheme="majorBidi"/>
      <w:b/>
      <w:bCs/>
      <w:kern w:val="2"/>
      <w:sz w:val="32"/>
      <w:szCs w:val="32"/>
    </w:rPr>
  </w:style>
  <w:style w:type="character" w:customStyle="1" w:styleId="54">
    <w:name w:val="标题 字符1"/>
    <w:link w:val="15"/>
    <w:qFormat/>
    <w:uiPriority w:val="0"/>
    <w:rPr>
      <w:rFonts w:eastAsia="黑体"/>
      <w:b/>
      <w:sz w:val="28"/>
      <w:lang w:val="en-GB"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11910</Words>
  <Characters>12596</Characters>
  <Lines>95</Lines>
  <Paragraphs>26</Paragraphs>
  <TotalTime>4</TotalTime>
  <ScaleCrop>false</ScaleCrop>
  <LinksUpToDate>false</LinksUpToDate>
  <CharactersWithSpaces>12829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2022-12-14T07:34:00Z</dcterms:created>
  <dc:creator>微软用户</dc:creator>
  <cp:lastModifiedBy>Administrator</cp:lastModifiedBy>
  <cp:lastPrinted>2019-11-22T01:53:00Z</cp:lastPrinted>
  <dcterms:modified xsi:type="dcterms:W3CDTF">2023-01-04T06:29:26Z</dcterms:modified>
  <dc:title>淮海工学院A8-10号楼学生宿舍家具招标书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76439566ED7C4EF5A470239DB096807A</vt:lpwstr>
  </property>
</Properties>
</file>