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highlight w:val="none"/>
        </w:rPr>
      </w:pPr>
      <w:bookmarkStart w:id="0" w:name="OLE_LINK2"/>
      <w:bookmarkStart w:id="1" w:name="OLE_LINK1"/>
      <w:r>
        <w:rPr>
          <w:b/>
          <w:sz w:val="44"/>
          <w:szCs w:val="44"/>
          <w:highlight w:val="none"/>
        </w:rPr>
        <w:t>南京信息工程大学</w:t>
      </w:r>
      <w:bookmarkEnd w:id="0"/>
      <w:bookmarkEnd w:id="1"/>
      <w:r>
        <w:rPr>
          <w:rFonts w:hint="eastAsia"/>
          <w:b/>
          <w:sz w:val="44"/>
          <w:szCs w:val="44"/>
          <w:highlight w:val="none"/>
        </w:rPr>
        <w:t>2023年招生宣传系列材料设计制作服务项目</w:t>
      </w:r>
      <w:r>
        <w:rPr>
          <w:b/>
          <w:sz w:val="44"/>
          <w:szCs w:val="44"/>
          <w:highlight w:val="none"/>
        </w:rPr>
        <w:t>招标文件</w:t>
      </w:r>
    </w:p>
    <w:p>
      <w:pPr>
        <w:pStyle w:val="8"/>
        <w:ind w:left="1470" w:right="1470"/>
        <w:rPr>
          <w:highlight w:val="none"/>
        </w:rPr>
      </w:pPr>
    </w:p>
    <w:p>
      <w:pPr>
        <w:adjustRightInd w:val="0"/>
        <w:snapToGrid w:val="0"/>
        <w:spacing w:line="360" w:lineRule="auto"/>
        <w:jc w:val="center"/>
        <w:rPr>
          <w:rFonts w:ascii="宋体" w:hAnsi="宋体" w:cs="仿宋"/>
          <w:sz w:val="28"/>
          <w:szCs w:val="28"/>
          <w:highlight w:val="none"/>
        </w:rPr>
      </w:pPr>
      <w:r>
        <w:rPr>
          <w:rFonts w:hint="eastAsia" w:ascii="宋体" w:hAnsi="宋体" w:cs="仿宋"/>
          <w:sz w:val="28"/>
          <w:szCs w:val="28"/>
          <w:highlight w:val="none"/>
        </w:rPr>
        <w:t>（招标编号：</w:t>
      </w:r>
      <w:r>
        <w:rPr>
          <w:rFonts w:hint="eastAsia" w:ascii="宋体" w:hAnsi="宋体" w:cs="仿宋"/>
          <w:sz w:val="28"/>
          <w:szCs w:val="28"/>
          <w:highlight w:val="none"/>
          <w:u w:val="single"/>
        </w:rPr>
        <w:t xml:space="preserve">  JZCG-2022-00134  </w:t>
      </w:r>
      <w:r>
        <w:rPr>
          <w:rFonts w:hint="eastAsia" w:ascii="宋体" w:hAnsi="宋体" w:cs="仿宋"/>
          <w:sz w:val="28"/>
          <w:szCs w:val="28"/>
          <w:highlight w:val="none"/>
        </w:rPr>
        <w:t xml:space="preserve"> ）</w:t>
      </w:r>
    </w:p>
    <w:p>
      <w:pPr>
        <w:adjustRightInd w:val="0"/>
        <w:snapToGrid w:val="0"/>
        <w:spacing w:line="360" w:lineRule="auto"/>
        <w:jc w:val="center"/>
        <w:rPr>
          <w:rFonts w:ascii="宋体" w:cs="仿宋"/>
          <w:sz w:val="28"/>
          <w:szCs w:val="28"/>
          <w:highlight w:val="none"/>
        </w:rPr>
      </w:pPr>
    </w:p>
    <w:p>
      <w:pPr>
        <w:adjustRightInd w:val="0"/>
        <w:snapToGrid w:val="0"/>
        <w:spacing w:line="360" w:lineRule="auto"/>
        <w:jc w:val="center"/>
        <w:rPr>
          <w:rFonts w:ascii="宋体" w:cs="仿宋"/>
          <w:sz w:val="28"/>
          <w:szCs w:val="28"/>
          <w:highlight w:val="none"/>
        </w:rPr>
      </w:pPr>
      <w:r>
        <w:rPr>
          <w:rFonts w:ascii="宋体" w:hAnsi="宋体" w:cs="仿宋"/>
          <w:sz w:val="28"/>
          <w:szCs w:val="28"/>
          <w:highlight w:val="none"/>
        </w:rPr>
        <w:t>(</w:t>
      </w:r>
      <w:r>
        <w:rPr>
          <w:rFonts w:ascii="宋体" w:hAnsi="宋体" w:cs="仿宋"/>
          <w:sz w:val="28"/>
          <w:szCs w:val="28"/>
          <w:highlight w:val="none"/>
          <w:u w:val="single"/>
        </w:rPr>
        <w:t>20</w:t>
      </w:r>
      <w:r>
        <w:rPr>
          <w:rFonts w:hint="eastAsia" w:ascii="宋体" w:hAnsi="宋体" w:cs="仿宋"/>
          <w:sz w:val="28"/>
          <w:szCs w:val="28"/>
          <w:highlight w:val="none"/>
          <w:u w:val="single"/>
        </w:rPr>
        <w:t>2</w:t>
      </w:r>
      <w:r>
        <w:rPr>
          <w:rFonts w:hint="eastAsia" w:ascii="宋体" w:hAnsi="宋体" w:cs="仿宋"/>
          <w:sz w:val="28"/>
          <w:szCs w:val="28"/>
          <w:highlight w:val="none"/>
          <w:u w:val="single"/>
          <w:lang w:val="en-US" w:eastAsia="zh-CN"/>
        </w:rPr>
        <w:t>2</w:t>
      </w:r>
      <w:r>
        <w:rPr>
          <w:rFonts w:hint="eastAsia" w:ascii="宋体" w:hAnsi="宋体" w:cs="仿宋"/>
          <w:sz w:val="28"/>
          <w:szCs w:val="28"/>
          <w:highlight w:val="none"/>
          <w:u w:val="single"/>
        </w:rPr>
        <w:t>年</w:t>
      </w:r>
      <w:r>
        <w:rPr>
          <w:rFonts w:hint="eastAsia" w:ascii="宋体" w:hAnsi="宋体" w:cs="仿宋"/>
          <w:sz w:val="28"/>
          <w:szCs w:val="28"/>
          <w:highlight w:val="none"/>
          <w:u w:val="single"/>
          <w:lang w:val="en-US" w:eastAsia="zh-CN"/>
        </w:rPr>
        <w:t>12</w:t>
      </w:r>
      <w:r>
        <w:rPr>
          <w:rFonts w:hint="eastAsia" w:ascii="宋体" w:hAnsi="宋体" w:cs="仿宋"/>
          <w:sz w:val="28"/>
          <w:szCs w:val="28"/>
          <w:highlight w:val="none"/>
          <w:u w:val="single"/>
        </w:rPr>
        <w:t>月0</w:t>
      </w:r>
      <w:r>
        <w:rPr>
          <w:rFonts w:hint="eastAsia" w:ascii="宋体" w:hAnsi="宋体" w:cs="仿宋"/>
          <w:sz w:val="28"/>
          <w:szCs w:val="28"/>
          <w:highlight w:val="none"/>
          <w:u w:val="single"/>
          <w:lang w:val="en-US" w:eastAsia="zh-CN"/>
        </w:rPr>
        <w:t>2</w:t>
      </w:r>
      <w:r>
        <w:rPr>
          <w:rFonts w:hint="eastAsia" w:ascii="宋体" w:hAnsi="宋体" w:cs="仿宋"/>
          <w:sz w:val="28"/>
          <w:szCs w:val="28"/>
          <w:highlight w:val="none"/>
          <w:u w:val="single"/>
        </w:rPr>
        <w:t>日1</w:t>
      </w:r>
      <w:r>
        <w:rPr>
          <w:rFonts w:hint="eastAsia" w:ascii="宋体" w:hAnsi="宋体" w:cs="仿宋"/>
          <w:sz w:val="28"/>
          <w:szCs w:val="28"/>
          <w:highlight w:val="none"/>
          <w:u w:val="single"/>
          <w:lang w:val="en-US" w:eastAsia="zh-CN"/>
        </w:rPr>
        <w:t>5</w:t>
      </w:r>
      <w:r>
        <w:rPr>
          <w:rFonts w:hint="eastAsia" w:ascii="宋体" w:hAnsi="宋体" w:cs="仿宋"/>
          <w:sz w:val="28"/>
          <w:szCs w:val="28"/>
          <w:highlight w:val="none"/>
          <w:u w:val="single"/>
        </w:rPr>
        <w:t>：</w:t>
      </w:r>
      <w:r>
        <w:rPr>
          <w:rFonts w:ascii="宋体" w:cs="仿宋"/>
          <w:sz w:val="28"/>
          <w:szCs w:val="28"/>
          <w:highlight w:val="none"/>
          <w:u w:val="single"/>
        </w:rPr>
        <w:t>00</w:t>
      </w:r>
      <w:r>
        <w:rPr>
          <w:rFonts w:hint="eastAsia" w:ascii="宋体" w:hAnsi="宋体" w:cs="仿宋"/>
          <w:sz w:val="28"/>
          <w:szCs w:val="28"/>
          <w:highlight w:val="none"/>
          <w:u w:val="single"/>
        </w:rPr>
        <w:t>定标发标版</w:t>
      </w:r>
      <w:r>
        <w:rPr>
          <w:rFonts w:ascii="宋体" w:hAnsi="宋体" w:cs="仿宋"/>
          <w:sz w:val="28"/>
          <w:szCs w:val="28"/>
          <w:highlight w:val="none"/>
        </w:rPr>
        <w:t>)</w:t>
      </w:r>
    </w:p>
    <w:p>
      <w:pPr>
        <w:jc w:val="center"/>
        <w:rPr>
          <w:b/>
          <w:sz w:val="28"/>
          <w:szCs w:val="28"/>
          <w:highlight w:val="none"/>
        </w:rPr>
      </w:pPr>
    </w:p>
    <w:p>
      <w:pPr>
        <w:spacing w:line="360" w:lineRule="auto"/>
        <w:ind w:firstLine="560" w:firstLineChars="200"/>
        <w:rPr>
          <w:rFonts w:ascii="宋体" w:hAnsi="宋体"/>
          <w:sz w:val="28"/>
          <w:szCs w:val="28"/>
          <w:highlight w:val="none"/>
        </w:rPr>
      </w:pPr>
      <w:r>
        <w:rPr>
          <w:rFonts w:ascii="宋体" w:hAnsi="宋体"/>
          <w:sz w:val="28"/>
          <w:szCs w:val="28"/>
          <w:highlight w:val="none"/>
        </w:rPr>
        <w:t>为满足学校相关</w:t>
      </w:r>
      <w:r>
        <w:rPr>
          <w:rFonts w:hint="eastAsia" w:ascii="宋体" w:hAnsi="宋体"/>
          <w:sz w:val="28"/>
          <w:szCs w:val="28"/>
          <w:highlight w:val="none"/>
        </w:rPr>
        <w:t>教学</w:t>
      </w:r>
      <w:r>
        <w:rPr>
          <w:rFonts w:ascii="宋体" w:hAnsi="宋体"/>
          <w:sz w:val="28"/>
          <w:szCs w:val="28"/>
          <w:highlight w:val="none"/>
        </w:rPr>
        <w:t>科研工作需要，受校</w:t>
      </w:r>
      <w:r>
        <w:rPr>
          <w:rFonts w:hint="eastAsia" w:ascii="宋体" w:hAnsi="宋体"/>
          <w:sz w:val="28"/>
          <w:szCs w:val="28"/>
          <w:highlight w:val="none"/>
        </w:rPr>
        <w:t>学生工作处</w:t>
      </w:r>
      <w:r>
        <w:rPr>
          <w:rFonts w:ascii="宋体" w:hAnsi="宋体"/>
          <w:sz w:val="28"/>
          <w:szCs w:val="28"/>
          <w:highlight w:val="none"/>
        </w:rPr>
        <w:t>委托，就</w:t>
      </w:r>
      <w:r>
        <w:rPr>
          <w:rFonts w:hint="eastAsia" w:ascii="宋体" w:hAnsi="宋体"/>
          <w:sz w:val="28"/>
          <w:szCs w:val="28"/>
          <w:highlight w:val="none"/>
        </w:rPr>
        <w:t>南京信息工程大学2023年招生宣传系列材料设计制作服务项目</w:t>
      </w:r>
      <w:r>
        <w:rPr>
          <w:rFonts w:ascii="宋体" w:hAnsi="宋体"/>
          <w:sz w:val="28"/>
          <w:szCs w:val="28"/>
          <w:highlight w:val="none"/>
        </w:rPr>
        <w:t>进行公开招标，欢迎符合条件的供应商报名投标，现将有关情况说明如下：</w:t>
      </w:r>
    </w:p>
    <w:p>
      <w:pPr>
        <w:spacing w:line="360" w:lineRule="auto"/>
        <w:ind w:firstLine="480" w:firstLineChars="200"/>
        <w:rPr>
          <w:sz w:val="24"/>
          <w:highlight w:val="none"/>
        </w:rPr>
      </w:pPr>
    </w:p>
    <w:p>
      <w:pPr>
        <w:pStyle w:val="32"/>
        <w:spacing w:line="360" w:lineRule="auto"/>
        <w:ind w:firstLine="0" w:firstLineChars="0"/>
        <w:jc w:val="center"/>
        <w:rPr>
          <w:rFonts w:ascii="宋体" w:hAnsi="宋体" w:cs="仿宋"/>
          <w:b/>
          <w:bCs/>
          <w:kern w:val="2"/>
          <w:sz w:val="28"/>
          <w:szCs w:val="28"/>
          <w:highlight w:val="none"/>
        </w:rPr>
      </w:pPr>
      <w:r>
        <w:rPr>
          <w:rFonts w:hint="eastAsia" w:ascii="宋体" w:hAnsi="宋体" w:cs="仿宋"/>
          <w:b/>
          <w:bCs/>
          <w:kern w:val="2"/>
          <w:sz w:val="28"/>
          <w:szCs w:val="28"/>
          <w:highlight w:val="none"/>
        </w:rPr>
        <w:t>一、招标项目名称及简要说明</w:t>
      </w:r>
    </w:p>
    <w:p>
      <w:pPr>
        <w:pStyle w:val="32"/>
        <w:spacing w:line="360" w:lineRule="auto"/>
        <w:ind w:firstLine="560"/>
        <w:rPr>
          <w:rFonts w:ascii="宋体" w:hAnsi="宋体"/>
          <w:kern w:val="2"/>
          <w:sz w:val="28"/>
          <w:szCs w:val="28"/>
          <w:highlight w:val="none"/>
        </w:rPr>
      </w:pPr>
      <w:r>
        <w:rPr>
          <w:rFonts w:ascii="宋体" w:hAnsi="宋体"/>
          <w:kern w:val="2"/>
          <w:sz w:val="28"/>
          <w:szCs w:val="28"/>
          <w:highlight w:val="none"/>
        </w:rPr>
        <w:t>1. 项目名称：</w:t>
      </w:r>
      <w:r>
        <w:rPr>
          <w:rFonts w:hint="eastAsia" w:ascii="宋体" w:hAnsi="宋体"/>
          <w:sz w:val="28"/>
          <w:szCs w:val="28"/>
          <w:highlight w:val="none"/>
        </w:rPr>
        <w:t>南京信息工程大学2023年招生宣传系列材料设计制作服务项目</w:t>
      </w:r>
      <w:r>
        <w:rPr>
          <w:rFonts w:ascii="宋体" w:hAnsi="宋体"/>
          <w:kern w:val="2"/>
          <w:sz w:val="28"/>
          <w:szCs w:val="28"/>
          <w:highlight w:val="none"/>
        </w:rPr>
        <w:t>。</w:t>
      </w:r>
    </w:p>
    <w:p>
      <w:pPr>
        <w:spacing w:line="300" w:lineRule="auto"/>
        <w:ind w:firstLine="560" w:firstLineChars="200"/>
        <w:rPr>
          <w:rFonts w:ascii="宋体" w:hAnsi="宋体"/>
          <w:sz w:val="28"/>
          <w:szCs w:val="28"/>
          <w:highlight w:val="none"/>
        </w:rPr>
      </w:pPr>
      <w:r>
        <w:rPr>
          <w:rFonts w:ascii="宋体" w:hAnsi="宋体"/>
          <w:sz w:val="28"/>
          <w:szCs w:val="28"/>
          <w:highlight w:val="none"/>
        </w:rPr>
        <w:t xml:space="preserve">2. </w:t>
      </w:r>
      <w:r>
        <w:rPr>
          <w:rFonts w:hint="eastAsia" w:ascii="宋体" w:hAnsi="宋体" w:cs="仿宋"/>
          <w:sz w:val="28"/>
          <w:szCs w:val="28"/>
          <w:highlight w:val="none"/>
        </w:rPr>
        <w:t>项目说明：</w:t>
      </w:r>
      <w:r>
        <w:rPr>
          <w:rFonts w:hint="eastAsia" w:ascii="宋体" w:hAnsi="宋体"/>
          <w:sz w:val="28"/>
          <w:szCs w:val="28"/>
          <w:highlight w:val="none"/>
        </w:rPr>
        <w:t>南京信息工程大学校内，本次招标</w:t>
      </w:r>
      <w:r>
        <w:rPr>
          <w:rFonts w:hint="eastAsia" w:ascii="宋体" w:hAnsi="宋体" w:cs="仿宋"/>
          <w:sz w:val="28"/>
          <w:szCs w:val="28"/>
          <w:highlight w:val="none"/>
        </w:rPr>
        <w:t>项目必须由中标单位自行完成，严禁转包和擅自分包。否则我校有权单方面终止本合同的执行，并且中标人支付按合同价款20%的违约金，由此所造成的一切后果和经济损失均由中标人自行负责和承担。</w:t>
      </w:r>
    </w:p>
    <w:p>
      <w:pPr>
        <w:spacing w:line="360" w:lineRule="auto"/>
        <w:ind w:firstLine="570"/>
        <w:jc w:val="left"/>
        <w:rPr>
          <w:rFonts w:ascii="宋体"/>
          <w:sz w:val="28"/>
          <w:szCs w:val="28"/>
          <w:highlight w:val="none"/>
        </w:rPr>
      </w:pPr>
      <w:r>
        <w:rPr>
          <w:rFonts w:ascii="宋体" w:hAnsi="宋体"/>
          <w:sz w:val="28"/>
          <w:szCs w:val="28"/>
          <w:highlight w:val="none"/>
        </w:rPr>
        <w:t>3</w:t>
      </w:r>
      <w:bookmarkStart w:id="2" w:name="_Hlk9865971"/>
      <w:r>
        <w:rPr>
          <w:rFonts w:hint="eastAsia" w:ascii="宋体" w:hAnsi="宋体"/>
          <w:sz w:val="28"/>
          <w:szCs w:val="28"/>
          <w:highlight w:val="none"/>
        </w:rPr>
        <w:t>.本次招标采取公开招标方式，不承诺最低价（最高价）中标。招标公告和中标公示信息均在</w:t>
      </w:r>
      <w:r>
        <w:rPr>
          <w:highlight w:val="none"/>
        </w:rPr>
        <w:fldChar w:fldCharType="begin"/>
      </w:r>
      <w:r>
        <w:rPr>
          <w:highlight w:val="none"/>
        </w:rPr>
        <w:instrText xml:space="preserve"> HYPERLINK "https://bulletin.nuist.edu.cn/779/list.htm" </w:instrText>
      </w:r>
      <w:r>
        <w:rPr>
          <w:highlight w:val="none"/>
        </w:rPr>
        <w:fldChar w:fldCharType="separate"/>
      </w:r>
      <w:r>
        <w:rPr>
          <w:rStyle w:val="20"/>
          <w:b/>
          <w:color w:val="auto"/>
          <w:sz w:val="24"/>
          <w:highlight w:val="none"/>
        </w:rPr>
        <w:t>https://bulletin.nuist.edu.cn/779/lis</w:t>
      </w:r>
      <w:r>
        <w:rPr>
          <w:rStyle w:val="20"/>
          <w:color w:val="auto"/>
          <w:sz w:val="24"/>
          <w:highlight w:val="none"/>
        </w:rPr>
        <w:t>t.htm</w:t>
      </w:r>
      <w:r>
        <w:rPr>
          <w:rStyle w:val="20"/>
          <w:color w:val="auto"/>
          <w:sz w:val="24"/>
          <w:highlight w:val="none"/>
        </w:rPr>
        <w:fldChar w:fldCharType="end"/>
      </w:r>
      <w:r>
        <w:rPr>
          <w:rFonts w:hint="eastAsia" w:ascii="宋体" w:hAnsi="宋体"/>
          <w:sz w:val="28"/>
          <w:szCs w:val="28"/>
          <w:highlight w:val="none"/>
        </w:rPr>
        <w:t>和</w:t>
      </w:r>
      <w:r>
        <w:rPr>
          <w:highlight w:val="none"/>
        </w:rPr>
        <w:fldChar w:fldCharType="begin"/>
      </w:r>
      <w:r>
        <w:rPr>
          <w:highlight w:val="none"/>
        </w:rPr>
        <w:instrText xml:space="preserve"> HYPERLINK "http://zbc.nuist.edu.cn" </w:instrText>
      </w:r>
      <w:r>
        <w:rPr>
          <w:highlight w:val="none"/>
        </w:rPr>
        <w:fldChar w:fldCharType="separate"/>
      </w:r>
      <w:r>
        <w:rPr>
          <w:rFonts w:ascii="宋体" w:hAnsi="宋体"/>
          <w:b/>
          <w:sz w:val="24"/>
          <w:szCs w:val="28"/>
          <w:highlight w:val="none"/>
          <w:u w:val="single"/>
        </w:rPr>
        <w:t>zbc.nuist.edu.cn</w:t>
      </w:r>
      <w:r>
        <w:rPr>
          <w:rFonts w:ascii="宋体" w:hAnsi="宋体"/>
          <w:b/>
          <w:sz w:val="24"/>
          <w:szCs w:val="28"/>
          <w:highlight w:val="none"/>
          <w:u w:val="single"/>
        </w:rPr>
        <w:fldChar w:fldCharType="end"/>
      </w:r>
      <w:r>
        <w:rPr>
          <w:rFonts w:hint="eastAsia" w:ascii="宋体" w:hAnsi="宋体"/>
          <w:sz w:val="28"/>
          <w:szCs w:val="28"/>
          <w:highlight w:val="none"/>
        </w:rPr>
        <w:t>网页上公开发布</w:t>
      </w:r>
      <w:r>
        <w:rPr>
          <w:rFonts w:ascii="宋体"/>
          <w:sz w:val="28"/>
          <w:szCs w:val="28"/>
          <w:highlight w:val="none"/>
        </w:rPr>
        <w:t>,</w:t>
      </w:r>
      <w:r>
        <w:rPr>
          <w:rFonts w:hint="eastAsia" w:ascii="宋体" w:hAnsi="宋体"/>
          <w:sz w:val="28"/>
          <w:szCs w:val="28"/>
          <w:highlight w:val="none"/>
        </w:rPr>
        <w:t>接受监督。欢迎社会招标机构和网站转载，转载信息与我校网站信息不一致时，以我校网站为准。</w:t>
      </w:r>
    </w:p>
    <w:bookmarkEnd w:id="2"/>
    <w:p>
      <w:pPr>
        <w:spacing w:line="360" w:lineRule="auto"/>
        <w:ind w:firstLine="570"/>
        <w:jc w:val="left"/>
        <w:rPr>
          <w:rFonts w:ascii="宋体" w:hAnsi="宋体" w:cs="宋体"/>
          <w:sz w:val="28"/>
          <w:szCs w:val="28"/>
          <w:highlight w:val="none"/>
        </w:rPr>
      </w:pPr>
      <w:r>
        <w:rPr>
          <w:rFonts w:ascii="宋体" w:hAnsi="宋体"/>
          <w:sz w:val="28"/>
          <w:szCs w:val="28"/>
          <w:highlight w:val="none"/>
        </w:rPr>
        <w:t>4</w:t>
      </w:r>
      <w:bookmarkStart w:id="3" w:name="_Hlk9866054"/>
      <w:r>
        <w:rPr>
          <w:rFonts w:hint="eastAsia" w:ascii="宋体" w:hAnsi="宋体"/>
          <w:sz w:val="28"/>
          <w:szCs w:val="28"/>
          <w:highlight w:val="none"/>
        </w:rPr>
        <w:t>.招标文件由我校采购人、项目归口管理部门和招标办联合起草；经学校相关职能部门会审通过形成正式招标文件。同时</w:t>
      </w:r>
      <w:r>
        <w:rPr>
          <w:rFonts w:hint="eastAsia" w:ascii="宋体" w:hAnsi="宋体" w:cs="宋体"/>
          <w:sz w:val="28"/>
          <w:szCs w:val="28"/>
          <w:highlight w:val="none"/>
        </w:rPr>
        <w:t>打印</w:t>
      </w:r>
      <w:r>
        <w:rPr>
          <w:rFonts w:ascii="宋体" w:hAnsi="宋体" w:cs="宋体"/>
          <w:sz w:val="28"/>
          <w:szCs w:val="28"/>
          <w:highlight w:val="none"/>
        </w:rPr>
        <w:t>3</w:t>
      </w:r>
      <w:r>
        <w:rPr>
          <w:rFonts w:hint="eastAsia" w:ascii="宋体" w:hAnsi="宋体" w:cs="宋体"/>
          <w:sz w:val="28"/>
          <w:szCs w:val="28"/>
          <w:highlight w:val="none"/>
        </w:rPr>
        <w:t>份纸质的正式招标文件，由招标办负责人和招标办工作人员同时签字并加盖财务处骑缝章后，分别交招标办、项目归口管理部门（或采购人）、审计处各</w:t>
      </w:r>
      <w:r>
        <w:rPr>
          <w:rFonts w:ascii="宋体" w:hAnsi="宋体" w:cs="宋体"/>
          <w:sz w:val="28"/>
          <w:szCs w:val="28"/>
          <w:highlight w:val="none"/>
        </w:rPr>
        <w:t>1</w:t>
      </w:r>
      <w:r>
        <w:rPr>
          <w:rFonts w:hint="eastAsia" w:ascii="宋体" w:hAnsi="宋体" w:cs="宋体"/>
          <w:sz w:val="28"/>
          <w:szCs w:val="28"/>
          <w:highlight w:val="none"/>
        </w:rPr>
        <w:t>份，作为相关部门存档、合同签订、项目竣工验收和决（结）算审计，以及处理纠纷等的依据。</w:t>
      </w:r>
    </w:p>
    <w:bookmarkEnd w:id="3"/>
    <w:p>
      <w:pPr>
        <w:spacing w:line="360" w:lineRule="auto"/>
        <w:ind w:firstLine="570"/>
        <w:jc w:val="left"/>
        <w:rPr>
          <w:rFonts w:ascii="宋体" w:hAnsi="宋体" w:cs="宋体"/>
          <w:sz w:val="28"/>
          <w:szCs w:val="28"/>
          <w:highlight w:val="none"/>
        </w:rPr>
      </w:pPr>
      <w:r>
        <w:rPr>
          <w:rFonts w:hint="eastAsia" w:ascii="宋体" w:hAnsi="宋体" w:cs="宋体"/>
          <w:sz w:val="28"/>
          <w:szCs w:val="28"/>
          <w:highlight w:val="none"/>
        </w:rPr>
        <w:t>5.正式的答疑回复文件也按上述方式处理留存。</w:t>
      </w:r>
    </w:p>
    <w:p>
      <w:pPr>
        <w:spacing w:line="360" w:lineRule="auto"/>
        <w:ind w:firstLine="570"/>
        <w:jc w:val="left"/>
        <w:rPr>
          <w:rFonts w:ascii="宋体" w:hAnsi="宋体" w:cs="宋体"/>
          <w:sz w:val="28"/>
          <w:szCs w:val="28"/>
          <w:highlight w:val="none"/>
        </w:rPr>
      </w:pPr>
      <w:r>
        <w:rPr>
          <w:rFonts w:hint="eastAsia" w:ascii="宋体" w:hAnsi="宋体" w:cs="宋体"/>
          <w:sz w:val="28"/>
          <w:szCs w:val="28"/>
          <w:highlight w:val="none"/>
        </w:rPr>
        <w:t>6.投标有效期：自开标之日起90天内投标有效。</w:t>
      </w:r>
    </w:p>
    <w:p>
      <w:pPr>
        <w:spacing w:line="360" w:lineRule="auto"/>
        <w:ind w:firstLine="570"/>
        <w:jc w:val="left"/>
        <w:rPr>
          <w:rFonts w:ascii="宋体" w:hAnsi="宋体" w:cs="宋体"/>
          <w:sz w:val="28"/>
          <w:szCs w:val="28"/>
          <w:highlight w:val="none"/>
        </w:rPr>
      </w:pPr>
      <w:r>
        <w:rPr>
          <w:rFonts w:hint="eastAsia" w:ascii="宋体" w:hAnsi="宋体" w:cs="宋体"/>
          <w:sz w:val="28"/>
          <w:szCs w:val="28"/>
          <w:highlight w:val="none"/>
        </w:rPr>
        <w:t>7.招标过程接受学校纪检监察部门监督检查。</w:t>
      </w:r>
    </w:p>
    <w:p>
      <w:pPr>
        <w:adjustRightInd w:val="0"/>
        <w:snapToGrid w:val="0"/>
        <w:spacing w:before="312" w:beforeLines="100" w:after="312" w:afterLines="100" w:line="360" w:lineRule="auto"/>
        <w:jc w:val="center"/>
        <w:rPr>
          <w:rFonts w:ascii="宋体" w:cs="仿宋"/>
          <w:b/>
          <w:bCs/>
          <w:sz w:val="28"/>
          <w:szCs w:val="28"/>
          <w:highlight w:val="none"/>
        </w:rPr>
      </w:pPr>
      <w:r>
        <w:rPr>
          <w:rFonts w:hint="eastAsia" w:ascii="宋体" w:hAnsi="宋体" w:cs="仿宋"/>
          <w:b/>
          <w:bCs/>
          <w:sz w:val="28"/>
          <w:szCs w:val="28"/>
          <w:highlight w:val="none"/>
        </w:rPr>
        <w:t>二、对投标人及投标报价的要求</w:t>
      </w:r>
    </w:p>
    <w:p>
      <w:pPr>
        <w:snapToGrid w:val="0"/>
        <w:spacing w:line="360" w:lineRule="auto"/>
        <w:ind w:firstLine="540" w:firstLineChars="192"/>
        <w:rPr>
          <w:rFonts w:ascii="宋体" w:hAnsi="宋体"/>
          <w:b/>
          <w:kern w:val="0"/>
          <w:sz w:val="28"/>
          <w:szCs w:val="28"/>
          <w:highlight w:val="none"/>
        </w:rPr>
      </w:pPr>
      <w:r>
        <w:rPr>
          <w:rFonts w:hint="eastAsia" w:ascii="宋体" w:hAnsi="宋体"/>
          <w:b/>
          <w:kern w:val="0"/>
          <w:sz w:val="28"/>
          <w:szCs w:val="28"/>
          <w:highlight w:val="none"/>
        </w:rPr>
        <w:t>一、投标人必须符合以下能力、信誉和资质要求：</w:t>
      </w:r>
    </w:p>
    <w:p>
      <w:pPr>
        <w:widowControl/>
        <w:snapToGrid w:val="0"/>
        <w:spacing w:line="360" w:lineRule="auto"/>
        <w:ind w:firstLine="560" w:firstLineChars="200"/>
        <w:jc w:val="left"/>
        <w:rPr>
          <w:rFonts w:ascii="宋体" w:hAnsi="宋体" w:cs="宋体"/>
          <w:b/>
          <w:bCs/>
          <w:i/>
          <w:iCs/>
          <w:kern w:val="0"/>
          <w:sz w:val="28"/>
          <w:szCs w:val="28"/>
          <w:highlight w:val="none"/>
          <w:u w:val="single"/>
        </w:rPr>
      </w:pPr>
      <w:r>
        <w:rPr>
          <w:rFonts w:hint="eastAsia" w:ascii="宋体" w:hAnsi="宋体" w:cs="Arial"/>
          <w:i/>
          <w:iCs/>
          <w:sz w:val="28"/>
          <w:szCs w:val="28"/>
          <w:highlight w:val="none"/>
          <w:u w:val="single"/>
        </w:rPr>
        <w:t>（一）参加政府采购的供应商应当具备政府采购法</w:t>
      </w:r>
      <w:r>
        <w:rPr>
          <w:rFonts w:ascii="宋体" w:hAnsi="宋体" w:cs="Arial"/>
          <w:i/>
          <w:iCs/>
          <w:sz w:val="28"/>
          <w:szCs w:val="28"/>
          <w:highlight w:val="none"/>
          <w:u w:val="single"/>
        </w:rPr>
        <w:t>第二十二条</w:t>
      </w:r>
      <w:r>
        <w:rPr>
          <w:rFonts w:hint="eastAsia" w:ascii="宋体" w:hAnsi="宋体" w:cs="Arial"/>
          <w:i/>
          <w:iCs/>
          <w:sz w:val="28"/>
          <w:szCs w:val="28"/>
          <w:highlight w:val="none"/>
          <w:u w:val="single"/>
        </w:rPr>
        <w:t>第一款</w:t>
      </w:r>
      <w:r>
        <w:rPr>
          <w:rFonts w:ascii="宋体" w:hAnsi="宋体" w:cs="Arial"/>
          <w:i/>
          <w:iCs/>
          <w:sz w:val="28"/>
          <w:szCs w:val="28"/>
          <w:highlight w:val="none"/>
          <w:u w:val="single"/>
        </w:rPr>
        <w:t>规定</w:t>
      </w:r>
      <w:r>
        <w:rPr>
          <w:rFonts w:hint="eastAsia" w:ascii="宋体" w:hAnsi="宋体" w:cs="Arial"/>
          <w:i/>
          <w:iCs/>
          <w:sz w:val="28"/>
          <w:szCs w:val="28"/>
          <w:highlight w:val="none"/>
          <w:u w:val="single"/>
        </w:rPr>
        <w:t>的条件，并依照政府采购法实施条例第十七条规定提供下列材料：</w:t>
      </w:r>
    </w:p>
    <w:p>
      <w:pPr>
        <w:snapToGrid w:val="0"/>
        <w:spacing w:line="538"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1.具有独立承担民事责任的能力，提供法人或其他组织的营业执照等证明文件，复印件加盖公章；</w:t>
      </w:r>
    </w:p>
    <w:p>
      <w:pPr>
        <w:snapToGrid w:val="0"/>
        <w:spacing w:line="538"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2.法人代表授权书（原件）及法定代表人、授权代表身份证复印件（如果是法定代表人直接参与投标的可以不提供授权书）；</w:t>
      </w:r>
    </w:p>
    <w:p>
      <w:pPr>
        <w:snapToGrid w:val="0"/>
        <w:spacing w:line="538"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3.具有良好的商业信誉和健全的财务会计制度，提供距开标时间六个月内任意一月份的财务状况报告（至少包括资产负债表和利润表）（法人或者其他组织成立未满三个月的可以不提供），或其银行出具的资信证书（复印件）（开标前六个月内），或其上一年度经审计的财务报告复印件加盖公章；</w:t>
      </w:r>
    </w:p>
    <w:p>
      <w:pPr>
        <w:snapToGrid w:val="0"/>
        <w:spacing w:line="538"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4.具有履行合同所必需的设备和专业技术能力（根据项目需求提供履行合同所必需的设备和专业技术能力的证明材料或相关加盖公章的承诺函，承诺函自行编写）；</w:t>
      </w:r>
    </w:p>
    <w:p>
      <w:pPr>
        <w:snapToGrid w:val="0"/>
        <w:spacing w:line="538"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5.参加政府采购活动近三年内（成立时间不足三年的、自成立时间起），在经营活动中没有重大违法记录（提供承诺书，格式自拟，重大违法记录是指供应商因违法经营受到刑事处罚或责令停产停业、吊销许可证或者执照、较大数额等行政处罚）；</w:t>
      </w:r>
    </w:p>
    <w:p>
      <w:pPr>
        <w:snapToGrid w:val="0"/>
        <w:spacing w:line="538"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6.有依法缴纳税收的良好记录，提供距开标时间六个月内任意一月份的纳税凭据复印件加盖公章（依法免税的应提供相应文件说明）；</w:t>
      </w:r>
    </w:p>
    <w:p>
      <w:pPr>
        <w:snapToGrid w:val="0"/>
        <w:spacing w:line="538"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7.有依法缴纳社会保障资金的良好记录，提供距开标时间六个月内任意一月份的依法缴纳社会保障资金的凭据复印件加盖公章；</w:t>
      </w:r>
    </w:p>
    <w:p>
      <w:pPr>
        <w:snapToGrid w:val="0"/>
        <w:spacing w:line="538"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8.本项目拒绝下述供应商参加本次采购活动的情形：</w:t>
      </w:r>
    </w:p>
    <w:p>
      <w:pPr>
        <w:snapToGrid w:val="0"/>
        <w:spacing w:line="538"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（1）供应商单位负责人为同一人或者存在直接控股、管理关系的不同供应商，不得参加同一合同项下的政府采购活动。</w:t>
      </w:r>
    </w:p>
    <w:p>
      <w:pPr>
        <w:snapToGrid w:val="0"/>
        <w:spacing w:line="538"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（2）凡为采购项目提供整体设计、规范编制或者项目管理、监理、检测等服务的供应商，不得再参加本项目的采购活动。</w:t>
      </w:r>
    </w:p>
    <w:p>
      <w:pPr>
        <w:spacing w:line="360" w:lineRule="auto"/>
        <w:ind w:firstLine="548" w:firstLineChars="196"/>
        <w:rPr>
          <w:rFonts w:ascii="宋体" w:hAnsi="宋体" w:cs="宋体"/>
          <w:sz w:val="28"/>
          <w:szCs w:val="28"/>
          <w:highlight w:val="none"/>
        </w:rPr>
      </w:pPr>
      <w:r>
        <w:rPr>
          <w:rFonts w:hint="eastAsia" w:ascii="宋体" w:hAnsi="宋体" w:cs="宋体"/>
          <w:bCs/>
          <w:sz w:val="28"/>
          <w:szCs w:val="28"/>
          <w:highlight w:val="none"/>
        </w:rPr>
        <w:t>（3）供应商被“信用中国”网站（www.creditchina.gov.cn）、“中国政府采</w:t>
      </w:r>
      <w:r>
        <w:rPr>
          <w:rFonts w:hint="eastAsia" w:ascii="宋体" w:hAnsi="宋体" w:cs="宋体"/>
          <w:sz w:val="28"/>
          <w:szCs w:val="28"/>
          <w:highlight w:val="none"/>
        </w:rPr>
        <w:t>购网”(www.ccgp.gov.cn)列入失信被执行人、重大税收违法案件当事人名单、政府采购严重违法失信行为记录名单。</w:t>
      </w:r>
    </w:p>
    <w:p>
      <w:pPr>
        <w:spacing w:line="360" w:lineRule="auto"/>
        <w:ind w:firstLine="548" w:firstLineChars="196"/>
        <w:rPr>
          <w:rFonts w:ascii="宋体" w:hAnsi="宋体" w:cs="宋体"/>
          <w:sz w:val="28"/>
          <w:szCs w:val="28"/>
          <w:highlight w:val="none"/>
        </w:rPr>
      </w:pPr>
      <w:r>
        <w:rPr>
          <w:rFonts w:hint="eastAsia" w:ascii="宋体" w:hAnsi="宋体" w:cs="宋体"/>
          <w:sz w:val="28"/>
          <w:szCs w:val="28"/>
          <w:highlight w:val="none"/>
        </w:rPr>
        <w:t>9.本项目不接受联合体投标。</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二、本项目采用资格后审法，唱标后，进行资格审定。</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三、投标人应按附件</w:t>
      </w:r>
      <w:r>
        <w:rPr>
          <w:rFonts w:ascii="宋体" w:hAnsi="宋体" w:cs="宋体"/>
          <w:sz w:val="28"/>
          <w:szCs w:val="28"/>
          <w:highlight w:val="none"/>
        </w:rPr>
        <w:t>2</w:t>
      </w:r>
      <w:r>
        <w:rPr>
          <w:rFonts w:hint="eastAsia" w:ascii="宋体" w:hAnsi="宋体" w:cs="宋体"/>
          <w:sz w:val="28"/>
          <w:szCs w:val="28"/>
          <w:highlight w:val="none"/>
        </w:rPr>
        <w:t>、附件</w:t>
      </w:r>
      <w:r>
        <w:rPr>
          <w:rFonts w:ascii="宋体" w:hAnsi="宋体" w:cs="宋体"/>
          <w:sz w:val="28"/>
          <w:szCs w:val="28"/>
          <w:highlight w:val="none"/>
        </w:rPr>
        <w:t>3</w:t>
      </w:r>
      <w:r>
        <w:rPr>
          <w:rFonts w:hint="eastAsia" w:ascii="宋体" w:hAnsi="宋体" w:cs="宋体"/>
          <w:sz w:val="28"/>
          <w:szCs w:val="28"/>
          <w:highlight w:val="none"/>
        </w:rPr>
        <w:t>的格式报价，每一项目只有一个报价，不应有任何选择性报价。报价中应明确所投产品（或服务）的名称、品牌和型号，每一项目的报价应附有该项目的技术性能、材质、主要附件的详细描述和材料分析表等。</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四、项目若有分包，投标人可对招标清单中的任一分包、几包或全部分包投标，但不可拆分单一分包内容。对所投标的各分包项目，分别报投标单价和总价。</w:t>
      </w:r>
    </w:p>
    <w:p>
      <w:pPr>
        <w:spacing w:line="360" w:lineRule="auto"/>
        <w:ind w:firstLine="548" w:firstLineChars="196"/>
        <w:rPr>
          <w:rFonts w:ascii="宋体" w:hAnsi="宋体" w:cs="宋体"/>
          <w:sz w:val="28"/>
          <w:szCs w:val="28"/>
          <w:highlight w:val="none"/>
        </w:rPr>
      </w:pPr>
      <w:r>
        <w:rPr>
          <w:rFonts w:hint="eastAsia" w:ascii="宋体" w:hAnsi="宋体" w:cs="宋体"/>
          <w:sz w:val="28"/>
          <w:szCs w:val="28"/>
          <w:highlight w:val="none"/>
        </w:rPr>
        <w:t>五、本项目为交钥匙工程，报价为货物（含服务）到招标文件指定的地点安装完毕并验收合格后的最终报价。投标人的报价应将设备费、服务费、代理费、运输费、上下力费、检测费、安装费、调试费、安装辅材、合理利润、国家相关税费（含关税）及其他所有费用包含在内，一旦确定中标，不得另行提出其他费用要求。</w:t>
      </w:r>
    </w:p>
    <w:p>
      <w:pPr>
        <w:spacing w:line="360" w:lineRule="auto"/>
        <w:ind w:firstLine="548" w:firstLineChars="196"/>
        <w:rPr>
          <w:rFonts w:ascii="宋体" w:hAnsi="宋体" w:cs="宋体"/>
          <w:sz w:val="28"/>
          <w:szCs w:val="28"/>
          <w:highlight w:val="none"/>
        </w:rPr>
      </w:pPr>
      <w:r>
        <w:rPr>
          <w:rFonts w:hint="eastAsia" w:ascii="宋体" w:hAnsi="宋体" w:cs="宋体"/>
          <w:sz w:val="28"/>
          <w:szCs w:val="28"/>
          <w:highlight w:val="none"/>
        </w:rPr>
        <w:t>六、本项目预算价为</w:t>
      </w:r>
      <w:r>
        <w:rPr>
          <w:rFonts w:hint="eastAsia" w:ascii="宋体" w:hAnsi="宋体" w:cs="宋体"/>
          <w:sz w:val="28"/>
          <w:szCs w:val="28"/>
          <w:highlight w:val="none"/>
          <w:lang w:val="en-US" w:eastAsia="zh-CN"/>
        </w:rPr>
        <w:t>45</w:t>
      </w:r>
      <w:r>
        <w:rPr>
          <w:rFonts w:hint="eastAsia" w:ascii="宋体" w:hAnsi="宋体" w:cs="宋体"/>
          <w:sz w:val="28"/>
          <w:szCs w:val="28"/>
          <w:highlight w:val="none"/>
        </w:rPr>
        <w:t>万元，本项目只接受人民币报价。</w:t>
      </w:r>
    </w:p>
    <w:p>
      <w:pPr>
        <w:spacing w:before="312" w:beforeLines="100" w:after="312" w:afterLines="100" w:line="360" w:lineRule="auto"/>
        <w:ind w:firstLine="548" w:firstLineChars="196"/>
        <w:jc w:val="center"/>
        <w:rPr>
          <w:rFonts w:ascii="黑体" w:hAnsi="黑体" w:eastAsia="黑体" w:cs="宋体"/>
          <w:sz w:val="28"/>
          <w:szCs w:val="28"/>
          <w:highlight w:val="none"/>
        </w:rPr>
      </w:pPr>
      <w:bookmarkStart w:id="4" w:name="_Hlk9866140"/>
      <w:r>
        <w:rPr>
          <w:rFonts w:hint="eastAsia" w:ascii="黑体" w:hAnsi="黑体" w:eastAsia="黑体" w:cs="宋体"/>
          <w:sz w:val="28"/>
          <w:szCs w:val="28"/>
          <w:highlight w:val="none"/>
        </w:rPr>
        <w:t>三、对投标文件的要求</w:t>
      </w:r>
    </w:p>
    <w:p>
      <w:pPr>
        <w:snapToGrid w:val="0"/>
        <w:spacing w:line="538" w:lineRule="exact"/>
        <w:ind w:firstLine="560" w:firstLineChars="200"/>
        <w:rPr>
          <w:rFonts w:ascii="宋体" w:hAnsi="宋体" w:cs="宋体"/>
          <w:bCs/>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投标人根据招标公告向我校提出报名后，</w:t>
      </w:r>
      <w:r>
        <w:rPr>
          <w:rFonts w:hint="eastAsia" w:ascii="宋体" w:hAnsi="宋体" w:cs="宋体"/>
          <w:bCs/>
          <w:sz w:val="28"/>
          <w:szCs w:val="28"/>
          <w:highlight w:val="none"/>
        </w:rPr>
        <w:t>从公告中自行下载招标文件电子版，并按招标文件的要求认真编制投标文件。</w:t>
      </w:r>
    </w:p>
    <w:p>
      <w:pPr>
        <w:snapToGrid w:val="0"/>
        <w:spacing w:line="538" w:lineRule="exact"/>
        <w:ind w:firstLine="560" w:firstLineChars="200"/>
        <w:rPr>
          <w:rFonts w:ascii="宋体" w:hAnsi="宋体" w:cs="宋体"/>
          <w:sz w:val="28"/>
          <w:szCs w:val="28"/>
          <w:highlight w:val="none"/>
        </w:rPr>
      </w:pPr>
      <w:r>
        <w:rPr>
          <w:rFonts w:hint="eastAsia" w:ascii="宋体" w:hAnsi="宋体" w:cs="宋体"/>
          <w:sz w:val="28"/>
          <w:szCs w:val="28"/>
          <w:highlight w:val="none"/>
        </w:rPr>
        <w:t>2.投标文件一正四副，正、副本均须列出目录，内容不得有插行、涂抹、粘贴等，并打印装订成册。</w:t>
      </w:r>
    </w:p>
    <w:p>
      <w:pPr>
        <w:snapToGrid w:val="0"/>
        <w:spacing w:line="538" w:lineRule="exact"/>
        <w:ind w:firstLine="560" w:firstLineChars="200"/>
        <w:rPr>
          <w:rFonts w:ascii="宋体" w:cs="宋体"/>
          <w:sz w:val="28"/>
          <w:szCs w:val="28"/>
          <w:highlight w:val="none"/>
        </w:rPr>
      </w:pPr>
      <w:r>
        <w:rPr>
          <w:rFonts w:hint="eastAsia" w:ascii="宋体" w:hAnsi="宋体" w:cs="宋体"/>
          <w:sz w:val="28"/>
          <w:szCs w:val="28"/>
          <w:highlight w:val="none"/>
        </w:rPr>
        <w:t>3.投标文件用档案袋密封，档案袋封面标明“正本”或“副本”字样，并注明招标编号、投标项目名称、投标人名称及投标人代表姓名、手机号码（务必留手机号码，不得留座机号码，以便联系）。</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为便于唱标和减少浪费，请将</w:t>
      </w:r>
      <w:r>
        <w:rPr>
          <w:rFonts w:ascii="宋体" w:hAnsi="宋体" w:cs="宋体"/>
          <w:sz w:val="28"/>
          <w:szCs w:val="28"/>
          <w:highlight w:val="none"/>
        </w:rPr>
        <w:t>1</w:t>
      </w:r>
      <w:r>
        <w:rPr>
          <w:rFonts w:hint="eastAsia" w:ascii="宋体" w:hAnsi="宋体" w:cs="宋体"/>
          <w:sz w:val="28"/>
          <w:szCs w:val="28"/>
          <w:highlight w:val="none"/>
        </w:rPr>
        <w:t>份正本单独封装，另外</w:t>
      </w:r>
      <w:r>
        <w:rPr>
          <w:rFonts w:ascii="宋体" w:hAnsi="宋体" w:cs="宋体"/>
          <w:sz w:val="28"/>
          <w:szCs w:val="28"/>
          <w:highlight w:val="none"/>
        </w:rPr>
        <w:t>4</w:t>
      </w:r>
      <w:r>
        <w:rPr>
          <w:rFonts w:hint="eastAsia" w:ascii="宋体" w:hAnsi="宋体" w:cs="宋体"/>
          <w:sz w:val="28"/>
          <w:szCs w:val="28"/>
          <w:highlight w:val="none"/>
        </w:rPr>
        <w:t>份副本可叠加封装在一个大的档案袋中（</w:t>
      </w:r>
      <w:r>
        <w:rPr>
          <w:rFonts w:ascii="宋体" w:hAnsi="宋体" w:cs="宋体"/>
          <w:sz w:val="28"/>
          <w:szCs w:val="28"/>
          <w:highlight w:val="none"/>
        </w:rPr>
        <w:t>4</w:t>
      </w:r>
      <w:r>
        <w:rPr>
          <w:rFonts w:hint="eastAsia" w:ascii="宋体" w:hAnsi="宋体" w:cs="宋体"/>
          <w:sz w:val="28"/>
          <w:szCs w:val="28"/>
          <w:highlight w:val="none"/>
        </w:rPr>
        <w:t>份副本无需分别封装在</w:t>
      </w:r>
      <w:r>
        <w:rPr>
          <w:rFonts w:ascii="宋体" w:hAnsi="宋体" w:cs="宋体"/>
          <w:sz w:val="28"/>
          <w:szCs w:val="28"/>
          <w:highlight w:val="none"/>
        </w:rPr>
        <w:t>4</w:t>
      </w:r>
      <w:r>
        <w:rPr>
          <w:rFonts w:hint="eastAsia" w:ascii="宋体" w:hAnsi="宋体" w:cs="宋体"/>
          <w:sz w:val="28"/>
          <w:szCs w:val="28"/>
          <w:highlight w:val="none"/>
        </w:rPr>
        <w:t>个档案袋中，一个大档案袋封装不下的除外）。每家投标人在送交投标文件时，只需交</w:t>
      </w:r>
      <w:r>
        <w:rPr>
          <w:rFonts w:ascii="宋体" w:hAnsi="宋体" w:cs="宋体"/>
          <w:sz w:val="28"/>
          <w:szCs w:val="28"/>
          <w:highlight w:val="none"/>
        </w:rPr>
        <w:t>2</w:t>
      </w:r>
      <w:r>
        <w:rPr>
          <w:rFonts w:hint="eastAsia" w:ascii="宋体" w:hAnsi="宋体" w:cs="宋体"/>
          <w:sz w:val="28"/>
          <w:szCs w:val="28"/>
          <w:highlight w:val="none"/>
        </w:rPr>
        <w:t>个档案袋即可，即</w:t>
      </w:r>
      <w:r>
        <w:rPr>
          <w:rFonts w:ascii="宋体" w:hAnsi="宋体" w:cs="宋体"/>
          <w:sz w:val="28"/>
          <w:szCs w:val="28"/>
          <w:highlight w:val="none"/>
        </w:rPr>
        <w:t>1</w:t>
      </w:r>
      <w:r>
        <w:rPr>
          <w:rFonts w:hint="eastAsia" w:ascii="宋体" w:hAnsi="宋体" w:cs="宋体"/>
          <w:sz w:val="28"/>
          <w:szCs w:val="28"/>
          <w:highlight w:val="none"/>
        </w:rPr>
        <w:t>个正本档案袋，</w:t>
      </w:r>
      <w:r>
        <w:rPr>
          <w:rFonts w:ascii="宋体" w:hAnsi="宋体" w:cs="宋体"/>
          <w:sz w:val="28"/>
          <w:szCs w:val="28"/>
          <w:highlight w:val="none"/>
        </w:rPr>
        <w:t>1</w:t>
      </w:r>
      <w:r>
        <w:rPr>
          <w:rFonts w:hint="eastAsia" w:ascii="宋体" w:hAnsi="宋体" w:cs="宋体"/>
          <w:sz w:val="28"/>
          <w:szCs w:val="28"/>
          <w:highlight w:val="none"/>
        </w:rPr>
        <w:t>个大的副本档案袋。</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投标文件应包含以下内容（所有材料必须加盖投标单位公章）：</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）经投标单位法人或委托代理人代表签字并加盖单位公章的投标函（附件</w:t>
      </w:r>
      <w:r>
        <w:rPr>
          <w:rFonts w:ascii="宋体" w:hAnsi="宋体" w:cs="宋体"/>
          <w:sz w:val="28"/>
          <w:szCs w:val="28"/>
          <w:highlight w:val="none"/>
        </w:rPr>
        <w:t>2</w:t>
      </w:r>
      <w:r>
        <w:rPr>
          <w:rFonts w:hint="eastAsia" w:ascii="宋体" w:hAnsi="宋体" w:cs="宋体"/>
          <w:sz w:val="28"/>
          <w:szCs w:val="28"/>
          <w:highlight w:val="none"/>
        </w:rPr>
        <w:t>格式，为便于唱标，此函件请务必放置在投标文件内页的第一页）；</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）投标价格明细表（附件</w:t>
      </w:r>
      <w:r>
        <w:rPr>
          <w:rFonts w:ascii="宋体" w:hAnsi="宋体" w:cs="宋体"/>
          <w:sz w:val="28"/>
          <w:szCs w:val="28"/>
          <w:highlight w:val="none"/>
        </w:rPr>
        <w:t>3</w:t>
      </w:r>
      <w:r>
        <w:rPr>
          <w:rFonts w:hint="eastAsia" w:ascii="宋体" w:hAnsi="宋体" w:cs="宋体"/>
          <w:sz w:val="28"/>
          <w:szCs w:val="28"/>
          <w:highlight w:val="none"/>
        </w:rPr>
        <w:t>）；</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3</w:t>
      </w:r>
      <w:r>
        <w:rPr>
          <w:rFonts w:hint="eastAsia" w:ascii="宋体" w:hAnsi="宋体" w:cs="宋体"/>
          <w:sz w:val="28"/>
          <w:szCs w:val="28"/>
          <w:highlight w:val="none"/>
        </w:rPr>
        <w:t>）</w:t>
      </w:r>
      <w:r>
        <w:rPr>
          <w:rFonts w:ascii="宋体" w:hAnsi="宋体" w:cs="宋体"/>
          <w:sz w:val="28"/>
          <w:szCs w:val="28"/>
          <w:highlight w:val="none"/>
        </w:rPr>
        <w:t>300</w:t>
      </w:r>
      <w:r>
        <w:rPr>
          <w:rFonts w:hint="eastAsia" w:ascii="宋体" w:hAnsi="宋体" w:cs="宋体"/>
          <w:sz w:val="28"/>
          <w:szCs w:val="28"/>
          <w:highlight w:val="none"/>
        </w:rPr>
        <w:t>元报名资料费银行转账回单（复印件）；</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4</w:t>
      </w:r>
      <w:r>
        <w:rPr>
          <w:rFonts w:hint="eastAsia" w:ascii="宋体" w:hAnsi="宋体" w:cs="宋体"/>
          <w:sz w:val="28"/>
          <w:szCs w:val="28"/>
          <w:highlight w:val="none"/>
        </w:rPr>
        <w:t>）投标人相关资质证明文件复印件（如：营业执照、组织机构代码证、银行基本户开户证、生产许可证、资质证书等）；</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5</w:t>
      </w:r>
      <w:r>
        <w:rPr>
          <w:rFonts w:hint="eastAsia" w:ascii="宋体" w:hAnsi="宋体" w:cs="宋体"/>
          <w:sz w:val="28"/>
          <w:szCs w:val="28"/>
          <w:highlight w:val="none"/>
        </w:rPr>
        <w:t>）授权委托书、被委托人身份证复印件；</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6</w:t>
      </w:r>
      <w:r>
        <w:rPr>
          <w:rFonts w:hint="eastAsia" w:ascii="宋体" w:hAnsi="宋体" w:cs="宋体"/>
          <w:sz w:val="28"/>
          <w:szCs w:val="28"/>
          <w:highlight w:val="none"/>
        </w:rPr>
        <w:t>）产品（或服务，下同）技术性能参数的详细描述一览表（投标文件在对投标标的物进行技术和商务描述时，必须完全按照招标文件附件</w:t>
      </w:r>
      <w:r>
        <w:rPr>
          <w:rFonts w:ascii="宋体" w:hAnsi="宋体" w:cs="宋体"/>
          <w:sz w:val="28"/>
          <w:szCs w:val="28"/>
          <w:highlight w:val="none"/>
        </w:rPr>
        <w:t>1</w:t>
      </w:r>
      <w:r>
        <w:rPr>
          <w:rFonts w:hint="eastAsia" w:ascii="宋体" w:hAnsi="宋体" w:cs="宋体"/>
          <w:sz w:val="28"/>
          <w:szCs w:val="28"/>
          <w:highlight w:val="none"/>
        </w:rPr>
        <w:t>中的章节顺序依次逐条响应，不得颠倒顺序，不得有漏项，不得原封不动地引用招标文件附件</w:t>
      </w:r>
      <w:r>
        <w:rPr>
          <w:rFonts w:ascii="宋体" w:hAnsi="宋体" w:cs="宋体"/>
          <w:sz w:val="28"/>
          <w:szCs w:val="28"/>
          <w:highlight w:val="none"/>
        </w:rPr>
        <w:t>1</w:t>
      </w:r>
      <w:r>
        <w:rPr>
          <w:rFonts w:hint="eastAsia" w:ascii="宋体" w:hAnsi="宋体" w:cs="宋体"/>
          <w:sz w:val="28"/>
          <w:szCs w:val="28"/>
          <w:highlight w:val="none"/>
        </w:rPr>
        <w:t>中的章节、句段；投标文件应采用文字加图片或图形描述的方式对标的物进行必要的、详尽的说明；</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7</w:t>
      </w:r>
      <w:r>
        <w:rPr>
          <w:rFonts w:hint="eastAsia" w:ascii="宋体" w:hAnsi="宋体" w:cs="宋体"/>
          <w:sz w:val="28"/>
          <w:szCs w:val="28"/>
          <w:highlight w:val="none"/>
        </w:rPr>
        <w:t>）产品技术和商务指标偏差表；</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8</w:t>
      </w:r>
      <w:r>
        <w:rPr>
          <w:rFonts w:hint="eastAsia" w:ascii="宋体" w:hAnsi="宋体" w:cs="宋体"/>
          <w:sz w:val="28"/>
          <w:szCs w:val="28"/>
          <w:highlight w:val="none"/>
        </w:rPr>
        <w:t>）产品服务方案；</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9</w:t>
      </w:r>
      <w:r>
        <w:rPr>
          <w:rFonts w:hint="eastAsia" w:ascii="宋体" w:hAnsi="宋体" w:cs="宋体"/>
          <w:sz w:val="28"/>
          <w:szCs w:val="28"/>
          <w:highlight w:val="none"/>
        </w:rPr>
        <w:t>）产品销售授权书或代理证书（如系代理公司的）；</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10)</w:t>
      </w:r>
      <w:r>
        <w:rPr>
          <w:rFonts w:hint="eastAsia" w:ascii="宋体" w:hAnsi="宋体" w:cs="宋体"/>
          <w:sz w:val="28"/>
          <w:szCs w:val="28"/>
          <w:highlight w:val="none"/>
        </w:rPr>
        <w:t xml:space="preserve"> 产品质量、工期、安全、管理及售后服务承诺书；</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11</w:t>
      </w:r>
      <w:r>
        <w:rPr>
          <w:rFonts w:hint="eastAsia" w:ascii="宋体" w:hAnsi="宋体" w:cs="宋体"/>
          <w:sz w:val="28"/>
          <w:szCs w:val="28"/>
          <w:highlight w:val="none"/>
        </w:rPr>
        <w:t>）产品质量检测报告、质保、认证等证书；</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12</w:t>
      </w:r>
      <w:r>
        <w:rPr>
          <w:rFonts w:hint="eastAsia" w:ascii="宋体" w:hAnsi="宋体" w:cs="宋体"/>
          <w:sz w:val="28"/>
          <w:szCs w:val="28"/>
          <w:highlight w:val="none"/>
        </w:rPr>
        <w:t>）投标单位或产品或服务近三年相关业绩证明材料（含中标通知书、合同及竣工验收意见表，三者缺一不可）；</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13</w:t>
      </w:r>
      <w:r>
        <w:rPr>
          <w:rFonts w:hint="eastAsia" w:ascii="宋体" w:hAnsi="宋体" w:cs="宋体"/>
          <w:sz w:val="28"/>
          <w:szCs w:val="28"/>
          <w:highlight w:val="none"/>
        </w:rPr>
        <w:t>）对所提供投标资料真实性的声明，如有失信，自愿接受我校的相关处罚（法人代表或授权委托人签名并加盖单位公章的原件）；</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14</w:t>
      </w:r>
      <w:r>
        <w:rPr>
          <w:rFonts w:hint="eastAsia" w:ascii="宋体" w:hAnsi="宋体" w:cs="宋体"/>
          <w:sz w:val="28"/>
          <w:szCs w:val="28"/>
          <w:highlight w:val="none"/>
        </w:rPr>
        <w:t>）招标文件规定或投标人对照评标办法的得分因素以及附件</w:t>
      </w:r>
      <w:r>
        <w:rPr>
          <w:rFonts w:ascii="宋体" w:hAnsi="宋体" w:cs="宋体"/>
          <w:sz w:val="28"/>
          <w:szCs w:val="28"/>
          <w:highlight w:val="none"/>
        </w:rPr>
        <w:t>1</w:t>
      </w:r>
      <w:r>
        <w:rPr>
          <w:rFonts w:hint="eastAsia" w:ascii="宋体" w:hAnsi="宋体" w:cs="宋体"/>
          <w:sz w:val="28"/>
          <w:szCs w:val="28"/>
          <w:highlight w:val="none"/>
        </w:rPr>
        <w:t>相关要求认为应提交的其他资料和文件。</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6.</w:t>
      </w:r>
      <w:r>
        <w:rPr>
          <w:rFonts w:hint="eastAsia" w:ascii="宋体" w:hAnsi="宋体" w:cs="宋体"/>
          <w:sz w:val="28"/>
          <w:szCs w:val="28"/>
          <w:highlight w:val="none"/>
        </w:rPr>
        <w:t>投标人在投标文件中应承诺对如下内容已完全理解，如不承诺，视为认可：</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）在参与我校相关项目的招投标活动中，遵纪守法，诚信经营，公平竞争；</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）不向项目主管单位、招标主管单位、采购人、评标专家等相关人员行贿或提供好处等；不与招标采购项目的主管单位、招标管理部门、采购人、评审专家或其他投标人串通，干扰学校招标采购市场秩序；</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3</w:t>
      </w:r>
      <w:r>
        <w:rPr>
          <w:rFonts w:hint="eastAsia" w:ascii="宋体" w:hAnsi="宋体" w:cs="宋体"/>
          <w:sz w:val="28"/>
          <w:szCs w:val="28"/>
          <w:highlight w:val="none"/>
        </w:rPr>
        <w:t>）不向学校提供虚假资质文件或采用各种虚假应标方式进行投标竞争；不采取“围标、陪标”等商业欺诈手段参与投标；不发生其他有悖于招标采购“公开、公平、公正和诚信”原则的行为；</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4</w:t>
      </w:r>
      <w:r>
        <w:rPr>
          <w:rFonts w:hint="eastAsia" w:ascii="宋体" w:hAnsi="宋体" w:cs="宋体"/>
          <w:sz w:val="28"/>
          <w:szCs w:val="28"/>
          <w:highlight w:val="none"/>
        </w:rPr>
        <w:t>）不采取不正当手段诋毁、排挤其他投标人；</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5</w:t>
      </w:r>
      <w:r>
        <w:rPr>
          <w:rFonts w:hint="eastAsia" w:ascii="宋体" w:hAnsi="宋体" w:cs="宋体"/>
          <w:sz w:val="28"/>
          <w:szCs w:val="28"/>
          <w:highlight w:val="none"/>
        </w:rPr>
        <w:t>）不在提供商品和服务时以次充好，损害学校的利益；本项目所明确指定的物品名称、规格、品牌（产地）、性能，或明确提出其他各项要求的，投标单位保证中标后按要求执行；特殊情况下，做任何更改必须经我校书面认可，否则本校有权酌减直至拒付货款；</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6</w:t>
      </w:r>
      <w:r>
        <w:rPr>
          <w:rFonts w:hint="eastAsia" w:ascii="宋体" w:hAnsi="宋体" w:cs="宋体"/>
          <w:sz w:val="28"/>
          <w:szCs w:val="28"/>
          <w:highlight w:val="none"/>
        </w:rPr>
        <w:t>）本项目的中标单位由本校评标专家组按规定程序确定（采用“评定分离”制的项目除外）；</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7</w:t>
      </w:r>
      <w:r>
        <w:rPr>
          <w:rFonts w:hint="eastAsia" w:ascii="宋体" w:hAnsi="宋体" w:cs="宋体"/>
          <w:sz w:val="28"/>
          <w:szCs w:val="28"/>
          <w:highlight w:val="none"/>
        </w:rPr>
        <w:t>）未能中标单位，本校对其原因不作解释；</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8</w:t>
      </w:r>
      <w:r>
        <w:rPr>
          <w:rFonts w:hint="eastAsia" w:ascii="宋体" w:hAnsi="宋体" w:cs="宋体"/>
          <w:sz w:val="28"/>
          <w:szCs w:val="28"/>
          <w:highlight w:val="none"/>
        </w:rPr>
        <w:t>）投标单位对本文件其他内容已充分理解，并承诺一经中标即严格按合同执行，合同附件与合同有同等法律效力。</w:t>
      </w:r>
    </w:p>
    <w:bookmarkEnd w:id="4"/>
    <w:p>
      <w:pPr>
        <w:spacing w:before="312" w:beforeLines="100" w:after="312" w:afterLines="100" w:line="360" w:lineRule="auto"/>
        <w:ind w:firstLine="548" w:firstLineChars="196"/>
        <w:jc w:val="center"/>
        <w:rPr>
          <w:rFonts w:ascii="黑体" w:hAnsi="黑体" w:eastAsia="黑体" w:cs="宋体"/>
          <w:sz w:val="28"/>
          <w:szCs w:val="28"/>
          <w:highlight w:val="none"/>
        </w:rPr>
      </w:pPr>
      <w:bookmarkStart w:id="5" w:name="_Hlk9866206"/>
      <w:r>
        <w:rPr>
          <w:rFonts w:hint="eastAsia" w:ascii="黑体" w:hAnsi="黑体" w:eastAsia="黑体" w:cs="宋体"/>
          <w:sz w:val="28"/>
          <w:szCs w:val="28"/>
          <w:highlight w:val="none"/>
        </w:rPr>
        <w:t>四、开标程序</w:t>
      </w:r>
    </w:p>
    <w:bookmarkEnd w:id="5"/>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招标文件给出评标办法（见附件</w:t>
      </w:r>
      <w:r>
        <w:rPr>
          <w:rFonts w:ascii="宋体" w:hAnsi="宋体" w:cs="宋体"/>
          <w:sz w:val="28"/>
          <w:szCs w:val="28"/>
          <w:highlight w:val="none"/>
        </w:rPr>
        <w:t>5</w:t>
      </w:r>
      <w:r>
        <w:rPr>
          <w:rFonts w:hint="eastAsia" w:ascii="宋体" w:hAnsi="宋体" w:cs="宋体"/>
          <w:sz w:val="28"/>
          <w:szCs w:val="28"/>
          <w:highlight w:val="none"/>
        </w:rPr>
        <w:t>）</w:t>
      </w:r>
      <w:r>
        <w:rPr>
          <w:rFonts w:ascii="宋体" w:cs="宋体"/>
          <w:sz w:val="28"/>
          <w:szCs w:val="28"/>
          <w:highlight w:val="none"/>
        </w:rPr>
        <w:t>,</w:t>
      </w:r>
      <w:r>
        <w:rPr>
          <w:rFonts w:hint="eastAsia" w:ascii="宋体" w:hAnsi="宋体" w:cs="宋体"/>
          <w:sz w:val="28"/>
          <w:szCs w:val="28"/>
          <w:highlight w:val="none"/>
        </w:rPr>
        <w:t>供投标人和评标专家组参考。</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在开标前工作日的半天，由校相关部门按照评委产生办法，从校招标和验收专家库中随机抽取评委，组成评标专家组。涉及学校发展等重大项目，经一定程序批准后，可临时组成综合评标专家组。对专业技术特别的项目，经一定程序批准后，从省市招标专家库中聘请一定数量的校外评审专家。</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由招标办根据政府和行业相关规定，以及招标工作经验，在起草招标文件时提出建议评标办法。招标文件传阅过程中，相关部门可对建议评标办法提出修改意见。投标人也可以在答疑过程中对评标办法提出修改建议。经过上述程序确定招标文件和评标办法。</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招标办工作人员在投标人的见证下唱标。投标人或投标人代表在唱标结果上签名确认。如投标人均未参加唱标，则由招标办工作人员和评标专家组组长、采购人代表共同签名确认。重要项目另请纪检监察部门代表签字。</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评标专家组按照确定的评标办法，根据投标人核心指标和非核心指标满足情况、报价、样品（有的项目有样品）、工作方案设计、产品或服务质量以及满足招标文件要求的程度、业绩、服务承诺等因素公正、独立综合打分和综合排序，确定拟中标单位。</w:t>
      </w:r>
    </w:p>
    <w:p>
      <w:pPr>
        <w:spacing w:line="360" w:lineRule="auto"/>
        <w:ind w:firstLine="560" w:firstLineChars="200"/>
        <w:rPr>
          <w:rFonts w:ascii="宋体" w:cs="宋体"/>
          <w:sz w:val="28"/>
          <w:szCs w:val="28"/>
          <w:highlight w:val="none"/>
        </w:rPr>
      </w:pPr>
      <w:r>
        <w:rPr>
          <w:rFonts w:hint="eastAsia" w:ascii="宋体" w:hAnsi="宋体" w:cs="宋体"/>
          <w:sz w:val="28"/>
          <w:szCs w:val="28"/>
          <w:highlight w:val="none"/>
        </w:rPr>
        <w:t>备注：评标统计规则：各评委先对各家单位综合得分情况进行排序，再将各评委排序累加，数字最小者为第一名，余类推，如有并列，再计算总分加以区别。</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6.</w:t>
      </w:r>
      <w:r>
        <w:rPr>
          <w:rFonts w:hint="eastAsia" w:ascii="宋体" w:hAnsi="宋体" w:cs="宋体"/>
          <w:sz w:val="28"/>
          <w:szCs w:val="28"/>
          <w:highlight w:val="none"/>
        </w:rPr>
        <w:t>投标报价有算术错误的，评标专家组按以下原则对投标报价进行修正，修正的价格经投标人书面确认后具有约束力。投标人不接受修正价格的，其投标作无效标处理。</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）投标文件中的大写金额与小写金额不一致的，以大写金额为准；正本和副本不一致的，以正本为准。</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）总价金额与依据单价计算出的结果不一致的，以单价金额为准修正总价，但单价金额小数点有明显错误的除外。</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7.</w:t>
      </w:r>
      <w:r>
        <w:rPr>
          <w:rFonts w:hint="eastAsia" w:ascii="宋体" w:hAnsi="宋体" w:cs="宋体"/>
          <w:sz w:val="28"/>
          <w:szCs w:val="28"/>
          <w:highlight w:val="none"/>
        </w:rPr>
        <w:t>招标办根据评标专家组综合排序，在学校网站和招标办网站对拟中标单位进行公示。公示结束，无异议，确定中标单位。</w:t>
      </w:r>
    </w:p>
    <w:p>
      <w:pPr>
        <w:spacing w:before="312" w:beforeLines="100" w:after="312" w:afterLines="100" w:line="360" w:lineRule="auto"/>
        <w:ind w:firstLine="548" w:firstLineChars="196"/>
        <w:jc w:val="center"/>
        <w:rPr>
          <w:rFonts w:ascii="黑体" w:hAnsi="黑体" w:eastAsia="黑体" w:cs="宋体"/>
          <w:sz w:val="28"/>
          <w:szCs w:val="28"/>
          <w:highlight w:val="none"/>
        </w:rPr>
      </w:pPr>
      <w:r>
        <w:rPr>
          <w:rFonts w:hint="eastAsia" w:ascii="黑体" w:hAnsi="黑体" w:eastAsia="黑体" w:cs="宋体"/>
          <w:sz w:val="28"/>
          <w:szCs w:val="28"/>
          <w:highlight w:val="none"/>
        </w:rPr>
        <w:t>五、无效投标</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投标文件出现下列情形的，将作为无效投标文件，不得进入评标：</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投标文件未按照招标文件的要求予以密封的；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投标文件中应盖投标单位公章未盖章的（含投标函、承诺函），或投标文件中投标单位法定代表人（或委托代理人）应盖章签字未盖章签字的，或投标文件正（副）本整本均未见法定代表人或委托代理人签字的；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投标文件少项漏项，或关键内容字迹模糊、无法辨认的；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有</w:t>
      </w:r>
      <w:r>
        <w:rPr>
          <w:rFonts w:ascii="宋体" w:hAnsi="宋体" w:cs="宋体"/>
          <w:sz w:val="28"/>
          <w:szCs w:val="28"/>
          <w:highlight w:val="none"/>
        </w:rPr>
        <w:t>1</w:t>
      </w:r>
      <w:r>
        <w:rPr>
          <w:rFonts w:hint="eastAsia" w:ascii="宋体" w:hAnsi="宋体" w:cs="宋体"/>
          <w:sz w:val="28"/>
          <w:szCs w:val="28"/>
          <w:highlight w:val="none"/>
        </w:rPr>
        <w:t>个核心指标或有</w:t>
      </w:r>
      <w:r>
        <w:rPr>
          <w:rFonts w:ascii="宋体" w:hAnsi="宋体" w:cs="宋体"/>
          <w:sz w:val="28"/>
          <w:szCs w:val="28"/>
          <w:highlight w:val="none"/>
        </w:rPr>
        <w:t>5</w:t>
      </w:r>
      <w:r>
        <w:rPr>
          <w:rFonts w:hint="eastAsia" w:ascii="宋体" w:hAnsi="宋体" w:cs="宋体"/>
          <w:sz w:val="28"/>
          <w:szCs w:val="28"/>
          <w:highlight w:val="none"/>
        </w:rPr>
        <w:t>个及以上非核心指标未能满足的；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投标单位提供的服务未能响应招标文件要求的，或服务不能满足招标要求的，或不符合招标文件规定的其他实质性要求的，或投标文件附有招标人不能接受的条件的；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6.</w:t>
      </w:r>
      <w:r>
        <w:rPr>
          <w:rFonts w:hint="eastAsia" w:ascii="宋体" w:hAnsi="宋体" w:cs="宋体"/>
          <w:sz w:val="28"/>
          <w:szCs w:val="28"/>
          <w:highlight w:val="none"/>
        </w:rPr>
        <w:t>技术指标响应内容未按照招标文件附件</w:t>
      </w:r>
      <w:r>
        <w:rPr>
          <w:rFonts w:ascii="宋体" w:hAnsi="宋体" w:cs="宋体"/>
          <w:sz w:val="28"/>
          <w:szCs w:val="28"/>
          <w:highlight w:val="none"/>
        </w:rPr>
        <w:t>1</w:t>
      </w:r>
      <w:r>
        <w:rPr>
          <w:rFonts w:hint="eastAsia" w:ascii="宋体" w:hAnsi="宋体" w:cs="宋体"/>
          <w:sz w:val="28"/>
          <w:szCs w:val="28"/>
          <w:highlight w:val="none"/>
        </w:rPr>
        <w:t>中的章节顺序依次逐条响应；投标文件未采用文字加图片或图形描述的方式对货物进行必要的、详尽的说明，原封不动地引用招标文件附件</w:t>
      </w:r>
      <w:r>
        <w:rPr>
          <w:rFonts w:ascii="宋体" w:hAnsi="宋体" w:cs="宋体"/>
          <w:sz w:val="28"/>
          <w:szCs w:val="28"/>
          <w:highlight w:val="none"/>
        </w:rPr>
        <w:t>1</w:t>
      </w:r>
      <w:r>
        <w:rPr>
          <w:rFonts w:hint="eastAsia" w:ascii="宋体" w:hAnsi="宋体" w:cs="宋体"/>
          <w:sz w:val="28"/>
          <w:szCs w:val="28"/>
          <w:highlight w:val="none"/>
        </w:rPr>
        <w:t>中的章节、句段的；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7.</w:t>
      </w:r>
      <w:r>
        <w:rPr>
          <w:rFonts w:hint="eastAsia" w:ascii="宋体" w:hAnsi="宋体" w:cs="宋体"/>
          <w:sz w:val="28"/>
          <w:szCs w:val="28"/>
          <w:highlight w:val="none"/>
        </w:rPr>
        <w:t>报价明显低于其他通过符合性审查投标人的报价，有可能影响产品质量或不能诚信履约的，评标专家组要求其在评标现场合理的时间内提供书面说明，必要时提交有关证明材料。投标人不能证明其报价合理性的，评标专家组将其作为无效投标处理；</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8.</w:t>
      </w:r>
      <w:r>
        <w:rPr>
          <w:rFonts w:hint="eastAsia" w:ascii="宋体" w:hAnsi="宋体" w:cs="宋体"/>
          <w:sz w:val="28"/>
          <w:szCs w:val="28"/>
          <w:highlight w:val="none"/>
        </w:rPr>
        <w:t>报价超过预算金额，或以人民币之外的币种报价的；</w:t>
      </w:r>
    </w:p>
    <w:p>
      <w:pPr>
        <w:spacing w:line="360" w:lineRule="auto"/>
        <w:ind w:firstLine="548" w:firstLineChars="196"/>
        <w:rPr>
          <w:rFonts w:ascii="宋体" w:hAnsi="宋体" w:cs="宋体"/>
          <w:b/>
          <w:sz w:val="28"/>
          <w:szCs w:val="28"/>
          <w:highlight w:val="none"/>
        </w:rPr>
      </w:pPr>
      <w:r>
        <w:rPr>
          <w:rFonts w:ascii="宋体" w:hAnsi="宋体" w:cs="宋体"/>
          <w:sz w:val="28"/>
          <w:szCs w:val="28"/>
          <w:highlight w:val="none"/>
        </w:rPr>
        <w:t>9.</w:t>
      </w:r>
      <w:r>
        <w:rPr>
          <w:rFonts w:hint="eastAsia" w:ascii="宋体" w:hAnsi="宋体" w:cs="宋体"/>
          <w:sz w:val="28"/>
          <w:szCs w:val="28"/>
          <w:highlight w:val="none"/>
        </w:rPr>
        <w:t>无</w:t>
      </w:r>
      <w:r>
        <w:rPr>
          <w:rFonts w:ascii="宋体" w:hAnsi="宋体" w:cs="宋体"/>
          <w:sz w:val="28"/>
          <w:szCs w:val="28"/>
          <w:highlight w:val="none"/>
        </w:rPr>
        <w:t>300</w:t>
      </w:r>
      <w:r>
        <w:rPr>
          <w:rFonts w:hint="eastAsia" w:ascii="宋体" w:hAnsi="宋体" w:cs="宋体"/>
          <w:sz w:val="28"/>
          <w:szCs w:val="28"/>
          <w:highlight w:val="none"/>
        </w:rPr>
        <w:t>元报名资料费银行转账回单复印件的，或报名资料费银行转账回单中无</w:t>
      </w:r>
      <w:r>
        <w:rPr>
          <w:rFonts w:hint="eastAsia" w:ascii="宋体" w:hAnsi="宋体" w:cs="宋体"/>
          <w:b/>
          <w:sz w:val="28"/>
          <w:szCs w:val="28"/>
          <w:highlight w:val="none"/>
        </w:rPr>
        <w:t>“</w:t>
      </w:r>
      <w:r>
        <w:rPr>
          <w:rFonts w:hint="eastAsia" w:ascii="宋体" w:hAnsi="宋体" w:cs="宋体"/>
          <w:b/>
          <w:sz w:val="28"/>
          <w:szCs w:val="28"/>
          <w:highlight w:val="none"/>
          <w:lang w:val="en-US" w:eastAsia="zh-CN"/>
        </w:rPr>
        <w:t>JZCG-2022-00134</w:t>
      </w:r>
      <w:r>
        <w:rPr>
          <w:rFonts w:hint="eastAsia" w:ascii="宋体" w:hAnsi="宋体" w:cs="宋体"/>
          <w:b/>
          <w:sz w:val="28"/>
          <w:szCs w:val="28"/>
          <w:highlight w:val="none"/>
        </w:rPr>
        <w:t>资料费”</w:t>
      </w:r>
      <w:r>
        <w:rPr>
          <w:rFonts w:hint="eastAsia" w:ascii="宋体" w:hAnsi="宋体" w:cs="宋体"/>
          <w:sz w:val="28"/>
          <w:szCs w:val="28"/>
          <w:highlight w:val="none"/>
        </w:rPr>
        <w:t>字样的；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10.</w:t>
      </w:r>
      <w:r>
        <w:rPr>
          <w:rFonts w:hint="eastAsia" w:ascii="宋体" w:hAnsi="宋体" w:cs="宋体"/>
          <w:sz w:val="28"/>
          <w:szCs w:val="28"/>
          <w:highlight w:val="none"/>
        </w:rPr>
        <w:t>招标文件中虽没明确，但经评标专家组讨论通过的符合无效投标情形的其他条件。</w:t>
      </w:r>
    </w:p>
    <w:p>
      <w:pPr>
        <w:spacing w:before="312" w:beforeLines="100" w:after="312" w:afterLines="100" w:line="360" w:lineRule="auto"/>
        <w:ind w:firstLine="548" w:firstLineChars="196"/>
        <w:jc w:val="center"/>
        <w:rPr>
          <w:rFonts w:ascii="黑体" w:hAnsi="黑体" w:eastAsia="黑体" w:cs="宋体"/>
          <w:sz w:val="28"/>
          <w:szCs w:val="28"/>
          <w:highlight w:val="none"/>
        </w:rPr>
      </w:pPr>
      <w:r>
        <w:rPr>
          <w:rFonts w:hint="eastAsia" w:ascii="黑体" w:hAnsi="黑体" w:eastAsia="黑体" w:cs="宋体"/>
          <w:sz w:val="28"/>
          <w:szCs w:val="28"/>
          <w:highlight w:val="none"/>
        </w:rPr>
        <w:t>六、评标办法</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本着“质量第一、价格合理、服务优异、保障有力”的原则，由采购人、项目归口管理部门和招标办从报价得分、技术得分、服务、业绩、信誉得分五个方面提出评标办法（见附件</w:t>
      </w:r>
      <w:r>
        <w:rPr>
          <w:rFonts w:ascii="宋体" w:hAnsi="宋体" w:cs="宋体"/>
          <w:sz w:val="28"/>
          <w:szCs w:val="28"/>
          <w:highlight w:val="none"/>
        </w:rPr>
        <w:t>5</w:t>
      </w:r>
      <w:r>
        <w:rPr>
          <w:rFonts w:hint="eastAsia" w:ascii="宋体" w:hAnsi="宋体" w:cs="宋体"/>
          <w:sz w:val="28"/>
          <w:szCs w:val="28"/>
          <w:highlight w:val="none"/>
        </w:rPr>
        <w:t>）。</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为保证招标质量，在评标办法中设核心指标。每个分包的核心指标不超过</w:t>
      </w:r>
      <w:r>
        <w:rPr>
          <w:rFonts w:ascii="宋体" w:hAnsi="宋体" w:cs="宋体"/>
          <w:sz w:val="28"/>
          <w:szCs w:val="28"/>
          <w:highlight w:val="none"/>
        </w:rPr>
        <w:t>5</w:t>
      </w:r>
      <w:r>
        <w:rPr>
          <w:rFonts w:hint="eastAsia" w:ascii="宋体" w:hAnsi="宋体" w:cs="宋体"/>
          <w:sz w:val="28"/>
          <w:szCs w:val="28"/>
          <w:highlight w:val="none"/>
        </w:rPr>
        <w:t>个。</w:t>
      </w:r>
    </w:p>
    <w:p>
      <w:pPr>
        <w:spacing w:before="312" w:beforeLines="100" w:after="312" w:afterLines="100" w:line="360" w:lineRule="auto"/>
        <w:ind w:firstLine="548" w:firstLineChars="196"/>
        <w:jc w:val="center"/>
        <w:rPr>
          <w:rFonts w:ascii="黑体" w:hAnsi="黑体" w:eastAsia="黑体" w:cs="宋体"/>
          <w:sz w:val="28"/>
          <w:szCs w:val="28"/>
          <w:highlight w:val="none"/>
        </w:rPr>
      </w:pPr>
      <w:r>
        <w:rPr>
          <w:rFonts w:hint="eastAsia" w:ascii="黑体" w:hAnsi="黑体" w:eastAsia="黑体" w:cs="宋体"/>
          <w:sz w:val="28"/>
          <w:szCs w:val="28"/>
          <w:highlight w:val="none"/>
        </w:rPr>
        <w:t>七、合同、履约、验收及结算等事项</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合同：</w:t>
      </w:r>
    </w:p>
    <w:p>
      <w:pPr>
        <w:spacing w:line="360" w:lineRule="auto"/>
        <w:ind w:firstLine="548" w:firstLineChars="196"/>
        <w:rPr>
          <w:rFonts w:hint="eastAsia" w:ascii="宋体" w:hAns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）中标公示结束无异议后</w:t>
      </w:r>
      <w:r>
        <w:rPr>
          <w:rFonts w:ascii="宋体" w:hAnsi="宋体" w:cs="宋体"/>
          <w:sz w:val="28"/>
          <w:szCs w:val="28"/>
          <w:highlight w:val="none"/>
        </w:rPr>
        <w:t>5</w:t>
      </w:r>
      <w:r>
        <w:rPr>
          <w:rFonts w:hint="eastAsia" w:ascii="宋体" w:hAnsi="宋体" w:cs="宋体"/>
          <w:sz w:val="28"/>
          <w:szCs w:val="28"/>
          <w:highlight w:val="none"/>
        </w:rPr>
        <w:t>个工作日内，中标单位须及时缴纳中标价的10%作为履约保证金并前来我校领取《中标通知书》（一式二份）。</w:t>
      </w:r>
    </w:p>
    <w:p>
      <w:pPr>
        <w:spacing w:line="360" w:lineRule="auto"/>
        <w:ind w:firstLine="548" w:firstLineChars="196"/>
        <w:rPr>
          <w:rFonts w:ascii="宋体" w:hAns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）中标单位须在接《中标通知书》起</w:t>
      </w:r>
      <w:r>
        <w:rPr>
          <w:rFonts w:ascii="宋体" w:hAnsi="宋体" w:cs="宋体"/>
          <w:sz w:val="28"/>
          <w:szCs w:val="28"/>
          <w:highlight w:val="none"/>
        </w:rPr>
        <w:t>7</w:t>
      </w:r>
      <w:r>
        <w:rPr>
          <w:rFonts w:hint="eastAsia" w:ascii="宋体" w:hAnsi="宋体" w:cs="宋体"/>
          <w:sz w:val="28"/>
          <w:szCs w:val="28"/>
          <w:highlight w:val="none"/>
        </w:rPr>
        <w:t>个工作日内，凭《中标通知书》原件与项目归口管理部门或采购人签订供货和服务合同。中标人不得以任何理由拖延、拒签合同；中标单位拒不签订合同的，我校将其列入黑名单，三年内不得到我校从事任何招投标活动。</w:t>
      </w:r>
    </w:p>
    <w:p>
      <w:pPr>
        <w:pStyle w:val="2"/>
        <w:rPr>
          <w:highlight w:val="none"/>
        </w:rPr>
      </w:pPr>
      <w:r>
        <w:rPr>
          <w:rFonts w:hint="eastAsia" w:ascii="宋体" w:hAnsi="宋体" w:cs="宋体"/>
          <w:sz w:val="28"/>
          <w:szCs w:val="28"/>
          <w:highlight w:val="none"/>
        </w:rPr>
        <w:t>（3）附件6合同仅为参考样本，最终以通过我校审核后签署的合同为准。</w:t>
      </w:r>
    </w:p>
    <w:p>
      <w:pPr>
        <w:spacing w:line="360" w:lineRule="auto"/>
        <w:ind w:firstLine="548" w:firstLineChars="196"/>
        <w:rPr>
          <w:rFonts w:ascii="宋体" w:hAns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服务地点：南京信息工程大学校内。</w:t>
      </w:r>
    </w:p>
    <w:p>
      <w:pPr>
        <w:spacing w:line="360" w:lineRule="auto"/>
        <w:ind w:firstLine="548" w:firstLineChars="196"/>
        <w:rPr>
          <w:rFonts w:ascii="宋体" w:hAns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付款方式：</w:t>
      </w:r>
    </w:p>
    <w:p>
      <w:pPr>
        <w:spacing w:line="360" w:lineRule="auto"/>
        <w:ind w:firstLine="548" w:firstLineChars="196"/>
        <w:rPr>
          <w:rFonts w:ascii="宋体" w:hAnsi="宋体" w:cs="宋体"/>
          <w:sz w:val="28"/>
          <w:szCs w:val="28"/>
          <w:highlight w:val="none"/>
        </w:rPr>
      </w:pPr>
      <w:r>
        <w:rPr>
          <w:rFonts w:hint="eastAsia" w:ascii="宋体" w:hAnsi="宋体" w:cs="宋体"/>
          <w:sz w:val="28"/>
          <w:szCs w:val="28"/>
          <w:highlight w:val="none"/>
        </w:rPr>
        <w:t>中标单位所供的设计、制作、印刷服务工作全部结束，经我方验收合格后，提供全额税务发票，凭最终签字和盖章的验收合格报告，支付至合同价的95%，余5%作质保金，质保期满后并经有关单位确认无质量问题后，一次性支付完毕。具体内容以最终签署的合同约定为准。</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资料费：</w:t>
      </w:r>
      <w:r>
        <w:rPr>
          <w:rFonts w:ascii="宋体" w:hAnsi="宋体" w:cs="宋体"/>
          <w:sz w:val="28"/>
          <w:szCs w:val="28"/>
          <w:highlight w:val="none"/>
        </w:rPr>
        <w:t>300</w:t>
      </w:r>
      <w:r>
        <w:rPr>
          <w:rFonts w:hint="eastAsia" w:ascii="宋体" w:hAnsi="宋体" w:cs="宋体"/>
          <w:sz w:val="28"/>
          <w:szCs w:val="28"/>
          <w:highlight w:val="none"/>
        </w:rPr>
        <w:t>元</w:t>
      </w:r>
      <w:r>
        <w:rPr>
          <w:rFonts w:ascii="宋体" w:hAnsi="宋体" w:cs="宋体"/>
          <w:sz w:val="28"/>
          <w:szCs w:val="28"/>
          <w:highlight w:val="none"/>
        </w:rPr>
        <w:t>/</w:t>
      </w:r>
      <w:r>
        <w:rPr>
          <w:rFonts w:hint="eastAsia" w:ascii="宋体" w:hAnsi="宋体" w:cs="宋体"/>
          <w:sz w:val="28"/>
          <w:szCs w:val="28"/>
          <w:highlight w:val="none"/>
        </w:rPr>
        <w:t>家。</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）我校不接收现金或支付宝等方式交费。各投标人务必通过单位银行基本账户提前将资料费汇至我校以下账号：</w:t>
      </w:r>
      <w:r>
        <w:rPr>
          <w:rFonts w:hint="eastAsia" w:ascii="宋体" w:hAnsi="宋体" w:cs="宋体"/>
          <w:b/>
          <w:bCs/>
          <w:sz w:val="28"/>
          <w:szCs w:val="28"/>
          <w:highlight w:val="none"/>
        </w:rPr>
        <w:t>户名：南京信息工程大学；账号：</w:t>
      </w:r>
      <w:r>
        <w:rPr>
          <w:rFonts w:ascii="宋体" w:hAnsi="宋体" w:cs="宋体"/>
          <w:b/>
          <w:bCs/>
          <w:sz w:val="28"/>
          <w:szCs w:val="28"/>
          <w:highlight w:val="none"/>
        </w:rPr>
        <w:t>10115401040000228</w:t>
      </w:r>
      <w:r>
        <w:rPr>
          <w:rFonts w:hint="eastAsia" w:ascii="宋体" w:hAnsi="宋体" w:cs="宋体"/>
          <w:b/>
          <w:bCs/>
          <w:sz w:val="28"/>
          <w:szCs w:val="28"/>
          <w:highlight w:val="none"/>
        </w:rPr>
        <w:t>；开户银行：中国农业银行南京盘城支行</w:t>
      </w:r>
      <w:r>
        <w:rPr>
          <w:rFonts w:hint="eastAsia" w:ascii="宋体" w:hAnsi="宋体" w:cs="宋体"/>
          <w:sz w:val="28"/>
          <w:szCs w:val="28"/>
          <w:highlight w:val="none"/>
        </w:rPr>
        <w:t>。请各投标人务必在转账留言栏备注填写</w:t>
      </w:r>
      <w:r>
        <w:rPr>
          <w:rFonts w:hint="eastAsia" w:ascii="宋体" w:hAnsi="宋体" w:cs="宋体"/>
          <w:b/>
          <w:sz w:val="28"/>
          <w:szCs w:val="28"/>
          <w:highlight w:val="none"/>
        </w:rPr>
        <w:t>“</w:t>
      </w:r>
      <w:bookmarkStart w:id="11" w:name="_GoBack"/>
      <w:r>
        <w:rPr>
          <w:rFonts w:hint="eastAsia" w:ascii="宋体" w:hAnsi="宋体" w:cs="宋体"/>
          <w:b/>
          <w:sz w:val="28"/>
          <w:szCs w:val="28"/>
          <w:highlight w:val="none"/>
          <w:lang w:val="en-US" w:eastAsia="zh-CN"/>
        </w:rPr>
        <w:t>JZCG-2022-00134</w:t>
      </w:r>
      <w:bookmarkEnd w:id="11"/>
      <w:r>
        <w:rPr>
          <w:rFonts w:hint="eastAsia" w:ascii="宋体" w:hAnsi="宋体" w:cs="宋体"/>
          <w:b/>
          <w:sz w:val="28"/>
          <w:szCs w:val="28"/>
          <w:highlight w:val="none"/>
        </w:rPr>
        <w:t>资料费”</w:t>
      </w:r>
      <w:r>
        <w:rPr>
          <w:rFonts w:hint="eastAsia" w:ascii="宋体" w:hAnsi="宋体" w:cs="宋体"/>
          <w:sz w:val="28"/>
          <w:szCs w:val="28"/>
          <w:highlight w:val="none"/>
        </w:rPr>
        <w:t>字样，并尽量将投标单位的纳税识别号一并备注在转账留言栏中，以便开票和对账。请各单位在报名时将转账回单复印件务必放入《投标文件》中（无此证明，一律作为无效标处理）。</w:t>
      </w:r>
    </w:p>
    <w:p>
      <w:pPr>
        <w:spacing w:line="360" w:lineRule="auto"/>
        <w:ind w:firstLine="548" w:firstLineChars="196"/>
        <w:rPr>
          <w:rFonts w:ascii="宋体" w:hAnsi="宋体" w:cs="宋体"/>
          <w:b/>
          <w:bCs/>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w:t>
      </w:r>
      <w:r>
        <w:rPr>
          <w:rFonts w:hint="eastAsia" w:ascii="宋体" w:hAnsi="宋体" w:cs="宋体"/>
          <w:b/>
          <w:bCs/>
          <w:sz w:val="28"/>
          <w:szCs w:val="28"/>
          <w:highlight w:val="none"/>
        </w:rPr>
        <w:t>我校提供电子普通发票，招标办定期到财务结算中心对账（时间约半个月）。请投标单位在邮件报名时提供单位纳税人识别号，并确保联系人手机号及邮箱状态正常，以便接收电子发票信息。</w:t>
      </w:r>
    </w:p>
    <w:p>
      <w:pPr>
        <w:spacing w:line="560" w:lineRule="exact"/>
        <w:ind w:firstLine="560" w:firstLineChars="200"/>
        <w:rPr>
          <w:rFonts w:ascii="宋体" w:hAns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履约保证金：中标后，中标人须及时缴纳10000.00元（壹万元整）履约保证金，合同履行结束后且经用户单位确认质量、服务无问题的情况下无息退还履约保证金。</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为降低投标人的投标成本，避免交、退投标保证金带来的麻烦，本着相互理解和相互信任的原则，努力构建诚信社会，本项目投标时各单位无须缴纳投标保证金，中标公示后，仅中标单位需缴纳履约保证金（未中标单位无需缴纳任何保证金）。中标公示后，请中标单位自行将履约保证金汇至学校财务账户后先到财务结算中心（财务处二楼201室）开具缴款收据，凭缴款收据到招标办领取中标通知书后再与采购单位签订供货和服务合同。履约保证金交款账号同</w:t>
      </w:r>
      <w:r>
        <w:rPr>
          <w:rFonts w:ascii="宋体" w:hAnsi="宋体" w:cs="宋体"/>
          <w:sz w:val="28"/>
          <w:szCs w:val="28"/>
          <w:highlight w:val="none"/>
        </w:rPr>
        <w:t>300</w:t>
      </w:r>
      <w:r>
        <w:rPr>
          <w:rFonts w:hint="eastAsia" w:ascii="宋体" w:hAnsi="宋体" w:cs="宋体"/>
          <w:sz w:val="28"/>
          <w:szCs w:val="28"/>
          <w:highlight w:val="none"/>
        </w:rPr>
        <w:t>元资料费（</w:t>
      </w:r>
      <w:r>
        <w:rPr>
          <w:rFonts w:hint="eastAsia" w:ascii="宋体" w:hAnsi="宋体" w:cs="宋体"/>
          <w:b/>
          <w:bCs/>
          <w:sz w:val="28"/>
          <w:szCs w:val="28"/>
          <w:highlight w:val="none"/>
        </w:rPr>
        <w:t>户名：南京信息工程大学；账号：</w:t>
      </w:r>
      <w:r>
        <w:rPr>
          <w:rFonts w:ascii="宋体" w:hAnsi="宋体" w:cs="宋体"/>
          <w:b/>
          <w:bCs/>
          <w:sz w:val="28"/>
          <w:szCs w:val="28"/>
          <w:highlight w:val="none"/>
        </w:rPr>
        <w:t>10115401040000228</w:t>
      </w:r>
      <w:r>
        <w:rPr>
          <w:rFonts w:hint="eastAsia" w:ascii="宋体" w:hAnsi="宋体" w:cs="宋体"/>
          <w:b/>
          <w:bCs/>
          <w:sz w:val="28"/>
          <w:szCs w:val="28"/>
          <w:highlight w:val="none"/>
        </w:rPr>
        <w:t>；开户银行：中国农业银行南京盘城支行</w:t>
      </w:r>
      <w:r>
        <w:rPr>
          <w:rFonts w:hint="eastAsia" w:ascii="宋体" w:hAnsi="宋体" w:cs="宋体"/>
          <w:sz w:val="28"/>
          <w:szCs w:val="28"/>
          <w:highlight w:val="none"/>
        </w:rPr>
        <w:t>）。</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履约保证金的退还方式：项目按照合同约定完成并无质量问题后，由中标单位向项目归口管理部门或采购人提交退还履约保证金的申请报告，由项目归口管理部门（或使用部门）负责人签字确定同意退还后，再到财务处财务结算中心（财务处二楼201室）办理退还手续。</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3</w:t>
      </w:r>
      <w:r>
        <w:rPr>
          <w:rFonts w:hint="eastAsia" w:ascii="宋体" w:hAnsi="宋体" w:cs="宋体"/>
          <w:sz w:val="28"/>
          <w:szCs w:val="28"/>
          <w:highlight w:val="none"/>
        </w:rPr>
        <w:t>）履约保证金交退咨询：财务处结算中心（体育馆北面，南气宾馆东侧的大学生创业中心</w:t>
      </w:r>
      <w:r>
        <w:rPr>
          <w:rFonts w:ascii="宋体" w:hAnsi="宋体" w:cs="宋体"/>
          <w:sz w:val="28"/>
          <w:szCs w:val="28"/>
          <w:highlight w:val="none"/>
        </w:rPr>
        <w:t>3</w:t>
      </w:r>
      <w:r>
        <w:rPr>
          <w:rFonts w:hint="eastAsia" w:ascii="宋体" w:hAnsi="宋体" w:cs="宋体"/>
          <w:sz w:val="28"/>
          <w:szCs w:val="28"/>
          <w:highlight w:val="none"/>
        </w:rPr>
        <w:t>号楼二楼201）。</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4</w:t>
      </w:r>
      <w:r>
        <w:rPr>
          <w:rFonts w:hint="eastAsia" w:ascii="宋体" w:hAnsi="宋体" w:cs="宋体"/>
          <w:sz w:val="28"/>
          <w:szCs w:val="28"/>
          <w:highlight w:val="none"/>
        </w:rPr>
        <w:t>）如中标单位有下列情况之一，不予退还履约保证金，我校将其列入招投标诚信“黑名单”，</w:t>
      </w:r>
      <w:r>
        <w:rPr>
          <w:rFonts w:ascii="宋体" w:hAnsi="宋体" w:cs="宋体"/>
          <w:sz w:val="28"/>
          <w:szCs w:val="28"/>
          <w:highlight w:val="none"/>
        </w:rPr>
        <w:t>3</w:t>
      </w:r>
      <w:r>
        <w:rPr>
          <w:rFonts w:hint="eastAsia" w:ascii="宋体" w:hAnsi="宋体" w:cs="宋体"/>
          <w:sz w:val="28"/>
          <w:szCs w:val="28"/>
          <w:highlight w:val="none"/>
        </w:rPr>
        <w:t>年内不得到我校从事任何投标活动。</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a.</w:t>
      </w:r>
      <w:r>
        <w:rPr>
          <w:rFonts w:hint="eastAsia" w:ascii="宋体" w:hAnsi="宋体" w:cs="宋体"/>
          <w:sz w:val="28"/>
          <w:szCs w:val="28"/>
          <w:highlight w:val="none"/>
        </w:rPr>
        <w:t>中标单位未能按学校通知，在规定时间内签署合同；或签署合同后未能履约、单方撕毁合同等；</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b.</w:t>
      </w:r>
      <w:r>
        <w:rPr>
          <w:rFonts w:hint="eastAsia" w:ascii="宋体" w:hAnsi="宋体" w:cs="宋体"/>
          <w:sz w:val="28"/>
          <w:szCs w:val="28"/>
          <w:highlight w:val="none"/>
        </w:rPr>
        <w:t>中标单位在投标过程中存在串通投标等违规或舞弊行为；或中标单位借用其他公司相关资质的；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c.</w:t>
      </w:r>
      <w:r>
        <w:rPr>
          <w:rFonts w:hint="eastAsia" w:ascii="宋体" w:hAnsi="宋体" w:cs="宋体"/>
          <w:sz w:val="28"/>
          <w:szCs w:val="28"/>
          <w:highlight w:val="none"/>
        </w:rPr>
        <w:t>出现其他不予退还履约保证金情形的。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6.</w:t>
      </w:r>
      <w:r>
        <w:rPr>
          <w:rFonts w:hint="eastAsia" w:ascii="宋体" w:hAnsi="宋体" w:cs="宋体"/>
          <w:sz w:val="28"/>
          <w:szCs w:val="28"/>
          <w:highlight w:val="none"/>
        </w:rPr>
        <w:t>验收：按学校验收规定执行，项目合同是验收的主要依据。</w:t>
      </w:r>
    </w:p>
    <w:p>
      <w:pPr>
        <w:widowControl/>
        <w:spacing w:line="360" w:lineRule="auto"/>
        <w:ind w:firstLine="560" w:firstLineChars="200"/>
        <w:textAlignment w:val="center"/>
        <w:rPr>
          <w:rFonts w:ascii="宋体" w:hAnsi="宋体" w:cs="宋体"/>
          <w:sz w:val="28"/>
          <w:szCs w:val="28"/>
          <w:highlight w:val="none"/>
        </w:rPr>
      </w:pPr>
      <w:r>
        <w:rPr>
          <w:rFonts w:ascii="宋体" w:hAnsi="宋体" w:cs="宋体"/>
          <w:sz w:val="28"/>
          <w:szCs w:val="28"/>
          <w:highlight w:val="none"/>
        </w:rPr>
        <w:t>7.</w:t>
      </w:r>
      <w:r>
        <w:rPr>
          <w:rFonts w:hint="eastAsia" w:ascii="宋体" w:hAnsi="宋体" w:cs="宋体"/>
          <w:sz w:val="28"/>
          <w:szCs w:val="28"/>
          <w:highlight w:val="none"/>
        </w:rPr>
        <w:t>质保：参照附件4服务要求</w:t>
      </w:r>
    </w:p>
    <w:p>
      <w:pPr>
        <w:spacing w:before="312" w:beforeLines="100" w:after="312" w:afterLines="100" w:line="360" w:lineRule="auto"/>
        <w:jc w:val="center"/>
        <w:rPr>
          <w:rFonts w:ascii="黑体" w:hAnsi="黑体" w:eastAsia="黑体"/>
          <w:sz w:val="28"/>
          <w:szCs w:val="28"/>
          <w:highlight w:val="none"/>
        </w:rPr>
      </w:pPr>
      <w:bookmarkStart w:id="6" w:name="_Hlk9866833"/>
      <w:r>
        <w:rPr>
          <w:rFonts w:hint="eastAsia" w:ascii="黑体" w:hAnsi="黑体" w:eastAsia="黑体"/>
          <w:sz w:val="28"/>
          <w:szCs w:val="28"/>
          <w:highlight w:val="none"/>
        </w:rPr>
        <w:t>八、日程安排和联系方式</w:t>
      </w:r>
    </w:p>
    <w:p>
      <w:pPr>
        <w:spacing w:line="360" w:lineRule="auto"/>
        <w:ind w:firstLine="560" w:firstLineChars="200"/>
        <w:rPr>
          <w:rFonts w:ascii="宋体"/>
          <w:sz w:val="28"/>
          <w:szCs w:val="28"/>
          <w:highlight w:val="none"/>
        </w:rPr>
      </w:pPr>
      <w:r>
        <w:rPr>
          <w:rFonts w:ascii="宋体" w:hAnsi="宋体"/>
          <w:sz w:val="28"/>
          <w:szCs w:val="28"/>
          <w:highlight w:val="none"/>
        </w:rPr>
        <w:t>1.</w:t>
      </w:r>
      <w:r>
        <w:rPr>
          <w:rFonts w:hint="eastAsia" w:ascii="宋体" w:hAnsi="宋体"/>
          <w:sz w:val="28"/>
          <w:szCs w:val="28"/>
          <w:highlight w:val="none"/>
        </w:rPr>
        <w:t>报名时间：招标信息发布后。</w:t>
      </w:r>
    </w:p>
    <w:p>
      <w:pPr>
        <w:spacing w:line="360" w:lineRule="auto"/>
        <w:ind w:firstLine="560" w:firstLineChars="200"/>
        <w:rPr>
          <w:rFonts w:ascii="宋体" w:cs="宋体"/>
          <w:sz w:val="28"/>
          <w:szCs w:val="28"/>
          <w:highlight w:val="none"/>
        </w:rPr>
      </w:pPr>
      <w:r>
        <w:rPr>
          <w:rFonts w:ascii="宋体" w:hAnsi="宋体"/>
          <w:sz w:val="28"/>
          <w:szCs w:val="28"/>
          <w:highlight w:val="none"/>
        </w:rPr>
        <w:t>2.</w:t>
      </w:r>
      <w:r>
        <w:rPr>
          <w:rFonts w:hint="eastAsia" w:ascii="宋体" w:hAnsi="宋体"/>
          <w:sz w:val="28"/>
          <w:szCs w:val="28"/>
          <w:highlight w:val="none"/>
        </w:rPr>
        <w:t>领取招标文件：</w:t>
      </w:r>
      <w:r>
        <w:rPr>
          <w:rFonts w:hint="eastAsia" w:ascii="宋体" w:hAnsi="宋体"/>
          <w:sz w:val="28"/>
          <w:szCs w:val="28"/>
          <w:highlight w:val="none"/>
          <w:u w:val="single"/>
        </w:rPr>
        <w:t>自行下载</w:t>
      </w:r>
      <w:r>
        <w:rPr>
          <w:rFonts w:hint="eastAsia" w:ascii="宋体" w:hAnsi="宋体" w:cs="宋体"/>
          <w:kern w:val="0"/>
          <w:sz w:val="28"/>
          <w:szCs w:val="28"/>
          <w:highlight w:val="none"/>
        </w:rPr>
        <w:t>。</w:t>
      </w:r>
    </w:p>
    <w:p>
      <w:pPr>
        <w:spacing w:line="360" w:lineRule="auto"/>
        <w:ind w:firstLine="560" w:firstLineChars="200"/>
        <w:rPr>
          <w:rFonts w:ascii="宋体"/>
          <w:sz w:val="28"/>
          <w:szCs w:val="28"/>
          <w:highlight w:val="none"/>
        </w:rPr>
      </w:pPr>
      <w:r>
        <w:rPr>
          <w:rFonts w:ascii="宋体" w:hAnsi="宋体"/>
          <w:sz w:val="28"/>
          <w:szCs w:val="28"/>
          <w:highlight w:val="none"/>
        </w:rPr>
        <w:t>3.</w:t>
      </w:r>
      <w:r>
        <w:rPr>
          <w:rFonts w:hint="eastAsia" w:ascii="宋体" w:hAnsi="宋体"/>
          <w:sz w:val="28"/>
          <w:szCs w:val="28"/>
          <w:highlight w:val="none"/>
        </w:rPr>
        <w:t xml:space="preserve">答疑时间：          </w:t>
      </w:r>
    </w:p>
    <w:p>
      <w:pPr>
        <w:spacing w:line="360" w:lineRule="auto"/>
        <w:rPr>
          <w:rFonts w:ascii="宋体"/>
          <w:sz w:val="28"/>
          <w:szCs w:val="28"/>
          <w:highlight w:val="none"/>
        </w:rPr>
      </w:pPr>
      <w:r>
        <w:rPr>
          <w:rFonts w:hint="eastAsia" w:ascii="宋体" w:hAnsi="宋体"/>
          <w:sz w:val="28"/>
          <w:szCs w:val="28"/>
          <w:highlight w:val="none"/>
        </w:rPr>
        <w:t>（</w:t>
      </w:r>
      <w:r>
        <w:rPr>
          <w:rFonts w:ascii="宋体" w:hAnsi="宋体"/>
          <w:sz w:val="28"/>
          <w:szCs w:val="28"/>
          <w:highlight w:val="none"/>
        </w:rPr>
        <w:t>1</w:t>
      </w:r>
      <w:r>
        <w:rPr>
          <w:rFonts w:hint="eastAsia" w:ascii="宋体" w:hAnsi="宋体"/>
          <w:sz w:val="28"/>
          <w:szCs w:val="28"/>
          <w:highlight w:val="none"/>
        </w:rPr>
        <w:t>）投标人如有疑问，请在</w:t>
      </w:r>
      <w:r>
        <w:rPr>
          <w:rFonts w:ascii="宋体" w:hAnsi="宋体"/>
          <w:b/>
          <w:sz w:val="28"/>
          <w:szCs w:val="28"/>
          <w:highlight w:val="none"/>
          <w:u w:val="single"/>
        </w:rPr>
        <w:t>202</w:t>
      </w:r>
      <w:r>
        <w:rPr>
          <w:rFonts w:hint="eastAsia" w:ascii="宋体" w:hAnsi="宋体"/>
          <w:b/>
          <w:sz w:val="28"/>
          <w:szCs w:val="28"/>
          <w:highlight w:val="none"/>
          <w:u w:val="single"/>
          <w:lang w:val="en-US" w:eastAsia="zh-CN"/>
        </w:rPr>
        <w:t>2</w:t>
      </w:r>
      <w:r>
        <w:rPr>
          <w:rFonts w:hint="eastAsia" w:ascii="宋体" w:hAnsi="宋体"/>
          <w:b/>
          <w:sz w:val="28"/>
          <w:szCs w:val="28"/>
          <w:highlight w:val="none"/>
          <w:u w:val="single"/>
        </w:rPr>
        <w:t>年</w:t>
      </w:r>
      <w:r>
        <w:rPr>
          <w:rFonts w:hint="eastAsia" w:ascii="宋体" w:hAnsi="宋体"/>
          <w:b/>
          <w:sz w:val="28"/>
          <w:szCs w:val="28"/>
          <w:highlight w:val="none"/>
          <w:u w:val="single"/>
          <w:lang w:val="en-US" w:eastAsia="zh-CN"/>
        </w:rPr>
        <w:t>12</w:t>
      </w:r>
      <w:r>
        <w:rPr>
          <w:rFonts w:hint="eastAsia" w:ascii="宋体" w:hAnsi="宋体"/>
          <w:b/>
          <w:sz w:val="28"/>
          <w:szCs w:val="28"/>
          <w:highlight w:val="none"/>
          <w:u w:val="single"/>
        </w:rPr>
        <w:t>月</w:t>
      </w:r>
      <w:r>
        <w:rPr>
          <w:rFonts w:hint="eastAsia" w:ascii="宋体" w:hAnsi="宋体"/>
          <w:b/>
          <w:sz w:val="28"/>
          <w:szCs w:val="28"/>
          <w:highlight w:val="none"/>
          <w:u w:val="single"/>
          <w:lang w:val="en-US" w:eastAsia="zh-CN"/>
        </w:rPr>
        <w:t>09</w:t>
      </w:r>
      <w:r>
        <w:rPr>
          <w:rFonts w:hint="eastAsia" w:ascii="宋体" w:hAnsi="宋体"/>
          <w:b/>
          <w:sz w:val="28"/>
          <w:szCs w:val="28"/>
          <w:highlight w:val="none"/>
          <w:u w:val="single"/>
        </w:rPr>
        <w:t>日</w:t>
      </w:r>
      <w:r>
        <w:rPr>
          <w:rFonts w:ascii="宋体" w:hAnsi="宋体"/>
          <w:b/>
          <w:sz w:val="28"/>
          <w:szCs w:val="28"/>
          <w:highlight w:val="none"/>
          <w:u w:val="single"/>
        </w:rPr>
        <w:t>11</w:t>
      </w:r>
      <w:r>
        <w:rPr>
          <w:rFonts w:hint="eastAsia" w:ascii="宋体" w:hAnsi="宋体"/>
          <w:b/>
          <w:sz w:val="28"/>
          <w:szCs w:val="28"/>
          <w:highlight w:val="none"/>
          <w:u w:val="single"/>
        </w:rPr>
        <w:t>：</w:t>
      </w:r>
      <w:r>
        <w:rPr>
          <w:rFonts w:ascii="宋体" w:hAnsi="宋体"/>
          <w:b/>
          <w:sz w:val="28"/>
          <w:szCs w:val="28"/>
          <w:highlight w:val="none"/>
          <w:u w:val="single"/>
        </w:rPr>
        <w:t>3</w:t>
      </w:r>
      <w:r>
        <w:rPr>
          <w:highlight w:val="none"/>
        </w:rPr>
        <w:fldChar w:fldCharType="begin"/>
      </w:r>
      <w:r>
        <w:rPr>
          <w:highlight w:val="none"/>
        </w:rPr>
        <w:instrText xml:space="preserve"> HYPERLINK "mailto:30前将问题一律以word格式或txt格式发至89523765@qq.com" </w:instrText>
      </w:r>
      <w:r>
        <w:rPr>
          <w:highlight w:val="none"/>
        </w:rPr>
        <w:fldChar w:fldCharType="separate"/>
      </w:r>
      <w:r>
        <w:rPr>
          <w:rFonts w:ascii="宋体"/>
          <w:b/>
          <w:sz w:val="28"/>
          <w:szCs w:val="28"/>
          <w:highlight w:val="none"/>
          <w:u w:val="single"/>
        </w:rPr>
        <w:t>0</w:t>
      </w:r>
      <w:r>
        <w:rPr>
          <w:rFonts w:hint="eastAsia" w:ascii="宋体" w:hAnsi="宋体"/>
          <w:sz w:val="28"/>
          <w:szCs w:val="28"/>
          <w:highlight w:val="none"/>
        </w:rPr>
        <w:t>前将问题以</w:t>
      </w:r>
      <w:r>
        <w:rPr>
          <w:rFonts w:ascii="宋体" w:hAnsi="宋体"/>
          <w:sz w:val="28"/>
          <w:szCs w:val="28"/>
          <w:highlight w:val="none"/>
        </w:rPr>
        <w:t>word</w:t>
      </w:r>
      <w:r>
        <w:rPr>
          <w:rFonts w:hint="eastAsia" w:ascii="宋体" w:hAnsi="宋体"/>
          <w:sz w:val="28"/>
          <w:szCs w:val="28"/>
          <w:highlight w:val="none"/>
        </w:rPr>
        <w:t>格式或</w:t>
      </w:r>
      <w:r>
        <w:rPr>
          <w:rFonts w:ascii="宋体" w:hAnsi="宋体"/>
          <w:sz w:val="28"/>
          <w:szCs w:val="28"/>
          <w:highlight w:val="none"/>
        </w:rPr>
        <w:t>txt</w:t>
      </w:r>
      <w:r>
        <w:rPr>
          <w:rFonts w:hint="eastAsia" w:ascii="宋体" w:hAnsi="宋体"/>
          <w:sz w:val="28"/>
          <w:szCs w:val="28"/>
          <w:highlight w:val="none"/>
        </w:rPr>
        <w:t>格式发至</w:t>
      </w:r>
      <w:r>
        <w:rPr>
          <w:rFonts w:ascii="宋体" w:hAnsi="宋体"/>
          <w:sz w:val="28"/>
          <w:szCs w:val="28"/>
          <w:highlight w:val="none"/>
        </w:rPr>
        <w:t>2483567991@qq.com</w:t>
      </w:r>
      <w:r>
        <w:rPr>
          <w:rFonts w:ascii="宋体" w:hAnsi="宋体"/>
          <w:sz w:val="28"/>
          <w:szCs w:val="28"/>
          <w:highlight w:val="none"/>
        </w:rPr>
        <w:fldChar w:fldCharType="end"/>
      </w:r>
      <w:r>
        <w:rPr>
          <w:rFonts w:hint="eastAsia" w:ascii="宋体" w:hAnsi="宋体"/>
          <w:sz w:val="28"/>
          <w:szCs w:val="28"/>
          <w:highlight w:val="none"/>
        </w:rPr>
        <w:t>（质疑函请勿以</w:t>
      </w:r>
      <w:r>
        <w:rPr>
          <w:rFonts w:ascii="宋体" w:hAnsi="宋体"/>
          <w:sz w:val="28"/>
          <w:szCs w:val="28"/>
          <w:highlight w:val="none"/>
        </w:rPr>
        <w:t>JPG</w:t>
      </w:r>
      <w:r>
        <w:rPr>
          <w:rFonts w:hint="eastAsia" w:ascii="宋体" w:hAnsi="宋体"/>
          <w:sz w:val="28"/>
          <w:szCs w:val="28"/>
          <w:highlight w:val="none"/>
        </w:rPr>
        <w:t>或</w:t>
      </w:r>
      <w:r>
        <w:rPr>
          <w:rFonts w:ascii="宋体" w:hAnsi="宋体"/>
          <w:sz w:val="28"/>
          <w:szCs w:val="28"/>
          <w:highlight w:val="none"/>
        </w:rPr>
        <w:t>PDF</w:t>
      </w:r>
      <w:r>
        <w:rPr>
          <w:rFonts w:hint="eastAsia" w:ascii="宋体" w:hAnsi="宋体"/>
          <w:sz w:val="28"/>
          <w:szCs w:val="28"/>
          <w:highlight w:val="none"/>
        </w:rPr>
        <w:t>格式，对</w:t>
      </w:r>
      <w:r>
        <w:rPr>
          <w:rFonts w:ascii="宋体" w:hAnsi="宋体"/>
          <w:sz w:val="28"/>
          <w:szCs w:val="28"/>
          <w:highlight w:val="none"/>
        </w:rPr>
        <w:t>JPG</w:t>
      </w:r>
      <w:r>
        <w:rPr>
          <w:rFonts w:hint="eastAsia" w:ascii="宋体" w:hAnsi="宋体"/>
          <w:sz w:val="28"/>
          <w:szCs w:val="28"/>
          <w:highlight w:val="none"/>
        </w:rPr>
        <w:t>和</w:t>
      </w:r>
      <w:r>
        <w:rPr>
          <w:rFonts w:ascii="宋体" w:hAnsi="宋体"/>
          <w:sz w:val="28"/>
          <w:szCs w:val="28"/>
          <w:highlight w:val="none"/>
        </w:rPr>
        <w:t>PDF</w:t>
      </w:r>
      <w:r>
        <w:rPr>
          <w:rFonts w:hint="eastAsia" w:ascii="宋体" w:hAnsi="宋体"/>
          <w:sz w:val="28"/>
          <w:szCs w:val="28"/>
          <w:highlight w:val="none"/>
        </w:rPr>
        <w:t>格式的附件一律删除，不予采纳，敬请谅解）。</w:t>
      </w:r>
    </w:p>
    <w:p>
      <w:pPr>
        <w:spacing w:line="360" w:lineRule="auto"/>
        <w:rPr>
          <w:rFonts w:ascii="宋体"/>
          <w:sz w:val="28"/>
          <w:szCs w:val="28"/>
          <w:highlight w:val="none"/>
        </w:rPr>
      </w:pPr>
      <w:r>
        <w:rPr>
          <w:rFonts w:hint="eastAsia" w:ascii="宋体" w:hAnsi="宋体"/>
          <w:sz w:val="28"/>
          <w:szCs w:val="28"/>
          <w:highlight w:val="none"/>
        </w:rPr>
        <w:t>（</w:t>
      </w:r>
      <w:r>
        <w:rPr>
          <w:rFonts w:ascii="宋体" w:hAnsi="宋体"/>
          <w:sz w:val="28"/>
          <w:szCs w:val="28"/>
          <w:highlight w:val="none"/>
        </w:rPr>
        <w:t>2</w:t>
      </w:r>
      <w:r>
        <w:rPr>
          <w:rFonts w:hint="eastAsia" w:ascii="宋体" w:hAnsi="宋体"/>
          <w:sz w:val="28"/>
          <w:szCs w:val="28"/>
          <w:highlight w:val="none"/>
        </w:rPr>
        <w:t>）我校项目归口管理部门将通过招标办向各投标人统一进行书面（或电子版）答疑回复。</w:t>
      </w:r>
    </w:p>
    <w:p>
      <w:pPr>
        <w:widowControl/>
        <w:snapToGrid w:val="0"/>
        <w:spacing w:line="360" w:lineRule="auto"/>
        <w:ind w:firstLine="548" w:firstLineChars="196"/>
        <w:rPr>
          <w:rFonts w:ascii="黑体" w:hAnsi="黑体" w:eastAsia="黑体"/>
          <w:i/>
          <w:sz w:val="28"/>
          <w:szCs w:val="28"/>
          <w:highlight w:val="none"/>
        </w:rPr>
      </w:pPr>
      <w:r>
        <w:rPr>
          <w:rFonts w:hint="eastAsia" w:ascii="宋体" w:hAnsi="宋体"/>
          <w:sz w:val="28"/>
          <w:szCs w:val="28"/>
          <w:highlight w:val="none"/>
        </w:rPr>
        <w:t>4.投标文件</w:t>
      </w:r>
    </w:p>
    <w:p>
      <w:pPr>
        <w:widowControl/>
        <w:spacing w:line="360" w:lineRule="auto"/>
        <w:ind w:firstLine="560" w:firstLineChars="200"/>
        <w:rPr>
          <w:rFonts w:ascii="宋体" w:hAnsi="宋体"/>
          <w:sz w:val="28"/>
          <w:szCs w:val="28"/>
          <w:highlight w:val="none"/>
        </w:rPr>
      </w:pPr>
      <w:r>
        <w:rPr>
          <w:rFonts w:hint="eastAsia" w:ascii="宋体" w:hAnsi="宋体"/>
          <w:sz w:val="28"/>
          <w:szCs w:val="28"/>
          <w:highlight w:val="none"/>
        </w:rPr>
        <w:t>（1）投标送达方式：</w:t>
      </w:r>
      <w:r>
        <w:rPr>
          <w:rFonts w:hint="eastAsia" w:ascii="宋体" w:hAnsi="宋体"/>
          <w:b/>
          <w:sz w:val="28"/>
          <w:szCs w:val="28"/>
          <w:highlight w:val="none"/>
        </w:rPr>
        <w:t>只接受以邮寄方式送达，并请务必用顺丰快递</w:t>
      </w:r>
      <w:r>
        <w:rPr>
          <w:rFonts w:hint="eastAsia" w:ascii="宋体" w:hAnsi="宋体"/>
          <w:sz w:val="28"/>
          <w:szCs w:val="28"/>
          <w:highlight w:val="none"/>
        </w:rPr>
        <w:t>，邮寄材料务必于投标截止时间前送达我校，请各投标单位自行安排邮寄时间，投标截止时间后，招标人不受理任何投标文件。（友情提醒：疫情期间快递耗时可能比平时长，请各投标单位予以充分考虑）。</w:t>
      </w:r>
      <w:r>
        <w:rPr>
          <w:rFonts w:hint="eastAsia" w:ascii="宋体" w:hAnsi="宋体"/>
          <w:b/>
          <w:sz w:val="28"/>
          <w:szCs w:val="28"/>
          <w:highlight w:val="none"/>
        </w:rPr>
        <w:t>（若后期有调整，会将调整信息发送到各投标单位报名邮箱，请各投标单位在投标前密切关注报名邮箱）</w:t>
      </w:r>
    </w:p>
    <w:p>
      <w:pPr>
        <w:widowControl/>
        <w:spacing w:line="360" w:lineRule="auto"/>
        <w:ind w:firstLine="560" w:firstLineChars="200"/>
        <w:rPr>
          <w:rFonts w:ascii="宋体" w:hAnsi="宋体"/>
          <w:sz w:val="28"/>
          <w:szCs w:val="28"/>
          <w:highlight w:val="none"/>
        </w:rPr>
      </w:pPr>
      <w:r>
        <w:rPr>
          <w:rFonts w:hint="eastAsia" w:ascii="宋体" w:hAnsi="宋体"/>
          <w:sz w:val="28"/>
          <w:szCs w:val="28"/>
          <w:highlight w:val="none"/>
        </w:rPr>
        <w:t>（2）投标截止时间：2022年</w:t>
      </w:r>
      <w:r>
        <w:rPr>
          <w:rFonts w:hint="eastAsia" w:ascii="宋体" w:hAnsi="宋体"/>
          <w:sz w:val="28"/>
          <w:szCs w:val="28"/>
          <w:highlight w:val="none"/>
          <w:lang w:val="en-US" w:eastAsia="zh-CN"/>
        </w:rPr>
        <w:t>12</w:t>
      </w:r>
      <w:r>
        <w:rPr>
          <w:rFonts w:hint="eastAsia" w:ascii="宋体" w:hAnsi="宋体"/>
          <w:sz w:val="28"/>
          <w:szCs w:val="28"/>
          <w:highlight w:val="none"/>
        </w:rPr>
        <w:t>月</w:t>
      </w:r>
      <w:r>
        <w:rPr>
          <w:rFonts w:hint="eastAsia" w:ascii="宋体" w:hAnsi="宋体"/>
          <w:sz w:val="28"/>
          <w:szCs w:val="28"/>
          <w:highlight w:val="none"/>
          <w:lang w:val="en-US" w:eastAsia="zh-CN"/>
        </w:rPr>
        <w:t>23</w:t>
      </w:r>
      <w:r>
        <w:rPr>
          <w:rFonts w:hint="eastAsia" w:ascii="宋体" w:hAnsi="宋体"/>
          <w:sz w:val="28"/>
          <w:szCs w:val="28"/>
          <w:highlight w:val="none"/>
        </w:rPr>
        <w:t>日</w:t>
      </w:r>
      <w:r>
        <w:rPr>
          <w:rFonts w:hint="eastAsia" w:ascii="宋体" w:hAnsi="宋体"/>
          <w:sz w:val="28"/>
          <w:szCs w:val="28"/>
          <w:highlight w:val="none"/>
          <w:lang w:val="en-US" w:eastAsia="zh-CN"/>
        </w:rPr>
        <w:t>14</w:t>
      </w:r>
      <w:r>
        <w:rPr>
          <w:rFonts w:hint="eastAsia" w:ascii="宋体" w:hAnsi="宋体"/>
          <w:sz w:val="28"/>
          <w:szCs w:val="28"/>
          <w:highlight w:val="none"/>
        </w:rPr>
        <w:t>：00</w:t>
      </w:r>
      <w:r>
        <w:rPr>
          <w:rFonts w:hint="eastAsia" w:ascii="仿宋" w:hAnsi="仿宋" w:eastAsia="仿宋" w:cs="仿宋"/>
          <w:i w:val="0"/>
          <w:iCs w:val="0"/>
          <w:caps w:val="0"/>
          <w:color w:val="000000"/>
          <w:spacing w:val="0"/>
          <w:kern w:val="0"/>
          <w:sz w:val="28"/>
          <w:szCs w:val="28"/>
          <w:highlight w:val="none"/>
          <w:lang w:val="en-US" w:eastAsia="zh-CN" w:bidi="ar"/>
        </w:rPr>
        <w:t>（北京时间）</w:t>
      </w:r>
      <w:r>
        <w:rPr>
          <w:rFonts w:hint="eastAsia" w:ascii="宋体" w:hAnsi="宋体"/>
          <w:sz w:val="28"/>
          <w:szCs w:val="28"/>
          <w:highlight w:val="none"/>
        </w:rPr>
        <w:t>。</w:t>
      </w:r>
      <w:bookmarkStart w:id="7" w:name="_Hlk32349437"/>
    </w:p>
    <w:bookmarkEnd w:id="7"/>
    <w:p>
      <w:pPr>
        <w:widowControl/>
        <w:adjustRightInd w:val="0"/>
        <w:snapToGrid w:val="0"/>
        <w:spacing w:line="360" w:lineRule="auto"/>
        <w:ind w:firstLine="560" w:firstLineChars="200"/>
        <w:rPr>
          <w:rFonts w:ascii="宋体" w:hAnsi="宋体"/>
          <w:sz w:val="28"/>
          <w:szCs w:val="28"/>
          <w:highlight w:val="none"/>
        </w:rPr>
      </w:pPr>
      <w:r>
        <w:rPr>
          <w:rFonts w:hint="eastAsia" w:ascii="宋体" w:hAnsi="宋体"/>
          <w:sz w:val="28"/>
          <w:szCs w:val="28"/>
          <w:highlight w:val="none"/>
        </w:rPr>
        <w:t>（3）邮寄送达地点：</w:t>
      </w:r>
      <w:r>
        <w:rPr>
          <w:rFonts w:hint="eastAsia" w:ascii="宋体" w:hAnsi="宋体" w:cs="宋体"/>
          <w:kern w:val="0"/>
          <w:sz w:val="28"/>
          <w:szCs w:val="28"/>
          <w:highlight w:val="none"/>
        </w:rPr>
        <w:t>南京市浦口区宁六路219号</w:t>
      </w:r>
      <w:r>
        <w:rPr>
          <w:rFonts w:ascii="宋体" w:hAnsi="宋体" w:cs="宋体"/>
          <w:kern w:val="0"/>
          <w:sz w:val="28"/>
          <w:szCs w:val="28"/>
          <w:highlight w:val="none"/>
        </w:rPr>
        <w:t>南京信息工程大学</w:t>
      </w:r>
      <w:r>
        <w:rPr>
          <w:rFonts w:hint="eastAsia" w:ascii="宋体" w:hAnsi="宋体"/>
          <w:sz w:val="28"/>
          <w:szCs w:val="28"/>
          <w:highlight w:val="none"/>
        </w:rPr>
        <w:t>东苑大学生创业中心3号楼（体育馆北面三层小楼）210室</w:t>
      </w:r>
      <w:r>
        <w:rPr>
          <w:rFonts w:hint="eastAsia" w:ascii="宋体" w:hAnsi="宋体" w:cs="宋体"/>
          <w:kern w:val="0"/>
          <w:sz w:val="28"/>
          <w:szCs w:val="28"/>
          <w:highlight w:val="none"/>
        </w:rPr>
        <w:t>招标办。联系人：马老师、罗老师、刘老师；联系电话：025-58731441。</w:t>
      </w:r>
    </w:p>
    <w:p>
      <w:pPr>
        <w:snapToGrid w:val="0"/>
        <w:spacing w:line="360" w:lineRule="auto"/>
        <w:ind w:firstLine="560" w:firstLineChars="200"/>
        <w:rPr>
          <w:rFonts w:ascii="宋体" w:hAnsi="宋体"/>
          <w:sz w:val="28"/>
          <w:szCs w:val="28"/>
          <w:highlight w:val="none"/>
        </w:rPr>
      </w:pPr>
      <w:r>
        <w:rPr>
          <w:rFonts w:hint="eastAsia" w:ascii="宋体" w:hAnsi="宋体"/>
          <w:sz w:val="28"/>
          <w:szCs w:val="28"/>
          <w:highlight w:val="none"/>
        </w:rPr>
        <w:t>5.开标、唱标和评标</w:t>
      </w:r>
    </w:p>
    <w:p>
      <w:pPr>
        <w:widowControl/>
        <w:spacing w:line="360" w:lineRule="auto"/>
        <w:ind w:firstLine="560" w:firstLineChars="200"/>
        <w:rPr>
          <w:rFonts w:ascii="宋体" w:hAnsi="宋体"/>
          <w:sz w:val="28"/>
          <w:szCs w:val="28"/>
          <w:highlight w:val="none"/>
        </w:rPr>
      </w:pPr>
      <w:r>
        <w:rPr>
          <w:rFonts w:hint="eastAsia" w:ascii="宋体" w:hAnsi="宋体"/>
          <w:sz w:val="28"/>
          <w:szCs w:val="28"/>
          <w:highlight w:val="none"/>
        </w:rPr>
        <w:t>（1）开标、唱标：2022年</w:t>
      </w:r>
      <w:r>
        <w:rPr>
          <w:rFonts w:hint="eastAsia" w:ascii="宋体" w:hAnsi="宋体"/>
          <w:sz w:val="28"/>
          <w:szCs w:val="28"/>
          <w:highlight w:val="none"/>
          <w:lang w:val="en-US" w:eastAsia="zh-CN"/>
        </w:rPr>
        <w:t>12</w:t>
      </w:r>
      <w:r>
        <w:rPr>
          <w:rFonts w:hint="eastAsia" w:ascii="宋体" w:hAnsi="宋体"/>
          <w:sz w:val="28"/>
          <w:szCs w:val="28"/>
          <w:highlight w:val="none"/>
        </w:rPr>
        <w:t>月</w:t>
      </w:r>
      <w:r>
        <w:rPr>
          <w:rFonts w:hint="eastAsia" w:ascii="宋体" w:hAnsi="宋体"/>
          <w:sz w:val="28"/>
          <w:szCs w:val="28"/>
          <w:highlight w:val="none"/>
          <w:lang w:val="en-US" w:eastAsia="zh-CN"/>
        </w:rPr>
        <w:t>23</w:t>
      </w:r>
      <w:r>
        <w:rPr>
          <w:rFonts w:hint="eastAsia" w:ascii="宋体" w:hAnsi="宋体"/>
          <w:sz w:val="28"/>
          <w:szCs w:val="28"/>
          <w:highlight w:val="none"/>
        </w:rPr>
        <w:t>日</w:t>
      </w:r>
      <w:r>
        <w:rPr>
          <w:rFonts w:hint="eastAsia" w:ascii="宋体" w:hAnsi="宋体"/>
          <w:sz w:val="28"/>
          <w:szCs w:val="28"/>
          <w:highlight w:val="none"/>
          <w:lang w:val="en-US" w:eastAsia="zh-CN"/>
        </w:rPr>
        <w:t>14</w:t>
      </w:r>
      <w:r>
        <w:rPr>
          <w:rFonts w:hint="eastAsia" w:ascii="宋体" w:hAnsi="宋体"/>
          <w:sz w:val="28"/>
          <w:szCs w:val="28"/>
          <w:highlight w:val="none"/>
        </w:rPr>
        <w:t>：00</w:t>
      </w:r>
      <w:r>
        <w:rPr>
          <w:rFonts w:hint="eastAsia" w:ascii="仿宋" w:hAnsi="仿宋" w:eastAsia="仿宋" w:cs="仿宋"/>
          <w:i w:val="0"/>
          <w:iCs w:val="0"/>
          <w:caps w:val="0"/>
          <w:color w:val="000000"/>
          <w:spacing w:val="0"/>
          <w:kern w:val="0"/>
          <w:sz w:val="28"/>
          <w:szCs w:val="28"/>
          <w:highlight w:val="none"/>
          <w:lang w:val="en-US" w:eastAsia="zh-CN" w:bidi="ar"/>
        </w:rPr>
        <w:t>（北京时间）</w:t>
      </w:r>
      <w:r>
        <w:rPr>
          <w:rFonts w:hint="eastAsia" w:ascii="宋体" w:hAnsi="宋体"/>
          <w:sz w:val="28"/>
          <w:szCs w:val="28"/>
          <w:highlight w:val="none"/>
        </w:rPr>
        <w:t>；(不安排公开开标、唱标，由招标办工作人员在我校纪检监察部门监督见证下进行，开标、唱标工作全程视频监控并录像)。</w:t>
      </w:r>
    </w:p>
    <w:p>
      <w:pPr>
        <w:snapToGrid w:val="0"/>
        <w:spacing w:line="360" w:lineRule="auto"/>
        <w:ind w:firstLine="560" w:firstLineChars="200"/>
        <w:rPr>
          <w:rFonts w:ascii="宋体" w:hAnsi="宋体"/>
          <w:sz w:val="28"/>
          <w:szCs w:val="28"/>
          <w:highlight w:val="none"/>
        </w:rPr>
      </w:pPr>
      <w:r>
        <w:rPr>
          <w:rFonts w:hint="eastAsia" w:ascii="宋体" w:hAnsi="宋体"/>
          <w:sz w:val="28"/>
          <w:szCs w:val="28"/>
          <w:highlight w:val="none"/>
        </w:rPr>
        <w:t>（2）唱标和开标地点：南京信息工程大学东苑大学生创业中心</w:t>
      </w:r>
      <w:r>
        <w:rPr>
          <w:rFonts w:ascii="宋体" w:hAnsi="宋体"/>
          <w:sz w:val="28"/>
          <w:szCs w:val="28"/>
          <w:highlight w:val="none"/>
        </w:rPr>
        <w:t>3</w:t>
      </w:r>
      <w:r>
        <w:rPr>
          <w:rFonts w:hint="eastAsia" w:ascii="宋体" w:hAnsi="宋体"/>
          <w:sz w:val="28"/>
          <w:szCs w:val="28"/>
          <w:highlight w:val="none"/>
        </w:rPr>
        <w:t>号楼（体育馆北面三层小楼）</w:t>
      </w:r>
      <w:r>
        <w:rPr>
          <w:rFonts w:ascii="宋体" w:hAnsi="宋体"/>
          <w:sz w:val="28"/>
          <w:szCs w:val="28"/>
          <w:highlight w:val="none"/>
        </w:rPr>
        <w:t>210</w:t>
      </w:r>
      <w:r>
        <w:rPr>
          <w:rFonts w:hint="eastAsia" w:ascii="宋体" w:hAnsi="宋体"/>
          <w:sz w:val="28"/>
          <w:szCs w:val="28"/>
          <w:highlight w:val="none"/>
        </w:rPr>
        <w:t>室。</w:t>
      </w:r>
    </w:p>
    <w:p>
      <w:pPr>
        <w:snapToGrid w:val="0"/>
        <w:spacing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6.相关单位联系人及电话</w:t>
      </w:r>
    </w:p>
    <w:p>
      <w:pPr>
        <w:snapToGrid w:val="0"/>
        <w:spacing w:line="360" w:lineRule="auto"/>
        <w:ind w:firstLine="425" w:firstLineChars="152"/>
        <w:rPr>
          <w:rFonts w:ascii="宋体"/>
          <w:sz w:val="28"/>
          <w:szCs w:val="28"/>
          <w:highlight w:val="none"/>
        </w:rPr>
      </w:pPr>
      <w:r>
        <w:rPr>
          <w:rFonts w:hint="eastAsia" w:ascii="宋体" w:hAnsi="宋体"/>
          <w:sz w:val="28"/>
          <w:szCs w:val="28"/>
          <w:highlight w:val="none"/>
        </w:rPr>
        <w:t>（</w:t>
      </w:r>
      <w:r>
        <w:rPr>
          <w:rFonts w:ascii="宋体" w:hAnsi="宋体"/>
          <w:sz w:val="28"/>
          <w:szCs w:val="28"/>
          <w:highlight w:val="none"/>
        </w:rPr>
        <w:t>1</w:t>
      </w:r>
      <w:r>
        <w:rPr>
          <w:rFonts w:hint="eastAsia" w:ascii="宋体" w:hAnsi="宋体"/>
          <w:sz w:val="28"/>
          <w:szCs w:val="28"/>
          <w:highlight w:val="none"/>
        </w:rPr>
        <w:t>）招标办：联系电话：</w:t>
      </w:r>
      <w:r>
        <w:rPr>
          <w:rFonts w:ascii="宋体" w:hAnsi="宋体"/>
          <w:sz w:val="28"/>
          <w:szCs w:val="28"/>
          <w:highlight w:val="none"/>
        </w:rPr>
        <w:t>025-58731441</w:t>
      </w:r>
      <w:r>
        <w:rPr>
          <w:rFonts w:hint="eastAsia" w:ascii="宋体" w:hAnsi="宋体"/>
          <w:sz w:val="28"/>
          <w:szCs w:val="28"/>
          <w:highlight w:val="none"/>
        </w:rPr>
        <w:t>，联系人：马老师、罗老师、刘老师；</w:t>
      </w:r>
    </w:p>
    <w:p>
      <w:pPr>
        <w:snapToGrid w:val="0"/>
        <w:spacing w:line="360" w:lineRule="auto"/>
        <w:ind w:firstLine="425" w:firstLineChars="152"/>
        <w:rPr>
          <w:rFonts w:ascii="宋体" w:hAnsi="宋体"/>
          <w:sz w:val="28"/>
          <w:szCs w:val="28"/>
          <w:highlight w:val="none"/>
        </w:rPr>
      </w:pPr>
      <w:r>
        <w:rPr>
          <w:rFonts w:hint="eastAsia" w:ascii="宋体" w:hAnsi="宋体"/>
          <w:sz w:val="28"/>
          <w:szCs w:val="28"/>
          <w:highlight w:val="none"/>
        </w:rPr>
        <w:t>（2）</w:t>
      </w:r>
      <w:bookmarkEnd w:id="6"/>
      <w:r>
        <w:rPr>
          <w:rFonts w:hint="eastAsia" w:ascii="宋体" w:hAnsi="宋体"/>
          <w:sz w:val="28"/>
          <w:szCs w:val="28"/>
          <w:highlight w:val="none"/>
        </w:rPr>
        <w:t>用户单位联系电话：</w:t>
      </w:r>
      <w:r>
        <w:rPr>
          <w:rFonts w:hint="eastAsia" w:ascii="仿宋" w:hAnsi="仿宋" w:eastAsia="仿宋" w:cs="仿宋"/>
          <w:i w:val="0"/>
          <w:iCs w:val="0"/>
          <w:caps w:val="0"/>
          <w:color w:val="000000"/>
          <w:spacing w:val="0"/>
          <w:kern w:val="0"/>
          <w:sz w:val="28"/>
          <w:szCs w:val="28"/>
          <w:highlight w:val="none"/>
          <w:lang w:val="en-US" w:eastAsia="zh-CN" w:bidi="ar"/>
        </w:rPr>
        <w:t>025-58731378</w:t>
      </w:r>
      <w:r>
        <w:rPr>
          <w:rFonts w:hint="eastAsia" w:ascii="宋体" w:hAnsi="宋体"/>
          <w:sz w:val="28"/>
          <w:szCs w:val="28"/>
          <w:highlight w:val="none"/>
        </w:rPr>
        <w:t xml:space="preserve"> ，联系人：</w:t>
      </w:r>
      <w:r>
        <w:rPr>
          <w:rFonts w:hint="eastAsia" w:ascii="宋体" w:hAnsi="宋体"/>
          <w:sz w:val="28"/>
          <w:szCs w:val="28"/>
          <w:highlight w:val="none"/>
          <w:lang w:val="en-US" w:eastAsia="zh-CN"/>
        </w:rPr>
        <w:t>赵</w:t>
      </w:r>
      <w:r>
        <w:rPr>
          <w:rFonts w:hint="eastAsia" w:ascii="宋体" w:hAnsi="宋体"/>
          <w:sz w:val="28"/>
          <w:szCs w:val="28"/>
          <w:highlight w:val="none"/>
        </w:rPr>
        <w:t>老师。</w:t>
      </w:r>
    </w:p>
    <w:p>
      <w:pPr>
        <w:pStyle w:val="8"/>
        <w:ind w:left="0" w:leftChars="0" w:right="0" w:rightChars="0"/>
        <w:rPr>
          <w:rFonts w:ascii="宋体" w:hAnsi="宋体"/>
          <w:sz w:val="28"/>
          <w:szCs w:val="28"/>
          <w:highlight w:val="none"/>
        </w:rPr>
      </w:pPr>
    </w:p>
    <w:p>
      <w:pPr>
        <w:tabs>
          <w:tab w:val="left" w:pos="1260"/>
        </w:tabs>
        <w:spacing w:line="360" w:lineRule="auto"/>
        <w:ind w:left="1959" w:leftChars="933" w:firstLine="2530" w:firstLineChars="900"/>
        <w:jc w:val="right"/>
        <w:rPr>
          <w:rFonts w:ascii="宋体"/>
          <w:b/>
          <w:sz w:val="28"/>
          <w:szCs w:val="28"/>
          <w:highlight w:val="none"/>
        </w:rPr>
      </w:pPr>
      <w:bookmarkStart w:id="8" w:name="_Hlk9866962"/>
      <w:r>
        <w:rPr>
          <w:rFonts w:hint="eastAsia" w:ascii="宋体" w:hAnsi="宋体"/>
          <w:b/>
          <w:sz w:val="28"/>
          <w:szCs w:val="28"/>
          <w:highlight w:val="none"/>
        </w:rPr>
        <w:t>南京信息工程大学招标办</w:t>
      </w:r>
    </w:p>
    <w:p>
      <w:pPr>
        <w:pStyle w:val="11"/>
        <w:spacing w:line="360" w:lineRule="auto"/>
        <w:ind w:left="99" w:leftChars="47" w:firstLine="4919" w:firstLineChars="1750"/>
        <w:jc w:val="right"/>
        <w:rPr>
          <w:rStyle w:val="39"/>
          <w:rFonts w:ascii="宋体" w:hAnsi="Times New Roman" w:eastAsia="宋体"/>
          <w:sz w:val="28"/>
          <w:szCs w:val="28"/>
          <w:highlight w:val="none"/>
        </w:rPr>
      </w:pPr>
      <w:r>
        <w:rPr>
          <w:rStyle w:val="39"/>
          <w:rFonts w:ascii="宋体" w:hAnsi="宋体" w:eastAsia="宋体"/>
          <w:sz w:val="28"/>
          <w:szCs w:val="28"/>
          <w:highlight w:val="none"/>
        </w:rPr>
        <w:t>20</w:t>
      </w:r>
      <w:r>
        <w:rPr>
          <w:rStyle w:val="39"/>
          <w:rFonts w:hint="eastAsia" w:ascii="宋体" w:hAnsi="宋体" w:eastAsia="宋体"/>
          <w:sz w:val="28"/>
          <w:szCs w:val="28"/>
          <w:highlight w:val="none"/>
        </w:rPr>
        <w:t>2</w:t>
      </w:r>
      <w:r>
        <w:rPr>
          <w:rStyle w:val="39"/>
          <w:rFonts w:hint="eastAsia" w:ascii="宋体" w:hAnsi="宋体"/>
          <w:sz w:val="28"/>
          <w:szCs w:val="28"/>
          <w:highlight w:val="none"/>
          <w:lang w:val="en-US"/>
        </w:rPr>
        <w:t>2</w:t>
      </w:r>
      <w:r>
        <w:rPr>
          <w:rStyle w:val="39"/>
          <w:rFonts w:hint="eastAsia" w:ascii="宋体" w:hAnsi="宋体" w:eastAsia="宋体"/>
          <w:sz w:val="28"/>
          <w:szCs w:val="28"/>
          <w:highlight w:val="none"/>
        </w:rPr>
        <w:t>年</w:t>
      </w:r>
      <w:r>
        <w:rPr>
          <w:rStyle w:val="39"/>
          <w:rFonts w:hint="eastAsia" w:ascii="宋体" w:hAnsi="宋体"/>
          <w:sz w:val="28"/>
          <w:szCs w:val="28"/>
          <w:highlight w:val="none"/>
          <w:lang w:val="en-US"/>
        </w:rPr>
        <w:t>12</w:t>
      </w:r>
      <w:r>
        <w:rPr>
          <w:rStyle w:val="39"/>
          <w:rFonts w:hint="eastAsia" w:ascii="宋体" w:hAnsi="宋体" w:eastAsia="宋体"/>
          <w:sz w:val="28"/>
          <w:szCs w:val="28"/>
          <w:highlight w:val="none"/>
        </w:rPr>
        <w:t>月</w:t>
      </w:r>
      <w:r>
        <w:rPr>
          <w:rStyle w:val="39"/>
          <w:rFonts w:hint="eastAsia" w:ascii="宋体" w:hAnsi="宋体"/>
          <w:sz w:val="28"/>
          <w:szCs w:val="28"/>
          <w:highlight w:val="none"/>
        </w:rPr>
        <w:t>0</w:t>
      </w:r>
      <w:r>
        <w:rPr>
          <w:rStyle w:val="39"/>
          <w:rFonts w:hint="eastAsia" w:ascii="宋体" w:hAnsi="宋体"/>
          <w:sz w:val="28"/>
          <w:szCs w:val="28"/>
          <w:highlight w:val="none"/>
          <w:lang w:val="en-US"/>
        </w:rPr>
        <w:t>2</w:t>
      </w:r>
      <w:r>
        <w:rPr>
          <w:rStyle w:val="39"/>
          <w:rFonts w:hint="eastAsia" w:ascii="宋体" w:hAnsi="宋体" w:eastAsia="宋体"/>
          <w:sz w:val="28"/>
          <w:szCs w:val="28"/>
          <w:highlight w:val="none"/>
        </w:rPr>
        <w:t>日</w:t>
      </w:r>
    </w:p>
    <w:bookmarkEnd w:id="8"/>
    <w:p>
      <w:pPr>
        <w:pStyle w:val="10"/>
        <w:adjustRightInd w:val="0"/>
        <w:snapToGrid w:val="0"/>
        <w:spacing w:before="120" w:after="120" w:line="360" w:lineRule="auto"/>
        <w:rPr>
          <w:rStyle w:val="39"/>
          <w:rFonts w:ascii="宋体" w:hAnsi="宋体" w:eastAsia="宋体"/>
          <w:b w:val="0"/>
          <w:sz w:val="28"/>
          <w:szCs w:val="28"/>
          <w:highlight w:val="none"/>
        </w:rPr>
      </w:pPr>
      <w:r>
        <w:rPr>
          <w:rStyle w:val="39"/>
          <w:rFonts w:ascii="宋体" w:hAnsi="Times New Roman" w:eastAsia="宋体"/>
          <w:b w:val="0"/>
          <w:sz w:val="28"/>
          <w:szCs w:val="28"/>
          <w:highlight w:val="none"/>
        </w:rPr>
        <w:br w:type="page"/>
      </w:r>
      <w:bookmarkStart w:id="9" w:name="_Toc462564147"/>
      <w:r>
        <w:rPr>
          <w:rFonts w:ascii="Times New Roman" w:hAnsi="Times New Roman"/>
          <w:b/>
          <w:bCs/>
          <w:sz w:val="24"/>
          <w:szCs w:val="24"/>
          <w:highlight w:val="none"/>
        </w:rPr>
        <w:t>附件1：</w:t>
      </w:r>
    </w:p>
    <w:p>
      <w:pPr>
        <w:pStyle w:val="2"/>
        <w:ind w:firstLine="0"/>
        <w:jc w:val="center"/>
        <w:rPr>
          <w:b/>
          <w:bCs/>
          <w:sz w:val="28"/>
          <w:szCs w:val="28"/>
          <w:highlight w:val="none"/>
        </w:rPr>
      </w:pPr>
      <w:r>
        <w:rPr>
          <w:rFonts w:hint="eastAsia"/>
          <w:b/>
          <w:bCs/>
          <w:sz w:val="28"/>
          <w:szCs w:val="28"/>
          <w:highlight w:val="none"/>
        </w:rPr>
        <w:t>南京信息工程大学2023年招生宣传系列材料设计制作服务项目</w:t>
      </w:r>
    </w:p>
    <w:p>
      <w:pPr>
        <w:pStyle w:val="2"/>
        <w:ind w:firstLine="0"/>
        <w:rPr>
          <w:b/>
          <w:bCs/>
          <w:sz w:val="28"/>
          <w:szCs w:val="28"/>
          <w:highlight w:val="none"/>
        </w:rPr>
      </w:pPr>
      <w:r>
        <w:rPr>
          <w:rFonts w:hint="eastAsia"/>
          <w:b/>
          <w:bCs/>
          <w:sz w:val="28"/>
          <w:szCs w:val="28"/>
          <w:highlight w:val="none"/>
        </w:rPr>
        <w:t>一、项目采购内容、主要技术要求、数量如下：</w:t>
      </w:r>
    </w:p>
    <w:p>
      <w:pPr>
        <w:numPr>
          <w:ilvl w:val="0"/>
          <w:numId w:val="1"/>
        </w:numPr>
        <w:autoSpaceDE w:val="0"/>
        <w:autoSpaceDN w:val="0"/>
        <w:spacing w:line="300" w:lineRule="auto"/>
        <w:rPr>
          <w:rFonts w:ascii="宋体" w:hAnsi="宋体"/>
          <w:szCs w:val="21"/>
          <w:highlight w:val="none"/>
        </w:rPr>
      </w:pPr>
      <w:r>
        <w:rPr>
          <w:rFonts w:hint="eastAsia" w:ascii="宋体" w:hAnsi="宋体"/>
          <w:szCs w:val="21"/>
          <w:highlight w:val="none"/>
        </w:rPr>
        <w:t>常态化宣传不干胶大海报招生简章要求：1米*0.7米；进口不干胶书写纸张；单面彩色，836张。</w:t>
      </w:r>
    </w:p>
    <w:p>
      <w:pPr>
        <w:numPr>
          <w:ilvl w:val="0"/>
          <w:numId w:val="1"/>
        </w:numPr>
        <w:autoSpaceDE w:val="0"/>
        <w:autoSpaceDN w:val="0"/>
        <w:spacing w:line="300" w:lineRule="auto"/>
        <w:rPr>
          <w:rFonts w:ascii="宋体" w:hAnsi="宋体"/>
          <w:szCs w:val="21"/>
          <w:highlight w:val="none"/>
        </w:rPr>
      </w:pPr>
      <w:r>
        <w:rPr>
          <w:rFonts w:hint="eastAsia" w:ascii="宋体" w:hAnsi="宋体"/>
          <w:szCs w:val="21"/>
          <w:highlight w:val="none"/>
        </w:rPr>
        <w:t>联合培养五折页要求：300克双铜；660mm*240mm;正反彩色；压四道痕；折好成品，1.5万份。</w:t>
      </w:r>
    </w:p>
    <w:p>
      <w:pPr>
        <w:numPr>
          <w:ilvl w:val="0"/>
          <w:numId w:val="1"/>
        </w:numPr>
        <w:autoSpaceDE w:val="0"/>
        <w:autoSpaceDN w:val="0"/>
        <w:spacing w:line="300" w:lineRule="auto"/>
        <w:rPr>
          <w:rFonts w:ascii="宋体" w:hAnsi="宋体"/>
          <w:szCs w:val="21"/>
          <w:highlight w:val="none"/>
        </w:rPr>
      </w:pPr>
      <w:r>
        <w:rPr>
          <w:rFonts w:hint="eastAsia" w:ascii="宋体" w:hAnsi="宋体"/>
          <w:szCs w:val="21"/>
          <w:highlight w:val="none"/>
        </w:rPr>
        <w:t>招生宣传五折页要求：300克双铜；660mm*240mm;正反彩色；压四道痕；折好成品，3.5万份。</w:t>
      </w:r>
    </w:p>
    <w:p>
      <w:pPr>
        <w:numPr>
          <w:ilvl w:val="0"/>
          <w:numId w:val="1"/>
        </w:numPr>
        <w:autoSpaceDE w:val="0"/>
        <w:autoSpaceDN w:val="0"/>
        <w:spacing w:line="300" w:lineRule="auto"/>
        <w:rPr>
          <w:rFonts w:ascii="宋体" w:hAnsi="宋体"/>
          <w:szCs w:val="21"/>
          <w:highlight w:val="none"/>
        </w:rPr>
      </w:pPr>
      <w:r>
        <w:rPr>
          <w:rFonts w:ascii="宋体" w:hAnsi="宋体"/>
          <w:szCs w:val="21"/>
          <w:highlight w:val="none"/>
        </w:rPr>
        <w:t>招生宣传易拉宝</w:t>
      </w:r>
      <w:r>
        <w:rPr>
          <w:rFonts w:hint="eastAsia" w:ascii="宋体" w:hAnsi="宋体"/>
          <w:szCs w:val="21"/>
          <w:highlight w:val="none"/>
        </w:rPr>
        <w:t>要求：2米*0.8米；写真；用质量好的易拉宝架子，200个。</w:t>
      </w:r>
    </w:p>
    <w:p>
      <w:pPr>
        <w:numPr>
          <w:ilvl w:val="0"/>
          <w:numId w:val="1"/>
        </w:numPr>
        <w:autoSpaceDE w:val="0"/>
        <w:autoSpaceDN w:val="0"/>
        <w:spacing w:line="300" w:lineRule="auto"/>
        <w:rPr>
          <w:rFonts w:ascii="宋体" w:hAnsi="宋体"/>
          <w:szCs w:val="21"/>
          <w:highlight w:val="none"/>
        </w:rPr>
      </w:pPr>
      <w:r>
        <w:rPr>
          <w:rFonts w:hint="eastAsia" w:ascii="宋体" w:hAnsi="宋体"/>
          <w:szCs w:val="21"/>
          <w:highlight w:val="none"/>
        </w:rPr>
        <w:t>无纺布手拎袋（小）要求：80克出口外贸布料；正反以及两侧印字；38cm*30cm*10cm，9500个。</w:t>
      </w:r>
    </w:p>
    <w:p>
      <w:pPr>
        <w:numPr>
          <w:ilvl w:val="0"/>
          <w:numId w:val="1"/>
        </w:numPr>
        <w:autoSpaceDE w:val="0"/>
        <w:autoSpaceDN w:val="0"/>
        <w:spacing w:line="300" w:lineRule="auto"/>
        <w:rPr>
          <w:rFonts w:ascii="宋体" w:hAnsi="宋体"/>
          <w:szCs w:val="21"/>
          <w:highlight w:val="none"/>
        </w:rPr>
      </w:pPr>
      <w:r>
        <w:rPr>
          <w:rFonts w:hint="eastAsia" w:ascii="宋体" w:hAnsi="宋体"/>
          <w:szCs w:val="21"/>
          <w:highlight w:val="none"/>
        </w:rPr>
        <w:t>无纺布手拎袋（大）要求：80克出口外贸布料；正反以及两侧印字；39cm*38cm*13cm，5000个。</w:t>
      </w:r>
    </w:p>
    <w:p>
      <w:pPr>
        <w:numPr>
          <w:ilvl w:val="0"/>
          <w:numId w:val="1"/>
        </w:numPr>
        <w:autoSpaceDE w:val="0"/>
        <w:autoSpaceDN w:val="0"/>
        <w:spacing w:line="300" w:lineRule="auto"/>
        <w:rPr>
          <w:rFonts w:ascii="宋体" w:hAnsi="宋体"/>
          <w:szCs w:val="21"/>
          <w:highlight w:val="none"/>
        </w:rPr>
      </w:pPr>
      <w:r>
        <w:rPr>
          <w:rFonts w:hint="eastAsia" w:ascii="宋体" w:hAnsi="宋体"/>
          <w:szCs w:val="21"/>
          <w:highlight w:val="none"/>
        </w:rPr>
        <w:t>宣传海报要求：157克双铜；100cm*70cm；单面彩色，3000张。</w:t>
      </w:r>
    </w:p>
    <w:p>
      <w:pPr>
        <w:numPr>
          <w:ilvl w:val="0"/>
          <w:numId w:val="1"/>
        </w:numPr>
        <w:autoSpaceDE w:val="0"/>
        <w:autoSpaceDN w:val="0"/>
        <w:spacing w:line="300" w:lineRule="auto"/>
        <w:rPr>
          <w:rFonts w:ascii="宋体" w:hAnsi="宋体"/>
          <w:szCs w:val="21"/>
          <w:highlight w:val="none"/>
        </w:rPr>
      </w:pPr>
      <w:r>
        <w:rPr>
          <w:rFonts w:hint="eastAsia" w:ascii="宋体" w:hAnsi="宋体"/>
          <w:szCs w:val="21"/>
          <w:highlight w:val="none"/>
        </w:rPr>
        <w:t>拉画宣传笔要求：笔芯黑色水笔芯，1.0；拉画纸正反彩色（180mm*68mm）；笔身印字；笔帽印LOGO；笔身磨砂材质，4000支。</w:t>
      </w:r>
    </w:p>
    <w:p>
      <w:pPr>
        <w:numPr>
          <w:ilvl w:val="0"/>
          <w:numId w:val="1"/>
        </w:numPr>
        <w:autoSpaceDE w:val="0"/>
        <w:autoSpaceDN w:val="0"/>
        <w:spacing w:line="300" w:lineRule="auto"/>
        <w:rPr>
          <w:highlight w:val="none"/>
        </w:rPr>
      </w:pPr>
      <w:r>
        <w:rPr>
          <w:rFonts w:hint="eastAsia" w:ascii="宋体" w:hAnsi="宋体"/>
          <w:szCs w:val="21"/>
          <w:highlight w:val="none"/>
        </w:rPr>
        <w:t>直播背景喷绘软膜要求：5米*3米；写真；安装，2个。</w:t>
      </w:r>
    </w:p>
    <w:p>
      <w:pPr>
        <w:numPr>
          <w:ilvl w:val="0"/>
          <w:numId w:val="1"/>
        </w:numPr>
        <w:autoSpaceDE w:val="0"/>
        <w:autoSpaceDN w:val="0"/>
        <w:spacing w:line="300" w:lineRule="auto"/>
        <w:rPr>
          <w:rFonts w:ascii="宋体" w:hAnsi="宋体"/>
          <w:szCs w:val="21"/>
          <w:highlight w:val="none"/>
        </w:rPr>
      </w:pPr>
      <w:r>
        <w:rPr>
          <w:rFonts w:hint="eastAsia" w:ascii="宋体" w:hAnsi="宋体"/>
          <w:szCs w:val="21"/>
          <w:highlight w:val="none"/>
        </w:rPr>
        <w:t>先进集体木托牌要求：40cm*60cm；木托牌，14个。</w:t>
      </w:r>
    </w:p>
    <w:p>
      <w:pPr>
        <w:numPr>
          <w:ilvl w:val="0"/>
          <w:numId w:val="1"/>
        </w:numPr>
        <w:autoSpaceDE w:val="0"/>
        <w:autoSpaceDN w:val="0"/>
        <w:spacing w:line="300" w:lineRule="auto"/>
        <w:rPr>
          <w:rFonts w:ascii="宋体" w:hAnsi="宋体"/>
          <w:szCs w:val="21"/>
          <w:highlight w:val="none"/>
        </w:rPr>
      </w:pPr>
      <w:r>
        <w:rPr>
          <w:rFonts w:hint="eastAsia" w:ascii="宋体" w:hAnsi="宋体"/>
          <w:szCs w:val="21"/>
          <w:highlight w:val="none"/>
        </w:rPr>
        <w:t>校园开放日折页要求：420mm*285mm;300克双铜；正反彩色，压痕；对折成品，7300份。</w:t>
      </w:r>
    </w:p>
    <w:p>
      <w:pPr>
        <w:numPr>
          <w:ilvl w:val="0"/>
          <w:numId w:val="1"/>
        </w:numPr>
        <w:autoSpaceDE w:val="0"/>
        <w:autoSpaceDN w:val="0"/>
        <w:spacing w:line="300" w:lineRule="auto"/>
        <w:rPr>
          <w:rFonts w:ascii="宋体" w:hAnsi="宋体"/>
          <w:szCs w:val="21"/>
          <w:highlight w:val="none"/>
        </w:rPr>
      </w:pPr>
      <w:r>
        <w:rPr>
          <w:rFonts w:hint="eastAsia" w:ascii="宋体" w:hAnsi="宋体"/>
          <w:szCs w:val="21"/>
          <w:highlight w:val="none"/>
        </w:rPr>
        <w:t>校园开放日餐券要求：350克双铜；正反彩色；20cm*7cm;正反覆亚膜；压一道易撕线，1300份。</w:t>
      </w:r>
    </w:p>
    <w:p>
      <w:pPr>
        <w:numPr>
          <w:ilvl w:val="0"/>
          <w:numId w:val="1"/>
        </w:numPr>
        <w:autoSpaceDE w:val="0"/>
        <w:autoSpaceDN w:val="0"/>
        <w:spacing w:line="300" w:lineRule="auto"/>
        <w:rPr>
          <w:rFonts w:ascii="宋体" w:hAnsi="宋体"/>
          <w:szCs w:val="21"/>
          <w:highlight w:val="none"/>
        </w:rPr>
      </w:pPr>
      <w:r>
        <w:rPr>
          <w:rFonts w:hint="eastAsia" w:ascii="宋体" w:hAnsi="宋体"/>
          <w:szCs w:val="21"/>
          <w:highlight w:val="none"/>
        </w:rPr>
        <w:t>报到流程展板要求：1.2米*0.9米，写真；5mmPVC背板，5个。</w:t>
      </w:r>
    </w:p>
    <w:p>
      <w:pPr>
        <w:numPr>
          <w:ilvl w:val="0"/>
          <w:numId w:val="1"/>
        </w:numPr>
        <w:autoSpaceDE w:val="0"/>
        <w:autoSpaceDN w:val="0"/>
        <w:spacing w:line="300" w:lineRule="auto"/>
        <w:rPr>
          <w:rFonts w:ascii="宋体" w:hAnsi="宋体"/>
          <w:szCs w:val="21"/>
          <w:highlight w:val="none"/>
        </w:rPr>
      </w:pPr>
      <w:r>
        <w:rPr>
          <w:rFonts w:hint="eastAsia" w:ascii="宋体" w:hAnsi="宋体"/>
          <w:szCs w:val="21"/>
          <w:highlight w:val="none"/>
        </w:rPr>
        <w:t>优秀生源基地协议要求：420mm*285mm，封面300克双铜，覆亚膜，内芯120克双胶纸，内芯4页；正反彩色；骑马钉，200份。</w:t>
      </w:r>
    </w:p>
    <w:p>
      <w:pPr>
        <w:numPr>
          <w:ilvl w:val="0"/>
          <w:numId w:val="1"/>
        </w:numPr>
        <w:autoSpaceDE w:val="0"/>
        <w:autoSpaceDN w:val="0"/>
        <w:spacing w:line="300" w:lineRule="auto"/>
        <w:rPr>
          <w:rFonts w:ascii="宋体" w:hAnsi="宋体"/>
          <w:szCs w:val="21"/>
          <w:highlight w:val="none"/>
        </w:rPr>
      </w:pPr>
      <w:r>
        <w:rPr>
          <w:rFonts w:hint="eastAsia" w:ascii="宋体" w:hAnsi="宋体"/>
          <w:szCs w:val="21"/>
          <w:highlight w:val="none"/>
        </w:rPr>
        <w:t>优秀生源基地不锈钢牌要求：0.5米*0.7米；不锈钢材质；哑光，拉丝；彩色；腐蚀工艺，150个。</w:t>
      </w:r>
    </w:p>
    <w:p>
      <w:pPr>
        <w:numPr>
          <w:ilvl w:val="0"/>
          <w:numId w:val="1"/>
        </w:numPr>
        <w:autoSpaceDE w:val="0"/>
        <w:autoSpaceDN w:val="0"/>
        <w:spacing w:line="300" w:lineRule="auto"/>
        <w:rPr>
          <w:rFonts w:ascii="宋体" w:hAnsi="宋体"/>
          <w:szCs w:val="21"/>
          <w:highlight w:val="none"/>
        </w:rPr>
      </w:pPr>
      <w:r>
        <w:rPr>
          <w:rFonts w:hint="eastAsia" w:ascii="宋体" w:hAnsi="宋体"/>
          <w:szCs w:val="21"/>
          <w:highlight w:val="none"/>
        </w:rPr>
        <w:t>风云大使聘书要求：珠光白艺术纸；A4大小，每张带有人名；单面彩色，120份。</w:t>
      </w:r>
    </w:p>
    <w:p>
      <w:pPr>
        <w:numPr>
          <w:ilvl w:val="0"/>
          <w:numId w:val="1"/>
        </w:numPr>
        <w:autoSpaceDE w:val="0"/>
        <w:autoSpaceDN w:val="0"/>
        <w:spacing w:line="300" w:lineRule="auto"/>
        <w:rPr>
          <w:rFonts w:ascii="宋体" w:hAnsi="宋体"/>
          <w:szCs w:val="21"/>
          <w:highlight w:val="none"/>
        </w:rPr>
      </w:pPr>
      <w:r>
        <w:rPr>
          <w:rFonts w:hint="eastAsia" w:ascii="宋体" w:hAnsi="宋体"/>
          <w:szCs w:val="21"/>
          <w:highlight w:val="none"/>
        </w:rPr>
        <w:t>母校行宣传单页要求：300克双铜；370mm*260mm；正反彩色，19.3万份。</w:t>
      </w:r>
    </w:p>
    <w:p>
      <w:pPr>
        <w:numPr>
          <w:ilvl w:val="0"/>
          <w:numId w:val="1"/>
        </w:numPr>
        <w:autoSpaceDE w:val="0"/>
        <w:autoSpaceDN w:val="0"/>
        <w:spacing w:line="300" w:lineRule="auto"/>
        <w:rPr>
          <w:rFonts w:ascii="宋体" w:hAnsi="宋体"/>
          <w:szCs w:val="21"/>
          <w:highlight w:val="none"/>
        </w:rPr>
      </w:pPr>
      <w:r>
        <w:rPr>
          <w:rFonts w:hint="eastAsia" w:ascii="宋体" w:hAnsi="宋体"/>
          <w:szCs w:val="21"/>
          <w:highlight w:val="none"/>
        </w:rPr>
        <w:t>母校行宣传大海报要求：157克双铜；100cm*70cm；单面彩色，5500份。</w:t>
      </w:r>
    </w:p>
    <w:p>
      <w:pPr>
        <w:numPr>
          <w:ilvl w:val="0"/>
          <w:numId w:val="1"/>
        </w:numPr>
        <w:autoSpaceDE w:val="0"/>
        <w:autoSpaceDN w:val="0"/>
        <w:spacing w:line="300" w:lineRule="auto"/>
        <w:rPr>
          <w:rFonts w:ascii="宋体" w:hAnsi="宋体"/>
          <w:szCs w:val="21"/>
          <w:highlight w:val="none"/>
        </w:rPr>
      </w:pPr>
      <w:r>
        <w:rPr>
          <w:rFonts w:hint="eastAsia" w:ascii="宋体" w:hAnsi="宋体"/>
          <w:szCs w:val="21"/>
          <w:highlight w:val="none"/>
        </w:rPr>
        <w:t>母校行定制书签要求：16.5cm*5.5cm；300克高阶琦丽艺术纸；正反彩色；LOGO烫金，19.3万份。</w:t>
      </w:r>
    </w:p>
    <w:p>
      <w:pPr>
        <w:numPr>
          <w:ilvl w:val="0"/>
          <w:numId w:val="1"/>
        </w:numPr>
        <w:autoSpaceDE w:val="0"/>
        <w:autoSpaceDN w:val="0"/>
        <w:spacing w:line="300" w:lineRule="auto"/>
        <w:rPr>
          <w:rFonts w:ascii="宋体" w:hAnsi="宋体"/>
          <w:szCs w:val="21"/>
          <w:highlight w:val="none"/>
        </w:rPr>
      </w:pPr>
      <w:r>
        <w:rPr>
          <w:rFonts w:hint="eastAsia" w:ascii="宋体" w:hAnsi="宋体"/>
          <w:szCs w:val="21"/>
          <w:highlight w:val="none"/>
        </w:rPr>
        <w:t>母校行荣誉证书要求：210mm*297mm；300克白卡纸；正反彩色；每张内容不一样，972份。</w:t>
      </w:r>
    </w:p>
    <w:p>
      <w:pPr>
        <w:numPr>
          <w:ilvl w:val="0"/>
          <w:numId w:val="1"/>
        </w:numPr>
        <w:autoSpaceDE w:val="0"/>
        <w:autoSpaceDN w:val="0"/>
        <w:spacing w:line="300" w:lineRule="auto"/>
        <w:rPr>
          <w:rFonts w:ascii="宋体" w:hAnsi="宋体"/>
          <w:szCs w:val="21"/>
          <w:highlight w:val="none"/>
        </w:rPr>
      </w:pPr>
      <w:r>
        <w:rPr>
          <w:rFonts w:hint="eastAsia" w:ascii="宋体" w:hAnsi="宋体"/>
          <w:szCs w:val="21"/>
          <w:highlight w:val="none"/>
        </w:rPr>
        <w:t>综合评价招生学院展板要求：1.2米*0.9米；写真；光膜；KT板;展架安装好，24个。</w:t>
      </w:r>
    </w:p>
    <w:p>
      <w:pPr>
        <w:numPr>
          <w:ilvl w:val="0"/>
          <w:numId w:val="1"/>
        </w:numPr>
        <w:autoSpaceDE w:val="0"/>
        <w:autoSpaceDN w:val="0"/>
        <w:spacing w:line="300" w:lineRule="auto"/>
        <w:rPr>
          <w:rFonts w:ascii="宋体" w:hAnsi="宋体"/>
          <w:szCs w:val="21"/>
          <w:highlight w:val="none"/>
        </w:rPr>
      </w:pPr>
      <w:r>
        <w:rPr>
          <w:rFonts w:hint="eastAsia" w:ascii="宋体" w:hAnsi="宋体"/>
          <w:szCs w:val="21"/>
          <w:highlight w:val="none"/>
        </w:rPr>
        <w:t>工作证要求：12.2cm*8.5cm；正反彩色；300克珠光白艺术纸，用亚格力卡套；金属宽头宽绳，800个。</w:t>
      </w:r>
    </w:p>
    <w:p>
      <w:pPr>
        <w:numPr>
          <w:ilvl w:val="0"/>
          <w:numId w:val="1"/>
        </w:numPr>
        <w:autoSpaceDE w:val="0"/>
        <w:autoSpaceDN w:val="0"/>
        <w:spacing w:line="300" w:lineRule="auto"/>
        <w:rPr>
          <w:rFonts w:ascii="宋体" w:hAnsi="宋体"/>
          <w:szCs w:val="21"/>
          <w:highlight w:val="none"/>
        </w:rPr>
      </w:pPr>
      <w:r>
        <w:rPr>
          <w:rFonts w:hint="eastAsia" w:ascii="宋体" w:hAnsi="宋体"/>
          <w:szCs w:val="21"/>
          <w:highlight w:val="none"/>
        </w:rPr>
        <w:t>考委证要求：12.2cm*8.5cm；正反彩色；300克珠光白艺术纸，用亚格力卡套；金属宽头宽绳，150个。</w:t>
      </w:r>
    </w:p>
    <w:p>
      <w:pPr>
        <w:numPr>
          <w:ilvl w:val="0"/>
          <w:numId w:val="1"/>
        </w:numPr>
        <w:autoSpaceDE w:val="0"/>
        <w:autoSpaceDN w:val="0"/>
        <w:spacing w:line="300" w:lineRule="auto"/>
        <w:rPr>
          <w:rFonts w:ascii="宋体" w:hAnsi="宋体"/>
          <w:szCs w:val="21"/>
          <w:highlight w:val="none"/>
        </w:rPr>
      </w:pPr>
      <w:r>
        <w:rPr>
          <w:rFonts w:hint="eastAsia" w:ascii="宋体" w:hAnsi="宋体"/>
          <w:szCs w:val="21"/>
          <w:highlight w:val="none"/>
        </w:rPr>
        <w:t>综合评价招生五折页要求：300克双铜；660mm*240mm;正反彩色；压四道痕；折好成品，9000份。</w:t>
      </w:r>
    </w:p>
    <w:p>
      <w:pPr>
        <w:numPr>
          <w:ilvl w:val="0"/>
          <w:numId w:val="1"/>
        </w:numPr>
        <w:autoSpaceDE w:val="0"/>
        <w:autoSpaceDN w:val="0"/>
        <w:spacing w:line="300" w:lineRule="auto"/>
        <w:rPr>
          <w:rFonts w:ascii="宋体" w:hAnsi="宋体"/>
          <w:szCs w:val="21"/>
          <w:highlight w:val="none"/>
        </w:rPr>
      </w:pPr>
      <w:r>
        <w:rPr>
          <w:rFonts w:hint="eastAsia" w:ascii="宋体" w:hAnsi="宋体"/>
          <w:szCs w:val="21"/>
          <w:highlight w:val="none"/>
        </w:rPr>
        <w:t>综合评价招生餐券要求：350克双铜；正反彩色；20cm*7cm;正反覆亚膜；压一道易撕线，2.16万份。</w:t>
      </w:r>
    </w:p>
    <w:p>
      <w:pPr>
        <w:numPr>
          <w:ilvl w:val="0"/>
          <w:numId w:val="1"/>
        </w:numPr>
        <w:autoSpaceDE w:val="0"/>
        <w:autoSpaceDN w:val="0"/>
        <w:spacing w:line="300" w:lineRule="auto"/>
        <w:rPr>
          <w:rFonts w:ascii="宋体" w:hAnsi="宋体"/>
          <w:szCs w:val="21"/>
          <w:highlight w:val="none"/>
        </w:rPr>
      </w:pPr>
      <w:r>
        <w:rPr>
          <w:rFonts w:hint="eastAsia" w:ascii="宋体" w:hAnsi="宋体"/>
          <w:szCs w:val="21"/>
          <w:highlight w:val="none"/>
        </w:rPr>
        <w:t>休息区水牌展板要求：L型不锈钢水牌支架；1.2米*0.9米，含展板，4个。</w:t>
      </w:r>
    </w:p>
    <w:p>
      <w:pPr>
        <w:numPr>
          <w:ilvl w:val="0"/>
          <w:numId w:val="1"/>
        </w:numPr>
        <w:autoSpaceDE w:val="0"/>
        <w:autoSpaceDN w:val="0"/>
        <w:spacing w:line="300" w:lineRule="auto"/>
        <w:rPr>
          <w:rFonts w:ascii="宋体" w:hAnsi="宋体"/>
          <w:szCs w:val="21"/>
          <w:highlight w:val="none"/>
        </w:rPr>
      </w:pPr>
      <w:r>
        <w:rPr>
          <w:rFonts w:hint="eastAsia" w:ascii="宋体" w:hAnsi="宋体"/>
          <w:szCs w:val="21"/>
          <w:highlight w:val="none"/>
        </w:rPr>
        <w:t>指示牌展板要求：丽屏支架；2米*1.2米，含展板，4个。</w:t>
      </w:r>
    </w:p>
    <w:p>
      <w:pPr>
        <w:numPr>
          <w:ilvl w:val="0"/>
          <w:numId w:val="1"/>
        </w:numPr>
        <w:autoSpaceDE w:val="0"/>
        <w:autoSpaceDN w:val="0"/>
        <w:spacing w:line="300" w:lineRule="auto"/>
        <w:rPr>
          <w:rFonts w:ascii="宋体" w:hAnsi="宋体"/>
          <w:szCs w:val="21"/>
          <w:highlight w:val="none"/>
        </w:rPr>
      </w:pPr>
      <w:r>
        <w:rPr>
          <w:rFonts w:hint="eastAsia" w:ascii="宋体" w:hAnsi="宋体"/>
          <w:szCs w:val="21"/>
          <w:highlight w:val="none"/>
        </w:rPr>
        <w:t>综合评价喷绘要求：16米*4.8米，加厚黑色喷绘布；桁架安装好，2个。</w:t>
      </w:r>
    </w:p>
    <w:p>
      <w:pPr>
        <w:numPr>
          <w:ilvl w:val="0"/>
          <w:numId w:val="1"/>
        </w:numPr>
        <w:autoSpaceDE w:val="0"/>
        <w:autoSpaceDN w:val="0"/>
        <w:spacing w:line="300" w:lineRule="auto"/>
        <w:rPr>
          <w:rFonts w:ascii="宋体" w:hAnsi="宋体"/>
          <w:szCs w:val="21"/>
          <w:highlight w:val="none"/>
        </w:rPr>
      </w:pPr>
      <w:r>
        <w:rPr>
          <w:rFonts w:hint="eastAsia" w:ascii="宋体" w:hAnsi="宋体"/>
          <w:szCs w:val="21"/>
          <w:highlight w:val="none"/>
        </w:rPr>
        <w:t>招生宣传文件袋要求：420mm*297mm，PP材质，20丝厚度，双面彩色图案，2.09万份。</w:t>
      </w:r>
    </w:p>
    <w:p>
      <w:pPr>
        <w:numPr>
          <w:ilvl w:val="0"/>
          <w:numId w:val="1"/>
        </w:numPr>
        <w:autoSpaceDE w:val="0"/>
        <w:autoSpaceDN w:val="0"/>
        <w:spacing w:line="300" w:lineRule="auto"/>
        <w:rPr>
          <w:rFonts w:ascii="宋体" w:hAnsi="宋体"/>
          <w:szCs w:val="21"/>
          <w:highlight w:val="none"/>
        </w:rPr>
      </w:pPr>
      <w:r>
        <w:rPr>
          <w:rFonts w:hint="eastAsia" w:ascii="宋体" w:hAnsi="宋体"/>
          <w:szCs w:val="21"/>
          <w:highlight w:val="none"/>
        </w:rPr>
        <w:t>驻点宣传不干胶大海报招生简章要求：1米*0.7米；进口不干胶书写纸张；单面彩色，836份。</w:t>
      </w:r>
    </w:p>
    <w:p>
      <w:pPr>
        <w:numPr>
          <w:ilvl w:val="0"/>
          <w:numId w:val="1"/>
        </w:numPr>
        <w:autoSpaceDE w:val="0"/>
        <w:autoSpaceDN w:val="0"/>
        <w:spacing w:line="300" w:lineRule="auto"/>
        <w:rPr>
          <w:rFonts w:ascii="宋体" w:hAnsi="宋体"/>
          <w:szCs w:val="21"/>
          <w:highlight w:val="none"/>
        </w:rPr>
      </w:pPr>
      <w:r>
        <w:rPr>
          <w:rFonts w:hint="eastAsia" w:ascii="宋体" w:hAnsi="宋体"/>
          <w:szCs w:val="21"/>
          <w:highlight w:val="none"/>
        </w:rPr>
        <w:t>《报考指南》要求：封面300克金东铜版纸；正反彩色；内芯157克金东铜版纸；正反彩色；190mm*270mm；封面覆光膜，骑马钉；内芯44页，7.79万份。</w:t>
      </w:r>
    </w:p>
    <w:p>
      <w:pPr>
        <w:numPr>
          <w:ilvl w:val="0"/>
          <w:numId w:val="1"/>
        </w:numPr>
        <w:autoSpaceDE w:val="0"/>
        <w:autoSpaceDN w:val="0"/>
        <w:spacing w:line="300" w:lineRule="auto"/>
        <w:rPr>
          <w:rFonts w:ascii="宋体" w:hAnsi="宋体"/>
          <w:szCs w:val="21"/>
          <w:highlight w:val="none"/>
        </w:rPr>
      </w:pPr>
      <w:r>
        <w:rPr>
          <w:rFonts w:hint="eastAsia" w:ascii="宋体" w:hAnsi="宋体"/>
          <w:szCs w:val="21"/>
          <w:highlight w:val="none"/>
        </w:rPr>
        <w:t>横幅要求：2.4米*0.7米；绸缎布；彩色，200条。</w:t>
      </w:r>
    </w:p>
    <w:p>
      <w:pPr>
        <w:numPr>
          <w:ilvl w:val="0"/>
          <w:numId w:val="1"/>
        </w:numPr>
        <w:autoSpaceDE w:val="0"/>
        <w:autoSpaceDN w:val="0"/>
        <w:spacing w:line="300" w:lineRule="auto"/>
        <w:rPr>
          <w:rFonts w:ascii="宋体" w:hAnsi="宋体"/>
          <w:szCs w:val="21"/>
          <w:highlight w:val="none"/>
        </w:rPr>
      </w:pPr>
      <w:r>
        <w:rPr>
          <w:rFonts w:hint="eastAsia" w:ascii="宋体" w:hAnsi="宋体"/>
          <w:szCs w:val="21"/>
          <w:highlight w:val="none"/>
        </w:rPr>
        <w:t>《招生手册》要求：封面300克金东铜版纸；正反彩色；内芯157克金东铜版纸；正反彩色；180mm*260mm；封面覆亚膜，无线胶装；内芯108页，500份。</w:t>
      </w:r>
    </w:p>
    <w:p>
      <w:pPr>
        <w:numPr>
          <w:ilvl w:val="0"/>
          <w:numId w:val="1"/>
        </w:numPr>
        <w:autoSpaceDE w:val="0"/>
        <w:autoSpaceDN w:val="0"/>
        <w:spacing w:line="300" w:lineRule="auto"/>
        <w:rPr>
          <w:rFonts w:hint="eastAsia" w:ascii="宋体" w:hAnsi="宋体"/>
          <w:szCs w:val="21"/>
          <w:highlight w:val="none"/>
        </w:rPr>
      </w:pPr>
      <w:r>
        <w:rPr>
          <w:rFonts w:hint="eastAsia" w:ascii="宋体" w:hAnsi="宋体"/>
          <w:szCs w:val="21"/>
          <w:highlight w:val="none"/>
        </w:rPr>
        <w:t>录取通知书外壳：外壳615</w:t>
      </w:r>
      <w:r>
        <w:rPr>
          <w:rFonts w:hint="eastAsia" w:ascii="宋体" w:hAnsi="宋体"/>
          <w:szCs w:val="21"/>
          <w:highlight w:val="none"/>
          <w:lang w:val="en-US" w:eastAsia="zh-CN"/>
        </w:rPr>
        <w:t>mm</w:t>
      </w:r>
      <w:r>
        <w:rPr>
          <w:rFonts w:hint="eastAsia" w:ascii="宋体" w:hAnsi="宋体"/>
          <w:szCs w:val="21"/>
          <w:highlight w:val="none"/>
        </w:rPr>
        <w:t>*210</w:t>
      </w:r>
      <w:r>
        <w:rPr>
          <w:rFonts w:hint="eastAsia" w:ascii="宋体" w:hAnsi="宋体"/>
          <w:szCs w:val="21"/>
          <w:highlight w:val="none"/>
          <w:lang w:val="en-US" w:eastAsia="zh-CN"/>
        </w:rPr>
        <w:t>mm</w:t>
      </w:r>
      <w:r>
        <w:rPr>
          <w:rFonts w:hint="eastAsia" w:ascii="宋体" w:hAnsi="宋体"/>
          <w:szCs w:val="21"/>
          <w:highlight w:val="none"/>
          <w:lang w:eastAsia="zh-CN"/>
        </w:rPr>
        <w:t>，</w:t>
      </w:r>
      <w:r>
        <w:rPr>
          <w:rFonts w:hint="eastAsia" w:ascii="宋体" w:hAnsi="宋体"/>
          <w:szCs w:val="21"/>
          <w:highlight w:val="none"/>
        </w:rPr>
        <w:t>外壳350白卡</w:t>
      </w:r>
      <w:r>
        <w:rPr>
          <w:rFonts w:hint="eastAsia" w:ascii="宋体" w:hAnsi="宋体"/>
          <w:szCs w:val="21"/>
          <w:highlight w:val="none"/>
          <w:lang w:eastAsia="zh-CN"/>
        </w:rPr>
        <w:t>，</w:t>
      </w:r>
      <w:r>
        <w:rPr>
          <w:rFonts w:hint="eastAsia" w:ascii="宋体" w:hAnsi="宋体"/>
          <w:szCs w:val="21"/>
          <w:highlight w:val="none"/>
        </w:rPr>
        <w:t>内贴插页是290克高阶映画（一共四层）</w:t>
      </w:r>
      <w:r>
        <w:rPr>
          <w:rFonts w:hint="eastAsia" w:ascii="宋体" w:hAnsi="宋体"/>
          <w:szCs w:val="21"/>
          <w:highlight w:val="none"/>
          <w:lang w:eastAsia="zh-CN"/>
        </w:rPr>
        <w:t>，</w:t>
      </w:r>
      <w:r>
        <w:rPr>
          <w:rFonts w:hint="eastAsia" w:ascii="宋体" w:hAnsi="宋体"/>
          <w:szCs w:val="21"/>
          <w:highlight w:val="none"/>
        </w:rPr>
        <w:t>外壳哑膜，烫哑光金，镭射银UV内贴做UV烫镭射银，糊成品</w:t>
      </w:r>
      <w:r>
        <w:rPr>
          <w:rFonts w:hint="eastAsia" w:ascii="宋体" w:hAnsi="宋体"/>
          <w:szCs w:val="21"/>
          <w:highlight w:val="none"/>
          <w:lang w:eastAsia="zh-CN"/>
        </w:rPr>
        <w:t>。</w:t>
      </w:r>
      <w:r>
        <w:rPr>
          <w:rFonts w:hint="eastAsia" w:ascii="宋体" w:hAnsi="宋体"/>
          <w:szCs w:val="21"/>
          <w:highlight w:val="none"/>
          <w:lang w:val="en-US" w:eastAsia="zh-CN"/>
        </w:rPr>
        <w:tab/>
      </w:r>
    </w:p>
    <w:p>
      <w:pPr>
        <w:numPr>
          <w:ilvl w:val="0"/>
          <w:numId w:val="1"/>
        </w:numPr>
        <w:autoSpaceDE w:val="0"/>
        <w:autoSpaceDN w:val="0"/>
        <w:spacing w:line="300" w:lineRule="auto"/>
        <w:rPr>
          <w:rFonts w:hint="eastAsia" w:ascii="宋体" w:hAnsi="宋体"/>
          <w:szCs w:val="21"/>
          <w:highlight w:val="none"/>
        </w:rPr>
      </w:pPr>
      <w:r>
        <w:rPr>
          <w:rFonts w:hint="eastAsia" w:ascii="宋体" w:hAnsi="宋体"/>
          <w:szCs w:val="21"/>
          <w:highlight w:val="none"/>
        </w:rPr>
        <w:t>录取通知书内芯：</w:t>
      </w:r>
      <w:r>
        <w:rPr>
          <w:rFonts w:hint="eastAsia" w:ascii="宋体" w:hAnsi="宋体"/>
          <w:szCs w:val="21"/>
          <w:highlight w:val="none"/>
          <w:lang w:eastAsia="zh-CN"/>
        </w:rPr>
        <w:t>内插210</w:t>
      </w:r>
      <w:r>
        <w:rPr>
          <w:rFonts w:hint="eastAsia" w:ascii="宋体" w:hAnsi="宋体"/>
          <w:szCs w:val="21"/>
          <w:highlight w:val="none"/>
          <w:lang w:val="en-US" w:eastAsia="zh-CN"/>
        </w:rPr>
        <w:t>mm</w:t>
      </w:r>
      <w:r>
        <w:rPr>
          <w:rFonts w:hint="eastAsia" w:ascii="宋体" w:hAnsi="宋体"/>
          <w:szCs w:val="21"/>
          <w:highlight w:val="none"/>
          <w:lang w:eastAsia="zh-CN"/>
        </w:rPr>
        <w:t>*280</w:t>
      </w:r>
      <w:r>
        <w:rPr>
          <w:rFonts w:hint="eastAsia" w:ascii="宋体" w:hAnsi="宋体"/>
          <w:szCs w:val="21"/>
          <w:highlight w:val="none"/>
          <w:lang w:val="en-US" w:eastAsia="zh-CN"/>
        </w:rPr>
        <w:t>mm</w:t>
      </w:r>
      <w:r>
        <w:rPr>
          <w:rFonts w:hint="eastAsia" w:ascii="宋体" w:hAnsi="宋体"/>
          <w:szCs w:val="21"/>
          <w:highlight w:val="none"/>
          <w:lang w:eastAsia="zh-CN"/>
        </w:rPr>
        <w:t>，300克哑粉纸，正反彩色，每张需带有照片和数据编号。</w:t>
      </w:r>
    </w:p>
    <w:p>
      <w:pPr>
        <w:pStyle w:val="2"/>
        <w:ind w:firstLine="0"/>
        <w:rPr>
          <w:rFonts w:hAnsi="宋体"/>
          <w:b/>
          <w:sz w:val="24"/>
          <w:highlight w:val="none"/>
        </w:rPr>
      </w:pPr>
      <w:r>
        <w:rPr>
          <w:rFonts w:hint="eastAsia"/>
          <w:b/>
          <w:bCs/>
          <w:sz w:val="28"/>
          <w:szCs w:val="28"/>
          <w:highlight w:val="none"/>
        </w:rPr>
        <w:t>二、供货周期、交货方式及交货地点：</w:t>
      </w:r>
    </w:p>
    <w:p>
      <w:pPr>
        <w:pStyle w:val="10"/>
        <w:adjustRightInd w:val="0"/>
        <w:snapToGrid w:val="0"/>
        <w:spacing w:before="120" w:after="120" w:line="360" w:lineRule="auto"/>
        <w:jc w:val="left"/>
        <w:rPr>
          <w:rFonts w:hAnsi="宋体"/>
          <w:szCs w:val="21"/>
          <w:highlight w:val="none"/>
        </w:rPr>
      </w:pPr>
      <w:r>
        <w:rPr>
          <w:rFonts w:hint="eastAsia" w:hAnsi="宋体"/>
          <w:szCs w:val="21"/>
          <w:highlight w:val="none"/>
        </w:rPr>
        <w:t>1.供货周期：202</w:t>
      </w:r>
      <w:r>
        <w:rPr>
          <w:rFonts w:hint="eastAsia" w:hAnsi="宋体"/>
          <w:szCs w:val="21"/>
          <w:highlight w:val="none"/>
          <w:lang w:val="en-US" w:eastAsia="zh-CN"/>
        </w:rPr>
        <w:t>3</w:t>
      </w:r>
      <w:r>
        <w:rPr>
          <w:rFonts w:hint="eastAsia" w:hAnsi="宋体"/>
          <w:szCs w:val="21"/>
          <w:highlight w:val="none"/>
        </w:rPr>
        <w:t>年整个年度，因上半年主要涉及到高水平运动队招生（1-3月份）、综合评价招生（5-6月份）、普通高考招生（6-8月份），以及整个年度各学院会到各个中学做常态化招生宣讲，这些环节中都需要不定期设计和印制招生宣传材料，因此交付时间以及供货分布在整个年度中，需根据招标方规定的时间进行交付（最终以实际需求为准）。</w:t>
      </w:r>
    </w:p>
    <w:p>
      <w:pPr>
        <w:pStyle w:val="10"/>
        <w:adjustRightInd w:val="0"/>
        <w:snapToGrid w:val="0"/>
        <w:spacing w:before="120" w:after="120" w:line="360" w:lineRule="auto"/>
        <w:jc w:val="left"/>
        <w:rPr>
          <w:rFonts w:hAnsi="宋体"/>
          <w:szCs w:val="21"/>
          <w:highlight w:val="none"/>
        </w:rPr>
      </w:pPr>
      <w:r>
        <w:rPr>
          <w:rFonts w:hint="eastAsia" w:hAnsi="宋体"/>
          <w:szCs w:val="21"/>
          <w:highlight w:val="none"/>
        </w:rPr>
        <w:t>2.交货方式：安排专人免费送货上门，并搬运至</w:t>
      </w:r>
      <w:r>
        <w:rPr>
          <w:rFonts w:hint="eastAsia" w:hAnsi="宋体"/>
          <w:szCs w:val="21"/>
          <w:highlight w:val="none"/>
          <w:lang w:eastAsia="zh-CN"/>
        </w:rPr>
        <w:t>招标方</w:t>
      </w:r>
      <w:r>
        <w:rPr>
          <w:rFonts w:hint="eastAsia" w:hAnsi="宋体"/>
          <w:szCs w:val="21"/>
          <w:highlight w:val="none"/>
        </w:rPr>
        <w:t>指定位置。</w:t>
      </w:r>
    </w:p>
    <w:p>
      <w:pPr>
        <w:pStyle w:val="10"/>
        <w:adjustRightInd w:val="0"/>
        <w:snapToGrid w:val="0"/>
        <w:spacing w:before="120" w:after="120" w:line="360" w:lineRule="auto"/>
        <w:jc w:val="left"/>
        <w:rPr>
          <w:rFonts w:hAnsi="宋体"/>
          <w:szCs w:val="21"/>
          <w:highlight w:val="none"/>
        </w:rPr>
      </w:pPr>
      <w:r>
        <w:rPr>
          <w:rFonts w:hint="eastAsia" w:hAnsi="宋体"/>
          <w:szCs w:val="21"/>
          <w:highlight w:val="none"/>
        </w:rPr>
        <w:t>3.交货地点：按照</w:t>
      </w:r>
      <w:r>
        <w:rPr>
          <w:rFonts w:hint="eastAsia" w:hAnsi="宋体"/>
          <w:szCs w:val="21"/>
          <w:highlight w:val="none"/>
          <w:lang w:eastAsia="zh-CN"/>
        </w:rPr>
        <w:t>招标方</w:t>
      </w:r>
      <w:r>
        <w:rPr>
          <w:rFonts w:hint="eastAsia" w:hAnsi="宋体"/>
          <w:szCs w:val="21"/>
          <w:highlight w:val="none"/>
        </w:rPr>
        <w:t>要求配送到指定位置（一般是学校各学院办公地点）。</w:t>
      </w:r>
    </w:p>
    <w:p>
      <w:pPr>
        <w:pStyle w:val="2"/>
        <w:ind w:left="562" w:hanging="562" w:hangingChars="200"/>
        <w:rPr>
          <w:b/>
          <w:bCs/>
          <w:sz w:val="28"/>
          <w:szCs w:val="28"/>
          <w:highlight w:val="none"/>
        </w:rPr>
      </w:pPr>
      <w:r>
        <w:rPr>
          <w:rFonts w:hint="eastAsia"/>
          <w:b/>
          <w:bCs/>
          <w:sz w:val="28"/>
          <w:szCs w:val="28"/>
          <w:highlight w:val="none"/>
        </w:rPr>
        <w:t>三、其他要求：</w:t>
      </w:r>
    </w:p>
    <w:p>
      <w:pPr>
        <w:numPr>
          <w:ilvl w:val="0"/>
          <w:numId w:val="2"/>
        </w:numPr>
        <w:autoSpaceDE w:val="0"/>
        <w:autoSpaceDN w:val="0"/>
        <w:spacing w:line="300" w:lineRule="auto"/>
        <w:rPr>
          <w:highlight w:val="none"/>
          <w:lang w:val="zh-CN"/>
        </w:rPr>
      </w:pPr>
      <w:r>
        <w:rPr>
          <w:rFonts w:hint="eastAsia" w:ascii="宋体" w:hAnsi="宋体"/>
          <w:szCs w:val="21"/>
          <w:highlight w:val="none"/>
          <w:lang w:val="zh-CN"/>
        </w:rPr>
        <w:t>投标单位需按照附件中的报价单提供每个产品详细的单价及最终报价。</w:t>
      </w:r>
      <w:r>
        <w:rPr>
          <w:rFonts w:hint="eastAsia" w:ascii="宋体" w:hAnsi="宋体"/>
          <w:szCs w:val="21"/>
          <w:highlight w:val="none"/>
        </w:rPr>
        <w:t>其中，数量均为预估数，实际结算额以实际印制数量和中标单价结算。</w:t>
      </w:r>
    </w:p>
    <w:p>
      <w:pPr>
        <w:numPr>
          <w:ilvl w:val="0"/>
          <w:numId w:val="2"/>
        </w:numPr>
        <w:autoSpaceDE w:val="0"/>
        <w:autoSpaceDN w:val="0"/>
        <w:spacing w:line="300" w:lineRule="auto"/>
        <w:rPr>
          <w:rFonts w:ascii="宋体" w:hAnsi="宋体"/>
          <w:szCs w:val="21"/>
          <w:highlight w:val="none"/>
          <w:lang w:val="zh-CN"/>
        </w:rPr>
      </w:pPr>
      <w:r>
        <w:rPr>
          <w:rFonts w:hint="eastAsia" w:ascii="宋体" w:hAnsi="宋体"/>
          <w:szCs w:val="21"/>
          <w:highlight w:val="none"/>
          <w:lang w:val="zh-CN"/>
        </w:rPr>
        <w:t>中标单位要严格按照招标方规定规格、型号及质量标准进行设计、印刷，准时交货。印刷品必须符合国家及有关部门的技术标准和规范，满足客户要求，内容无误、材质无误、纸张平滑、墨色均匀、页码正确、尺寸划一、装订整齐、包装结实。交货验收时，将按照上述要求进行检验，如果检验不合格，则由中标单位在一周内交付合格产品，所产生的额外费用由中标单位自理，否则招标方有权拒付货款，并追究中标单位由此给招标方造成的损失。</w:t>
      </w:r>
    </w:p>
    <w:p>
      <w:pPr>
        <w:pStyle w:val="2"/>
        <w:ind w:firstLine="0"/>
        <w:rPr>
          <w:b/>
          <w:bCs/>
          <w:sz w:val="28"/>
          <w:szCs w:val="28"/>
          <w:highlight w:val="none"/>
        </w:rPr>
      </w:pPr>
      <w:r>
        <w:rPr>
          <w:rFonts w:hint="eastAsia"/>
          <w:b/>
          <w:bCs/>
          <w:sz w:val="28"/>
          <w:szCs w:val="28"/>
          <w:highlight w:val="none"/>
        </w:rPr>
        <w:t>四、本项目需提供以下样品：</w:t>
      </w:r>
    </w:p>
    <w:p>
      <w:pPr>
        <w:numPr>
          <w:ilvl w:val="0"/>
          <w:numId w:val="3"/>
        </w:numPr>
        <w:autoSpaceDE w:val="0"/>
        <w:autoSpaceDN w:val="0"/>
        <w:spacing w:line="300" w:lineRule="auto"/>
        <w:rPr>
          <w:rFonts w:ascii="宋体" w:hAnsi="宋体"/>
          <w:szCs w:val="21"/>
          <w:highlight w:val="none"/>
        </w:rPr>
      </w:pPr>
      <w:r>
        <w:rPr>
          <w:rFonts w:hint="eastAsia" w:ascii="宋体" w:hAnsi="宋体"/>
          <w:szCs w:val="21"/>
          <w:highlight w:val="none"/>
        </w:rPr>
        <w:t>招生宣传五折页：300克双铜；660mm*240mm;正反彩色；压四道痕；折好成品。</w:t>
      </w:r>
    </w:p>
    <w:p>
      <w:pPr>
        <w:numPr>
          <w:ilvl w:val="0"/>
          <w:numId w:val="3"/>
        </w:numPr>
        <w:autoSpaceDE w:val="0"/>
        <w:autoSpaceDN w:val="0"/>
        <w:spacing w:line="300" w:lineRule="auto"/>
        <w:rPr>
          <w:rFonts w:ascii="宋体" w:hAnsi="宋体"/>
          <w:szCs w:val="21"/>
          <w:highlight w:val="none"/>
        </w:rPr>
      </w:pPr>
      <w:r>
        <w:rPr>
          <w:rFonts w:hint="eastAsia" w:ascii="宋体" w:hAnsi="宋体"/>
          <w:szCs w:val="21"/>
          <w:highlight w:val="none"/>
        </w:rPr>
        <w:t>招生宣传易拉宝：2米*0.8米；写真；用质量好的易拉宝架子。</w:t>
      </w:r>
    </w:p>
    <w:p>
      <w:pPr>
        <w:numPr>
          <w:ilvl w:val="0"/>
          <w:numId w:val="3"/>
        </w:numPr>
        <w:autoSpaceDE w:val="0"/>
        <w:autoSpaceDN w:val="0"/>
        <w:spacing w:line="300" w:lineRule="auto"/>
        <w:rPr>
          <w:rFonts w:ascii="宋体" w:hAnsi="宋体"/>
          <w:szCs w:val="21"/>
          <w:highlight w:val="none"/>
        </w:rPr>
      </w:pPr>
      <w:r>
        <w:rPr>
          <w:rFonts w:hint="eastAsia" w:ascii="宋体" w:hAnsi="宋体"/>
          <w:szCs w:val="21"/>
          <w:highlight w:val="none"/>
        </w:rPr>
        <w:t>无纺布手拎袋（大）:80克出口外贸布料；正反以及两侧印字；39cm*38cm*13cm。</w:t>
      </w:r>
    </w:p>
    <w:p>
      <w:pPr>
        <w:numPr>
          <w:ilvl w:val="0"/>
          <w:numId w:val="3"/>
        </w:numPr>
        <w:autoSpaceDE w:val="0"/>
        <w:autoSpaceDN w:val="0"/>
        <w:spacing w:line="300" w:lineRule="auto"/>
        <w:rPr>
          <w:rFonts w:ascii="宋体" w:hAnsi="宋体"/>
          <w:szCs w:val="21"/>
          <w:highlight w:val="none"/>
        </w:rPr>
      </w:pPr>
      <w:r>
        <w:rPr>
          <w:rFonts w:ascii="宋体" w:hAnsi="宋体"/>
          <w:szCs w:val="21"/>
          <w:highlight w:val="none"/>
        </w:rPr>
        <w:t>宣传海报</w:t>
      </w:r>
      <w:r>
        <w:rPr>
          <w:rFonts w:hint="eastAsia" w:ascii="宋体" w:hAnsi="宋体"/>
          <w:szCs w:val="21"/>
          <w:highlight w:val="none"/>
        </w:rPr>
        <w:t>：157克双铜；100cm*70cm；单面彩色。</w:t>
      </w:r>
    </w:p>
    <w:p>
      <w:pPr>
        <w:numPr>
          <w:ilvl w:val="0"/>
          <w:numId w:val="3"/>
        </w:numPr>
        <w:autoSpaceDE w:val="0"/>
        <w:autoSpaceDN w:val="0"/>
        <w:spacing w:line="300" w:lineRule="auto"/>
        <w:rPr>
          <w:rFonts w:ascii="宋体" w:hAnsi="宋体"/>
          <w:szCs w:val="21"/>
          <w:highlight w:val="none"/>
        </w:rPr>
      </w:pPr>
      <w:r>
        <w:rPr>
          <w:rFonts w:hint="eastAsia" w:ascii="宋体" w:hAnsi="宋体"/>
          <w:szCs w:val="21"/>
          <w:highlight w:val="none"/>
        </w:rPr>
        <w:t>拉画宣传笔：笔芯黑色水笔芯，1.0；拉画纸正反彩色（180mm*68mm）；笔身印字；笔帽印LOGO；笔身磨砂材质。</w:t>
      </w:r>
    </w:p>
    <w:p>
      <w:pPr>
        <w:numPr>
          <w:ilvl w:val="0"/>
          <w:numId w:val="3"/>
        </w:numPr>
        <w:autoSpaceDE w:val="0"/>
        <w:autoSpaceDN w:val="0"/>
        <w:spacing w:line="300" w:lineRule="auto"/>
        <w:rPr>
          <w:rFonts w:ascii="宋体" w:hAnsi="宋体"/>
          <w:szCs w:val="21"/>
          <w:highlight w:val="none"/>
        </w:rPr>
      </w:pPr>
      <w:r>
        <w:rPr>
          <w:rFonts w:ascii="宋体" w:hAnsi="宋体"/>
          <w:szCs w:val="21"/>
          <w:highlight w:val="none"/>
        </w:rPr>
        <w:t>母校行定制书签</w:t>
      </w:r>
      <w:r>
        <w:rPr>
          <w:rFonts w:hint="eastAsia" w:ascii="宋体" w:hAnsi="宋体"/>
          <w:szCs w:val="21"/>
          <w:highlight w:val="none"/>
        </w:rPr>
        <w:t>：16.5cm*5.5cm；300克高阶琦丽艺术纸；正反彩色；LOGO烫金。</w:t>
      </w:r>
    </w:p>
    <w:p>
      <w:pPr>
        <w:numPr>
          <w:ilvl w:val="0"/>
          <w:numId w:val="3"/>
        </w:numPr>
        <w:autoSpaceDE w:val="0"/>
        <w:autoSpaceDN w:val="0"/>
        <w:spacing w:line="300" w:lineRule="auto"/>
        <w:rPr>
          <w:rFonts w:ascii="宋体" w:hAnsi="宋体"/>
          <w:szCs w:val="21"/>
          <w:highlight w:val="none"/>
        </w:rPr>
      </w:pPr>
      <w:r>
        <w:rPr>
          <w:rFonts w:ascii="宋体" w:hAnsi="宋体"/>
          <w:szCs w:val="21"/>
          <w:highlight w:val="none"/>
        </w:rPr>
        <w:t>综合评价餐券</w:t>
      </w:r>
      <w:r>
        <w:rPr>
          <w:rFonts w:hint="eastAsia" w:ascii="宋体" w:hAnsi="宋体"/>
          <w:szCs w:val="21"/>
          <w:highlight w:val="none"/>
        </w:rPr>
        <w:t>：350克双铜；正反彩色；20cm*7cm;正反覆亚膜；压一道易撕线。</w:t>
      </w:r>
    </w:p>
    <w:p>
      <w:pPr>
        <w:numPr>
          <w:ilvl w:val="0"/>
          <w:numId w:val="3"/>
        </w:numPr>
        <w:autoSpaceDE w:val="0"/>
        <w:autoSpaceDN w:val="0"/>
        <w:spacing w:line="300" w:lineRule="auto"/>
        <w:rPr>
          <w:rFonts w:ascii="宋体" w:hAnsi="宋体"/>
          <w:szCs w:val="21"/>
          <w:highlight w:val="none"/>
        </w:rPr>
      </w:pPr>
      <w:r>
        <w:rPr>
          <w:rFonts w:ascii="宋体" w:hAnsi="宋体"/>
          <w:szCs w:val="21"/>
          <w:highlight w:val="none"/>
        </w:rPr>
        <w:t>招生宣传文件袋</w:t>
      </w:r>
      <w:r>
        <w:rPr>
          <w:rFonts w:hint="eastAsia" w:ascii="宋体" w:hAnsi="宋体"/>
          <w:szCs w:val="21"/>
          <w:highlight w:val="none"/>
        </w:rPr>
        <w:t>：420mm*297mm，PP材质，20丝厚度，双面彩色图案。</w:t>
      </w:r>
    </w:p>
    <w:p>
      <w:pPr>
        <w:numPr>
          <w:ilvl w:val="0"/>
          <w:numId w:val="3"/>
        </w:numPr>
        <w:autoSpaceDE w:val="0"/>
        <w:autoSpaceDN w:val="0"/>
        <w:spacing w:line="300" w:lineRule="auto"/>
        <w:rPr>
          <w:rFonts w:ascii="宋体" w:hAnsi="宋体"/>
          <w:szCs w:val="21"/>
          <w:highlight w:val="none"/>
        </w:rPr>
      </w:pPr>
      <w:r>
        <w:rPr>
          <w:rFonts w:ascii="宋体" w:hAnsi="宋体"/>
          <w:szCs w:val="21"/>
          <w:highlight w:val="none"/>
        </w:rPr>
        <w:t>报考指南</w:t>
      </w:r>
      <w:r>
        <w:rPr>
          <w:rFonts w:hint="eastAsia" w:ascii="宋体" w:hAnsi="宋体"/>
          <w:szCs w:val="21"/>
          <w:highlight w:val="none"/>
        </w:rPr>
        <w:t>：封面300克金东铜版纸；正反彩色；内芯157克金东铜版纸；正反彩色；190mm*270mm；封面覆光膜，骑马钉；内芯44页。</w:t>
      </w:r>
    </w:p>
    <w:p>
      <w:pPr>
        <w:numPr>
          <w:ilvl w:val="0"/>
          <w:numId w:val="3"/>
        </w:numPr>
        <w:autoSpaceDE w:val="0"/>
        <w:autoSpaceDN w:val="0"/>
        <w:spacing w:line="300" w:lineRule="auto"/>
        <w:rPr>
          <w:rFonts w:ascii="宋体" w:hAnsi="宋体"/>
          <w:szCs w:val="21"/>
          <w:highlight w:val="none"/>
        </w:rPr>
      </w:pPr>
      <w:r>
        <w:rPr>
          <w:rFonts w:ascii="宋体" w:hAnsi="宋体"/>
          <w:szCs w:val="21"/>
          <w:highlight w:val="none"/>
        </w:rPr>
        <w:t>横幅</w:t>
      </w:r>
      <w:r>
        <w:rPr>
          <w:rFonts w:hint="eastAsia" w:ascii="宋体" w:hAnsi="宋体"/>
          <w:szCs w:val="21"/>
          <w:highlight w:val="none"/>
        </w:rPr>
        <w:t>：2.4米*0.7米；绸缎布；彩色。</w:t>
      </w:r>
    </w:p>
    <w:p>
      <w:pPr>
        <w:numPr>
          <w:ilvl w:val="0"/>
          <w:numId w:val="3"/>
        </w:numPr>
        <w:autoSpaceDE w:val="0"/>
        <w:autoSpaceDN w:val="0"/>
        <w:spacing w:line="300" w:lineRule="auto"/>
        <w:rPr>
          <w:rFonts w:ascii="宋体" w:hAnsi="宋体"/>
          <w:szCs w:val="21"/>
          <w:highlight w:val="none"/>
        </w:rPr>
      </w:pPr>
      <w:r>
        <w:rPr>
          <w:rFonts w:hint="eastAsia" w:ascii="宋体" w:hAnsi="宋体"/>
          <w:szCs w:val="21"/>
          <w:highlight w:val="none"/>
        </w:rPr>
        <w:t>优秀生源基地协议：420mm*285mm，封面300克双铜，覆亚膜，内芯120克双胶纸，内芯4页；正反彩色；骑马钉。</w:t>
      </w:r>
    </w:p>
    <w:p>
      <w:pPr>
        <w:numPr>
          <w:ilvl w:val="0"/>
          <w:numId w:val="3"/>
        </w:numPr>
        <w:autoSpaceDE w:val="0"/>
        <w:autoSpaceDN w:val="0"/>
        <w:spacing w:line="300" w:lineRule="auto"/>
        <w:rPr>
          <w:rFonts w:ascii="宋体" w:hAnsi="宋体"/>
          <w:szCs w:val="21"/>
          <w:highlight w:val="none"/>
        </w:rPr>
      </w:pPr>
      <w:r>
        <w:rPr>
          <w:rFonts w:ascii="宋体" w:hAnsi="宋体"/>
          <w:szCs w:val="21"/>
          <w:highlight w:val="none"/>
        </w:rPr>
        <w:t>招生手册</w:t>
      </w:r>
      <w:r>
        <w:rPr>
          <w:rFonts w:hint="eastAsia" w:ascii="宋体" w:hAnsi="宋体"/>
          <w:szCs w:val="21"/>
          <w:highlight w:val="none"/>
        </w:rPr>
        <w:t>：封面300克金东铜版纸；正反彩色；内芯157克金东铜版纸；正反彩色；180mm*260mm；封面覆亚膜，无线胶装；内芯108页。</w:t>
      </w:r>
    </w:p>
    <w:p>
      <w:pPr>
        <w:numPr>
          <w:ilvl w:val="0"/>
          <w:numId w:val="3"/>
        </w:numPr>
        <w:autoSpaceDE w:val="0"/>
        <w:autoSpaceDN w:val="0"/>
        <w:spacing w:line="300" w:lineRule="auto"/>
        <w:rPr>
          <w:rFonts w:ascii="宋体" w:hAnsi="宋体"/>
          <w:szCs w:val="21"/>
          <w:highlight w:val="none"/>
        </w:rPr>
      </w:pPr>
      <w:r>
        <w:rPr>
          <w:rFonts w:hint="eastAsia" w:ascii="宋体" w:hAnsi="宋体"/>
          <w:szCs w:val="21"/>
          <w:highlight w:val="none"/>
        </w:rPr>
        <w:t>录取通知书外壳：外壳615</w:t>
      </w:r>
      <w:r>
        <w:rPr>
          <w:rFonts w:hint="eastAsia" w:ascii="宋体" w:hAnsi="宋体"/>
          <w:szCs w:val="21"/>
          <w:highlight w:val="none"/>
          <w:lang w:val="en-US" w:eastAsia="zh-CN"/>
        </w:rPr>
        <w:t>mm</w:t>
      </w:r>
      <w:r>
        <w:rPr>
          <w:rFonts w:hint="eastAsia" w:ascii="宋体" w:hAnsi="宋体"/>
          <w:szCs w:val="21"/>
          <w:highlight w:val="none"/>
        </w:rPr>
        <w:t>*210</w:t>
      </w:r>
      <w:r>
        <w:rPr>
          <w:rFonts w:hint="eastAsia" w:ascii="宋体" w:hAnsi="宋体"/>
          <w:szCs w:val="21"/>
          <w:highlight w:val="none"/>
          <w:lang w:val="en-US" w:eastAsia="zh-CN"/>
        </w:rPr>
        <w:t>mm</w:t>
      </w:r>
      <w:r>
        <w:rPr>
          <w:rFonts w:hint="eastAsia" w:ascii="宋体" w:hAnsi="宋体"/>
          <w:szCs w:val="21"/>
          <w:highlight w:val="none"/>
          <w:lang w:eastAsia="zh-CN"/>
        </w:rPr>
        <w:t>，</w:t>
      </w:r>
      <w:r>
        <w:rPr>
          <w:rFonts w:hint="eastAsia" w:ascii="宋体" w:hAnsi="宋体"/>
          <w:szCs w:val="21"/>
          <w:highlight w:val="none"/>
        </w:rPr>
        <w:t>外壳350白卡</w:t>
      </w:r>
      <w:r>
        <w:rPr>
          <w:rFonts w:hint="eastAsia" w:ascii="宋体" w:hAnsi="宋体"/>
          <w:szCs w:val="21"/>
          <w:highlight w:val="none"/>
          <w:lang w:eastAsia="zh-CN"/>
        </w:rPr>
        <w:t>，</w:t>
      </w:r>
      <w:r>
        <w:rPr>
          <w:rFonts w:hint="eastAsia" w:ascii="宋体" w:hAnsi="宋体"/>
          <w:szCs w:val="21"/>
          <w:highlight w:val="none"/>
        </w:rPr>
        <w:t>内贴插页是290克高阶映画（一共四层）</w:t>
      </w:r>
      <w:r>
        <w:rPr>
          <w:rFonts w:hint="eastAsia" w:ascii="宋体" w:hAnsi="宋体"/>
          <w:szCs w:val="21"/>
          <w:highlight w:val="none"/>
          <w:lang w:eastAsia="zh-CN"/>
        </w:rPr>
        <w:t>，</w:t>
      </w:r>
      <w:r>
        <w:rPr>
          <w:rFonts w:hint="eastAsia" w:ascii="宋体" w:hAnsi="宋体"/>
          <w:szCs w:val="21"/>
          <w:highlight w:val="none"/>
        </w:rPr>
        <w:t>外壳哑膜，烫哑光金，镭射银UV内贴做UV烫镭射银，糊成品</w:t>
      </w:r>
      <w:r>
        <w:rPr>
          <w:rFonts w:hint="eastAsia" w:ascii="宋体" w:hAnsi="宋体"/>
          <w:szCs w:val="21"/>
          <w:highlight w:val="none"/>
          <w:lang w:eastAsia="zh-CN"/>
        </w:rPr>
        <w:t>。</w:t>
      </w:r>
      <w:r>
        <w:rPr>
          <w:rFonts w:hint="eastAsia" w:ascii="宋体" w:hAnsi="宋体"/>
          <w:szCs w:val="21"/>
          <w:highlight w:val="none"/>
          <w:lang w:val="en-US" w:eastAsia="zh-CN"/>
        </w:rPr>
        <w:tab/>
      </w:r>
    </w:p>
    <w:p>
      <w:pPr>
        <w:numPr>
          <w:ilvl w:val="0"/>
          <w:numId w:val="3"/>
        </w:numPr>
        <w:autoSpaceDE w:val="0"/>
        <w:autoSpaceDN w:val="0"/>
        <w:spacing w:line="300" w:lineRule="auto"/>
        <w:rPr>
          <w:rFonts w:ascii="宋体" w:hAnsi="宋体"/>
          <w:szCs w:val="21"/>
          <w:highlight w:val="none"/>
        </w:rPr>
      </w:pPr>
      <w:r>
        <w:rPr>
          <w:rFonts w:ascii="宋体" w:hAnsi="宋体"/>
          <w:szCs w:val="21"/>
          <w:highlight w:val="none"/>
        </w:rPr>
        <w:t>录取通知书内芯</w:t>
      </w:r>
      <w:r>
        <w:rPr>
          <w:rFonts w:hint="eastAsia" w:ascii="宋体" w:hAnsi="宋体"/>
          <w:szCs w:val="21"/>
          <w:highlight w:val="none"/>
        </w:rPr>
        <w:t>：</w:t>
      </w:r>
      <w:r>
        <w:rPr>
          <w:rFonts w:hint="eastAsia" w:ascii="宋体" w:hAnsi="宋体"/>
          <w:szCs w:val="21"/>
          <w:highlight w:val="none"/>
          <w:lang w:eastAsia="zh-CN"/>
        </w:rPr>
        <w:t>内插210</w:t>
      </w:r>
      <w:r>
        <w:rPr>
          <w:rFonts w:hint="eastAsia" w:ascii="宋体" w:hAnsi="宋体"/>
          <w:szCs w:val="21"/>
          <w:highlight w:val="none"/>
          <w:lang w:val="en-US" w:eastAsia="zh-CN"/>
        </w:rPr>
        <w:t>mm</w:t>
      </w:r>
      <w:r>
        <w:rPr>
          <w:rFonts w:hint="eastAsia" w:ascii="宋体" w:hAnsi="宋体"/>
          <w:szCs w:val="21"/>
          <w:highlight w:val="none"/>
          <w:lang w:eastAsia="zh-CN"/>
        </w:rPr>
        <w:t>*280</w:t>
      </w:r>
      <w:r>
        <w:rPr>
          <w:rFonts w:hint="eastAsia" w:ascii="宋体" w:hAnsi="宋体"/>
          <w:szCs w:val="21"/>
          <w:highlight w:val="none"/>
          <w:lang w:val="en-US" w:eastAsia="zh-CN"/>
        </w:rPr>
        <w:t>mm</w:t>
      </w:r>
      <w:r>
        <w:rPr>
          <w:rFonts w:hint="eastAsia" w:ascii="宋体" w:hAnsi="宋体"/>
          <w:szCs w:val="21"/>
          <w:highlight w:val="none"/>
          <w:lang w:eastAsia="zh-CN"/>
        </w:rPr>
        <w:t>，300克哑粉纸，正反彩色，每张需带有照片和数据编号。</w:t>
      </w:r>
    </w:p>
    <w:p>
      <w:pPr>
        <w:pStyle w:val="2"/>
        <w:ind w:firstLine="0"/>
        <w:rPr>
          <w:b/>
          <w:bCs/>
          <w:sz w:val="28"/>
          <w:szCs w:val="28"/>
          <w:highlight w:val="none"/>
        </w:rPr>
      </w:pPr>
      <w:r>
        <w:rPr>
          <w:rFonts w:hint="eastAsia"/>
          <w:b/>
          <w:bCs/>
          <w:sz w:val="28"/>
          <w:szCs w:val="28"/>
          <w:highlight w:val="none"/>
        </w:rPr>
        <w:t>五、送样要求</w:t>
      </w:r>
    </w:p>
    <w:p>
      <w:pPr>
        <w:pStyle w:val="8"/>
        <w:numPr>
          <w:ilvl w:val="0"/>
          <w:numId w:val="4"/>
        </w:numPr>
        <w:ind w:leftChars="0" w:right="1470"/>
        <w:rPr>
          <w:rFonts w:ascii="宋体" w:hAnsi="宋体"/>
          <w:szCs w:val="21"/>
          <w:highlight w:val="none"/>
        </w:rPr>
      </w:pPr>
      <w:r>
        <w:rPr>
          <w:rFonts w:hint="eastAsia" w:ascii="宋体" w:hAnsi="宋体"/>
          <w:szCs w:val="21"/>
          <w:highlight w:val="none"/>
        </w:rPr>
        <w:t>投标单位必须提供样品，若不提供，作无效标处理。</w:t>
      </w:r>
    </w:p>
    <w:p>
      <w:pPr>
        <w:numPr>
          <w:ilvl w:val="0"/>
          <w:numId w:val="4"/>
        </w:numPr>
        <w:autoSpaceDE w:val="0"/>
        <w:autoSpaceDN w:val="0"/>
        <w:spacing w:line="300" w:lineRule="auto"/>
        <w:rPr>
          <w:rFonts w:ascii="宋体" w:hAnsi="宋体"/>
          <w:szCs w:val="21"/>
          <w:highlight w:val="none"/>
        </w:rPr>
      </w:pPr>
      <w:r>
        <w:rPr>
          <w:rFonts w:hint="eastAsia" w:ascii="宋体" w:hAnsi="宋体"/>
          <w:szCs w:val="21"/>
          <w:highlight w:val="none"/>
        </w:rPr>
        <w:t>投标时，投标人应携带本项目要求的全套样品，产品样品必须符合项目采购内容</w:t>
      </w:r>
      <w:r>
        <w:rPr>
          <w:rFonts w:hint="eastAsia" w:ascii="宋体" w:hAnsi="宋体"/>
          <w:szCs w:val="21"/>
          <w:highlight w:val="none"/>
          <w:lang w:eastAsia="zh-CN"/>
        </w:rPr>
        <w:t>及</w:t>
      </w:r>
      <w:r>
        <w:rPr>
          <w:rFonts w:hint="eastAsia" w:ascii="宋体" w:hAnsi="宋体"/>
          <w:szCs w:val="21"/>
          <w:highlight w:val="none"/>
        </w:rPr>
        <w:t>主要技术要求，样品不得出现企业名称或企业注册商标等标识，厂家提供全套样品只须按照招标文件要求的数量及品种配备,不得多送少送，以上规定如有违反，作为无效投标处理。</w:t>
      </w:r>
    </w:p>
    <w:p>
      <w:pPr>
        <w:numPr>
          <w:ilvl w:val="0"/>
          <w:numId w:val="4"/>
        </w:numPr>
        <w:autoSpaceDE w:val="0"/>
        <w:autoSpaceDN w:val="0"/>
        <w:spacing w:line="300" w:lineRule="auto"/>
        <w:rPr>
          <w:rFonts w:ascii="宋体" w:hAnsi="宋体"/>
          <w:szCs w:val="21"/>
          <w:highlight w:val="none"/>
        </w:rPr>
      </w:pPr>
      <w:r>
        <w:rPr>
          <w:rFonts w:hint="eastAsia" w:ascii="宋体" w:hAnsi="宋体"/>
          <w:szCs w:val="21"/>
          <w:highlight w:val="none"/>
        </w:rPr>
        <w:t>在递交样品时，请在样品外包装袋上用易于撕除的胶带贴上打印有供应商名称的纸张。</w:t>
      </w:r>
    </w:p>
    <w:p>
      <w:pPr>
        <w:numPr>
          <w:ilvl w:val="0"/>
          <w:numId w:val="4"/>
        </w:numPr>
        <w:autoSpaceDE w:val="0"/>
        <w:autoSpaceDN w:val="0"/>
        <w:spacing w:line="300" w:lineRule="auto"/>
        <w:rPr>
          <w:rFonts w:ascii="宋体" w:hAnsi="宋体"/>
          <w:szCs w:val="21"/>
          <w:highlight w:val="none"/>
        </w:rPr>
      </w:pPr>
      <w:r>
        <w:rPr>
          <w:rFonts w:hint="eastAsia" w:ascii="宋体" w:hAnsi="宋体"/>
          <w:szCs w:val="21"/>
          <w:highlight w:val="none"/>
        </w:rPr>
        <w:t>中标单位的投标样品将由</w:t>
      </w:r>
      <w:r>
        <w:rPr>
          <w:rFonts w:hint="eastAsia" w:ascii="宋体" w:hAnsi="宋体"/>
          <w:szCs w:val="21"/>
          <w:highlight w:val="none"/>
          <w:lang w:eastAsia="zh-CN"/>
        </w:rPr>
        <w:t>招标方</w:t>
      </w:r>
      <w:r>
        <w:rPr>
          <w:rFonts w:hint="eastAsia" w:ascii="宋体" w:hAnsi="宋体"/>
          <w:szCs w:val="21"/>
          <w:highlight w:val="none"/>
        </w:rPr>
        <w:t>封存留样，未中标单位的投标样品在接到</w:t>
      </w:r>
      <w:r>
        <w:rPr>
          <w:rFonts w:hint="eastAsia" w:ascii="宋体" w:hAnsi="宋体"/>
          <w:szCs w:val="21"/>
          <w:highlight w:val="none"/>
          <w:lang w:eastAsia="zh-CN"/>
        </w:rPr>
        <w:t>招标方</w:t>
      </w:r>
      <w:r>
        <w:rPr>
          <w:rFonts w:hint="eastAsia" w:ascii="宋体" w:hAnsi="宋体"/>
          <w:szCs w:val="21"/>
          <w:highlight w:val="none"/>
        </w:rPr>
        <w:t>通知后一周内自行领回，逾期不再提供保管。</w:t>
      </w:r>
    </w:p>
    <w:p>
      <w:pPr>
        <w:ind w:firstLine="354" w:firstLineChars="147"/>
        <w:rPr>
          <w:b/>
          <w:highlight w:val="none"/>
          <w:lang w:val="zh-CN"/>
        </w:rPr>
      </w:pPr>
      <w:r>
        <w:rPr>
          <w:rFonts w:hint="eastAsia" w:ascii="宋体"/>
          <w:b/>
          <w:sz w:val="24"/>
          <w:highlight w:val="none"/>
        </w:rPr>
        <w:t>（本部分内容由南京信息工程大学学生工作处提供并负责）</w:t>
      </w:r>
    </w:p>
    <w:p>
      <w:pPr>
        <w:widowControl/>
        <w:jc w:val="left"/>
        <w:rPr>
          <w:rFonts w:hAnsi="宋体"/>
          <w:b/>
          <w:sz w:val="28"/>
          <w:szCs w:val="28"/>
          <w:highlight w:val="none"/>
        </w:rPr>
      </w:pPr>
    </w:p>
    <w:p>
      <w:pPr>
        <w:widowControl/>
        <w:jc w:val="left"/>
        <w:rPr>
          <w:rFonts w:hAnsi="宋体"/>
          <w:b/>
          <w:sz w:val="28"/>
          <w:szCs w:val="28"/>
          <w:highlight w:val="none"/>
        </w:rPr>
      </w:pPr>
    </w:p>
    <w:p>
      <w:pPr>
        <w:widowControl/>
        <w:jc w:val="left"/>
        <w:rPr>
          <w:rFonts w:hAnsi="宋体"/>
          <w:b/>
          <w:sz w:val="28"/>
          <w:szCs w:val="28"/>
          <w:highlight w:val="none"/>
        </w:rPr>
      </w:pPr>
    </w:p>
    <w:p>
      <w:pPr>
        <w:widowControl/>
        <w:jc w:val="left"/>
        <w:rPr>
          <w:rFonts w:hAnsi="宋体"/>
          <w:b/>
          <w:sz w:val="28"/>
          <w:szCs w:val="28"/>
          <w:highlight w:val="none"/>
        </w:rPr>
      </w:pPr>
    </w:p>
    <w:p>
      <w:pPr>
        <w:widowControl/>
        <w:jc w:val="left"/>
        <w:rPr>
          <w:rFonts w:hAnsi="宋体"/>
          <w:b/>
          <w:sz w:val="28"/>
          <w:szCs w:val="28"/>
          <w:highlight w:val="none"/>
        </w:rPr>
      </w:pPr>
    </w:p>
    <w:p>
      <w:pPr>
        <w:widowControl/>
        <w:jc w:val="left"/>
        <w:rPr>
          <w:rFonts w:hAnsi="宋体"/>
          <w:b/>
          <w:sz w:val="28"/>
          <w:szCs w:val="28"/>
          <w:highlight w:val="none"/>
        </w:rPr>
      </w:pPr>
    </w:p>
    <w:p>
      <w:pPr>
        <w:widowControl/>
        <w:jc w:val="left"/>
        <w:rPr>
          <w:rFonts w:hAnsi="宋体"/>
          <w:b/>
          <w:sz w:val="28"/>
          <w:szCs w:val="28"/>
          <w:highlight w:val="none"/>
        </w:rPr>
      </w:pPr>
    </w:p>
    <w:p>
      <w:pPr>
        <w:pStyle w:val="2"/>
        <w:rPr>
          <w:rFonts w:hAnsi="宋体"/>
          <w:b/>
          <w:sz w:val="28"/>
          <w:szCs w:val="28"/>
          <w:highlight w:val="none"/>
        </w:rPr>
      </w:pPr>
    </w:p>
    <w:p>
      <w:pPr>
        <w:pStyle w:val="2"/>
        <w:rPr>
          <w:rFonts w:hAnsi="宋体"/>
          <w:b/>
          <w:sz w:val="28"/>
          <w:szCs w:val="28"/>
          <w:highlight w:val="none"/>
        </w:rPr>
      </w:pPr>
    </w:p>
    <w:p>
      <w:pPr>
        <w:widowControl/>
        <w:jc w:val="left"/>
        <w:rPr>
          <w:rFonts w:hAnsi="宋体"/>
          <w:b/>
          <w:sz w:val="28"/>
          <w:szCs w:val="28"/>
          <w:highlight w:val="none"/>
        </w:rPr>
      </w:pPr>
    </w:p>
    <w:p>
      <w:pPr>
        <w:widowControl/>
        <w:jc w:val="left"/>
        <w:rPr>
          <w:rFonts w:hAnsi="宋体"/>
          <w:b/>
          <w:sz w:val="28"/>
          <w:szCs w:val="28"/>
          <w:highlight w:val="none"/>
        </w:rPr>
      </w:pPr>
    </w:p>
    <w:p>
      <w:pPr>
        <w:widowControl/>
        <w:jc w:val="left"/>
        <w:rPr>
          <w:rFonts w:hAnsi="宋体"/>
          <w:b/>
          <w:sz w:val="36"/>
          <w:szCs w:val="36"/>
          <w:highlight w:val="none"/>
        </w:rPr>
      </w:pPr>
      <w:r>
        <w:rPr>
          <w:rFonts w:hint="eastAsia" w:hAnsi="宋体"/>
          <w:b/>
          <w:sz w:val="28"/>
          <w:szCs w:val="28"/>
          <w:highlight w:val="none"/>
        </w:rPr>
        <w:t>附件</w:t>
      </w:r>
      <w:r>
        <w:rPr>
          <w:rFonts w:hAnsi="宋体"/>
          <w:b/>
          <w:sz w:val="28"/>
          <w:szCs w:val="28"/>
          <w:highlight w:val="none"/>
        </w:rPr>
        <w:t>2</w:t>
      </w:r>
      <w:r>
        <w:rPr>
          <w:rFonts w:hint="eastAsia" w:hAnsi="宋体"/>
          <w:b/>
          <w:sz w:val="28"/>
          <w:szCs w:val="28"/>
          <w:highlight w:val="none"/>
        </w:rPr>
        <w:t>：</w:t>
      </w:r>
    </w:p>
    <w:p>
      <w:pPr>
        <w:tabs>
          <w:tab w:val="left" w:pos="3270"/>
        </w:tabs>
        <w:autoSpaceDE w:val="0"/>
        <w:autoSpaceDN w:val="0"/>
        <w:adjustRightInd w:val="0"/>
        <w:spacing w:line="360" w:lineRule="exact"/>
        <w:rPr>
          <w:rFonts w:ascii="宋体" w:hAnsi="宋体"/>
          <w:b/>
          <w:sz w:val="24"/>
          <w:highlight w:val="none"/>
          <w:lang w:val="zh-CN"/>
        </w:rPr>
      </w:pPr>
      <w:bookmarkStart w:id="10" w:name="_Hlk9862420"/>
    </w:p>
    <w:p>
      <w:pPr>
        <w:autoSpaceDE w:val="0"/>
        <w:autoSpaceDN w:val="0"/>
        <w:adjustRightInd w:val="0"/>
        <w:spacing w:line="360" w:lineRule="exact"/>
        <w:ind w:firstLine="723" w:firstLineChars="200"/>
        <w:jc w:val="center"/>
        <w:rPr>
          <w:rFonts w:ascii="宋体" w:hAnsi="宋体"/>
          <w:b/>
          <w:sz w:val="36"/>
          <w:szCs w:val="36"/>
          <w:highlight w:val="none"/>
          <w:lang w:val="zh-CN"/>
        </w:rPr>
      </w:pPr>
      <w:r>
        <w:rPr>
          <w:rFonts w:hint="eastAsia" w:ascii="宋体" w:hAnsi="宋体"/>
          <w:b/>
          <w:sz w:val="36"/>
          <w:szCs w:val="36"/>
          <w:highlight w:val="none"/>
          <w:lang w:val="zh-CN"/>
        </w:rPr>
        <w:t>投标函</w:t>
      </w:r>
    </w:p>
    <w:p>
      <w:pPr>
        <w:autoSpaceDE w:val="0"/>
        <w:autoSpaceDN w:val="0"/>
        <w:adjustRightInd w:val="0"/>
        <w:spacing w:line="300" w:lineRule="auto"/>
        <w:rPr>
          <w:rFonts w:ascii="宋体" w:hAnsi="宋体"/>
          <w:sz w:val="24"/>
          <w:highlight w:val="none"/>
          <w:lang w:val="zh-CN"/>
        </w:rPr>
      </w:pPr>
      <w:r>
        <w:rPr>
          <w:rFonts w:hint="eastAsia" w:ascii="宋体" w:hAnsi="宋体"/>
          <w:sz w:val="24"/>
          <w:highlight w:val="none"/>
          <w:lang w:val="zh-CN"/>
        </w:rPr>
        <w:t>致：南京信息工程大学</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根据贵方（项目名称）（项目编号）投标邀请，正式授权下述签字人</w:t>
      </w:r>
      <w:r>
        <w:rPr>
          <w:rFonts w:ascii="宋体" w:hAnsi="宋体"/>
          <w:sz w:val="24"/>
          <w:highlight w:val="none"/>
          <w:lang w:val="zh-CN"/>
        </w:rPr>
        <w:t>(</w:t>
      </w:r>
      <w:r>
        <w:rPr>
          <w:rFonts w:hint="eastAsia" w:ascii="宋体" w:hAnsi="宋体"/>
          <w:sz w:val="24"/>
          <w:highlight w:val="none"/>
          <w:lang w:val="zh-CN"/>
        </w:rPr>
        <w:t>姓名和职务</w:t>
      </w:r>
      <w:r>
        <w:rPr>
          <w:rFonts w:ascii="宋体" w:hAnsi="宋体"/>
          <w:sz w:val="24"/>
          <w:highlight w:val="none"/>
          <w:lang w:val="zh-CN"/>
        </w:rPr>
        <w:t>)</w:t>
      </w:r>
      <w:r>
        <w:rPr>
          <w:rFonts w:hint="eastAsia" w:ascii="宋体" w:hAnsi="宋体"/>
          <w:sz w:val="24"/>
          <w:highlight w:val="none"/>
          <w:lang w:val="zh-CN"/>
        </w:rPr>
        <w:t>代表投标人 （投标人名称），提交投标文件。</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据此函，签字人兹宣布声明和承诺如下：</w:t>
      </w:r>
    </w:p>
    <w:p>
      <w:pPr>
        <w:autoSpaceDE w:val="0"/>
        <w:autoSpaceDN w:val="0"/>
        <w:adjustRightInd w:val="0"/>
        <w:spacing w:line="300" w:lineRule="auto"/>
        <w:ind w:firstLine="480" w:firstLineChars="200"/>
        <w:rPr>
          <w:rFonts w:ascii="宋体" w:hAnsi="宋体"/>
          <w:sz w:val="24"/>
          <w:highlight w:val="none"/>
        </w:rPr>
      </w:pPr>
      <w:r>
        <w:rPr>
          <w:rFonts w:ascii="宋体" w:hAnsi="宋体"/>
          <w:sz w:val="24"/>
          <w:highlight w:val="none"/>
          <w:lang w:val="zh-CN"/>
        </w:rPr>
        <w:t>1</w:t>
      </w:r>
      <w:r>
        <w:rPr>
          <w:rFonts w:hint="eastAsia" w:ascii="宋体" w:hAnsi="宋体"/>
          <w:sz w:val="24"/>
          <w:highlight w:val="none"/>
          <w:lang w:val="zh-CN"/>
        </w:rPr>
        <w:t>、</w:t>
      </w:r>
      <w:r>
        <w:rPr>
          <w:rFonts w:hint="eastAsia" w:ascii="宋体" w:hAnsi="宋体"/>
          <w:b/>
          <w:sz w:val="24"/>
          <w:highlight w:val="none"/>
          <w:lang w:val="zh-CN"/>
        </w:rPr>
        <w:t>我们的资格条件完全符合政府采购法和本次招标要求</w:t>
      </w:r>
      <w:r>
        <w:rPr>
          <w:rFonts w:hint="eastAsia" w:ascii="宋体" w:hAnsi="宋体"/>
          <w:sz w:val="24"/>
          <w:highlight w:val="none"/>
          <w:lang w:val="zh-CN"/>
        </w:rPr>
        <w:t>，</w:t>
      </w:r>
      <w:r>
        <w:rPr>
          <w:rFonts w:hint="eastAsia" w:ascii="宋体" w:hAnsi="宋体"/>
          <w:sz w:val="24"/>
          <w:highlight w:val="none"/>
        </w:rPr>
        <w:t>我们</w:t>
      </w:r>
      <w:r>
        <w:rPr>
          <w:rFonts w:hint="eastAsia" w:ascii="宋体" w:hAnsi="宋体"/>
          <w:sz w:val="24"/>
          <w:highlight w:val="none"/>
          <w:lang w:val="zh-CN"/>
        </w:rPr>
        <w:t>同意并向贵方提供了与投标有关的所有证据和资料。</w:t>
      </w:r>
    </w:p>
    <w:p>
      <w:pPr>
        <w:autoSpaceDE w:val="0"/>
        <w:autoSpaceDN w:val="0"/>
        <w:adjustRightInd w:val="0"/>
        <w:spacing w:line="300" w:lineRule="auto"/>
        <w:ind w:firstLine="480" w:firstLineChars="200"/>
        <w:rPr>
          <w:rFonts w:ascii="宋体" w:hAnsi="宋体"/>
          <w:sz w:val="24"/>
          <w:highlight w:val="none"/>
          <w:lang w:val="zh-CN"/>
        </w:rPr>
      </w:pPr>
      <w:r>
        <w:rPr>
          <w:rFonts w:ascii="宋体" w:hAnsi="宋体"/>
          <w:sz w:val="24"/>
          <w:highlight w:val="none"/>
        </w:rPr>
        <w:t>2</w:t>
      </w:r>
      <w:r>
        <w:rPr>
          <w:rFonts w:hint="eastAsia" w:ascii="宋体" w:hAnsi="宋体"/>
          <w:sz w:val="24"/>
          <w:highlight w:val="none"/>
        </w:rPr>
        <w:t>、</w:t>
      </w:r>
      <w:r>
        <w:rPr>
          <w:rFonts w:hint="eastAsia" w:ascii="宋体" w:hAnsi="宋体"/>
          <w:sz w:val="24"/>
          <w:highlight w:val="none"/>
          <w:lang w:val="zh-CN"/>
        </w:rPr>
        <w:t>按招标要求，我们的投标总报价为人民币大写</w:t>
      </w:r>
      <w:r>
        <w:rPr>
          <w:rFonts w:hint="eastAsia" w:ascii="宋体" w:hAnsi="宋体"/>
          <w:sz w:val="24"/>
          <w:highlight w:val="none"/>
          <w:u w:val="single"/>
          <w:lang w:val="zh-CN"/>
        </w:rPr>
        <w:t xml:space="preserve">                        ，</w:t>
      </w:r>
      <w:r>
        <w:rPr>
          <w:rFonts w:hint="eastAsia" w:ascii="宋体" w:hAnsi="宋体"/>
          <w:sz w:val="24"/>
          <w:highlight w:val="none"/>
          <w:lang w:val="zh-CN"/>
        </w:rPr>
        <w:t>小写：</w:t>
      </w:r>
      <w:r>
        <w:rPr>
          <w:rFonts w:hint="eastAsia" w:ascii="宋体" w:hAnsi="宋体"/>
          <w:sz w:val="24"/>
          <w:highlight w:val="none"/>
          <w:u w:val="single"/>
          <w:lang w:val="zh-CN"/>
        </w:rPr>
        <w:t>￥         。</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3、项目负责人</w:t>
      </w:r>
      <w:r>
        <w:rPr>
          <w:rFonts w:ascii="宋体" w:hAnsi="宋体"/>
          <w:sz w:val="24"/>
          <w:highlight w:val="none"/>
          <w:lang w:val="zh-CN"/>
        </w:rPr>
        <w:t>(</w:t>
      </w:r>
      <w:r>
        <w:rPr>
          <w:rFonts w:hint="eastAsia" w:ascii="宋体" w:hAnsi="宋体"/>
          <w:sz w:val="24"/>
          <w:highlight w:val="none"/>
          <w:lang w:val="zh-CN"/>
        </w:rPr>
        <w:t>姓名</w:t>
      </w:r>
      <w:r>
        <w:rPr>
          <w:rFonts w:ascii="宋体" w:hAnsi="宋体"/>
          <w:sz w:val="24"/>
          <w:highlight w:val="none"/>
          <w:lang w:val="zh-CN"/>
        </w:rPr>
        <w:t>)</w:t>
      </w:r>
      <w:r>
        <w:rPr>
          <w:rFonts w:hint="eastAsia" w:ascii="宋体" w:hAnsi="宋体"/>
          <w:sz w:val="24"/>
          <w:highlight w:val="none"/>
          <w:lang w:val="zh-CN"/>
        </w:rPr>
        <w:t>，身份证号。</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4、我们已详细审核全部招标文件及其有效补充文件，我们放弃对招标文件任何误解的权利，提交投标文件后，</w:t>
      </w:r>
      <w:r>
        <w:rPr>
          <w:rFonts w:hint="eastAsia" w:ascii="宋体" w:hAnsi="宋体"/>
          <w:b/>
          <w:sz w:val="24"/>
          <w:highlight w:val="none"/>
          <w:lang w:val="zh-CN"/>
        </w:rPr>
        <w:t>不对招标文件本身提出质疑</w:t>
      </w:r>
      <w:r>
        <w:rPr>
          <w:rFonts w:hint="eastAsia" w:ascii="宋体" w:hAnsi="宋体"/>
          <w:sz w:val="24"/>
          <w:highlight w:val="none"/>
          <w:lang w:val="zh-CN"/>
        </w:rPr>
        <w:t>。否则，属于不诚信和故意扰乱政府采购活动行为，我们将无条件接受处罚。</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5、我们同意从规定的开标日期起遵循本投标文件，并在规定的投标有效期期满之前均具有约束力。</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6、一旦我方中标，我方将根据招标文件的规定严格履行合同，并保证于承诺的时间完成服务的启动</w:t>
      </w:r>
      <w:r>
        <w:rPr>
          <w:rFonts w:ascii="宋体" w:hAnsi="宋体"/>
          <w:sz w:val="24"/>
          <w:highlight w:val="none"/>
          <w:lang w:val="zh-CN"/>
        </w:rPr>
        <w:t>/</w:t>
      </w:r>
      <w:r>
        <w:rPr>
          <w:rFonts w:hint="eastAsia" w:ascii="宋体" w:hAnsi="宋体"/>
          <w:sz w:val="24"/>
          <w:highlight w:val="none"/>
          <w:lang w:val="zh-CN"/>
        </w:rPr>
        <w:t>集成、调试等服务，交付采购人验收、使用。</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7、我方决不提供虚假材料谋取中标、决不采取不正当手段诋毁、排挤其他投标人、决不与采购人、其它投标人或者采购人恶意串通、决不向采购人、采购人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300" w:lineRule="auto"/>
        <w:ind w:firstLine="480" w:firstLineChars="200"/>
        <w:rPr>
          <w:rFonts w:ascii="宋体" w:hAnsi="宋体"/>
          <w:sz w:val="24"/>
          <w:highlight w:val="none"/>
          <w:lang w:val="zh-CN"/>
        </w:rPr>
      </w:pPr>
      <w:r>
        <w:rPr>
          <w:rFonts w:ascii="宋体" w:hAnsi="宋体"/>
          <w:sz w:val="24"/>
          <w:highlight w:val="none"/>
          <w:lang w:val="zh-CN"/>
        </w:rPr>
        <w:t>8</w:t>
      </w:r>
      <w:r>
        <w:rPr>
          <w:rFonts w:hint="eastAsia" w:ascii="宋体" w:hAnsi="宋体"/>
          <w:sz w:val="24"/>
          <w:highlight w:val="none"/>
          <w:lang w:val="zh-CN"/>
        </w:rPr>
        <w:t>、与本投标有关的正式联系方式为：</w:t>
      </w:r>
    </w:p>
    <w:p>
      <w:pPr>
        <w:autoSpaceDE w:val="0"/>
        <w:autoSpaceDN w:val="0"/>
        <w:adjustRightInd w:val="0"/>
        <w:spacing w:line="300" w:lineRule="auto"/>
        <w:ind w:firstLine="480" w:firstLineChars="200"/>
        <w:rPr>
          <w:rFonts w:ascii="宋体" w:hAnsi="宋体"/>
          <w:sz w:val="24"/>
          <w:highlight w:val="none"/>
          <w:u w:val="single"/>
          <w:lang w:val="zh-CN"/>
        </w:rPr>
      </w:pPr>
      <w:r>
        <w:rPr>
          <w:rFonts w:hint="eastAsia" w:ascii="宋体" w:hAnsi="宋体"/>
          <w:sz w:val="24"/>
          <w:highlight w:val="none"/>
          <w:lang w:val="zh-CN"/>
        </w:rPr>
        <w:t>地址：</w:t>
      </w:r>
    </w:p>
    <w:p>
      <w:pPr>
        <w:autoSpaceDE w:val="0"/>
        <w:autoSpaceDN w:val="0"/>
        <w:adjustRightInd w:val="0"/>
        <w:spacing w:line="300" w:lineRule="auto"/>
        <w:ind w:firstLine="480" w:firstLineChars="200"/>
        <w:rPr>
          <w:rFonts w:ascii="宋体" w:hAnsi="宋体"/>
          <w:sz w:val="24"/>
          <w:highlight w:val="none"/>
          <w:u w:val="single"/>
          <w:lang w:val="zh-CN"/>
        </w:rPr>
      </w:pPr>
      <w:r>
        <w:rPr>
          <w:rFonts w:hint="eastAsia" w:ascii="宋体" w:hAnsi="宋体"/>
          <w:sz w:val="24"/>
          <w:highlight w:val="none"/>
          <w:lang w:val="zh-CN"/>
        </w:rPr>
        <w:t>电话：</w:t>
      </w:r>
    </w:p>
    <w:p>
      <w:pPr>
        <w:autoSpaceDE w:val="0"/>
        <w:autoSpaceDN w:val="0"/>
        <w:adjustRightInd w:val="0"/>
        <w:spacing w:line="300" w:lineRule="auto"/>
        <w:ind w:firstLine="480" w:firstLineChars="200"/>
        <w:rPr>
          <w:rFonts w:ascii="宋体" w:hAnsi="宋体"/>
          <w:sz w:val="24"/>
          <w:highlight w:val="none"/>
          <w:u w:val="single"/>
          <w:lang w:val="zh-CN"/>
        </w:rPr>
      </w:pPr>
      <w:r>
        <w:rPr>
          <w:rFonts w:hint="eastAsia" w:ascii="宋体" w:hAnsi="宋体"/>
          <w:sz w:val="24"/>
          <w:highlight w:val="none"/>
          <w:lang w:val="zh-CN"/>
        </w:rPr>
        <w:t>传真：</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开户银行：</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银行账号：</w:t>
      </w:r>
    </w:p>
    <w:p>
      <w:pPr>
        <w:autoSpaceDE w:val="0"/>
        <w:autoSpaceDN w:val="0"/>
        <w:adjustRightInd w:val="0"/>
        <w:spacing w:line="300" w:lineRule="auto"/>
        <w:ind w:firstLine="480" w:firstLineChars="200"/>
        <w:rPr>
          <w:rFonts w:ascii="宋体" w:hAnsi="宋体"/>
          <w:sz w:val="24"/>
          <w:highlight w:val="none"/>
          <w:u w:val="single"/>
          <w:lang w:val="zh-CN"/>
        </w:rPr>
      </w:pPr>
      <w:r>
        <w:rPr>
          <w:rFonts w:hint="eastAsia" w:ascii="宋体" w:hAnsi="宋体"/>
          <w:sz w:val="24"/>
          <w:highlight w:val="none"/>
          <w:lang w:val="zh-CN"/>
        </w:rPr>
        <w:t>投标人法定代表人姓名（签字）：</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投标人名称：（盖章）</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日期：     年   月    日</w:t>
      </w:r>
    </w:p>
    <w:p>
      <w:pPr>
        <w:spacing w:line="360" w:lineRule="auto"/>
        <w:rPr>
          <w:rFonts w:ascii="宋体"/>
          <w:b/>
          <w:sz w:val="28"/>
          <w:szCs w:val="28"/>
          <w:highlight w:val="none"/>
        </w:rPr>
      </w:pPr>
      <w:r>
        <w:rPr>
          <w:rFonts w:ascii="宋体" w:hAnsi="宋体"/>
          <w:b/>
          <w:sz w:val="28"/>
          <w:szCs w:val="28"/>
          <w:highlight w:val="none"/>
        </w:rPr>
        <w:br w:type="page"/>
      </w:r>
      <w:r>
        <w:rPr>
          <w:rFonts w:hint="eastAsia" w:ascii="宋体" w:hAnsi="宋体"/>
          <w:b/>
          <w:sz w:val="28"/>
          <w:szCs w:val="28"/>
          <w:highlight w:val="none"/>
        </w:rPr>
        <w:t>附件</w:t>
      </w:r>
      <w:r>
        <w:rPr>
          <w:rFonts w:ascii="宋体" w:hAnsi="宋体"/>
          <w:b/>
          <w:sz w:val="28"/>
          <w:szCs w:val="28"/>
          <w:highlight w:val="none"/>
        </w:rPr>
        <w:t>3</w:t>
      </w:r>
      <w:r>
        <w:rPr>
          <w:rFonts w:hint="eastAsia" w:ascii="宋体" w:hAnsi="宋体"/>
          <w:b/>
          <w:sz w:val="28"/>
          <w:szCs w:val="28"/>
          <w:highlight w:val="none"/>
        </w:rPr>
        <w:t>：</w:t>
      </w:r>
    </w:p>
    <w:p>
      <w:pPr>
        <w:spacing w:line="360" w:lineRule="auto"/>
        <w:jc w:val="center"/>
        <w:rPr>
          <w:rFonts w:ascii="宋体"/>
          <w:sz w:val="44"/>
          <w:szCs w:val="44"/>
          <w:highlight w:val="none"/>
        </w:rPr>
      </w:pPr>
      <w:r>
        <w:rPr>
          <w:rFonts w:hint="eastAsia" w:ascii="宋体" w:hAnsi="宋体"/>
          <w:sz w:val="44"/>
          <w:szCs w:val="44"/>
          <w:highlight w:val="none"/>
        </w:rPr>
        <w:t>投标项目报价明细表</w:t>
      </w:r>
    </w:p>
    <w:p>
      <w:pPr>
        <w:spacing w:line="360" w:lineRule="auto"/>
        <w:rPr>
          <w:rFonts w:ascii="宋体"/>
          <w:sz w:val="28"/>
          <w:szCs w:val="28"/>
          <w:highlight w:val="none"/>
          <w:u w:val="single"/>
        </w:rPr>
      </w:pPr>
      <w:r>
        <w:rPr>
          <w:rFonts w:hint="eastAsia" w:ascii="宋体" w:hAnsi="宋体"/>
          <w:sz w:val="28"/>
          <w:szCs w:val="28"/>
          <w:highlight w:val="none"/>
        </w:rPr>
        <w:t>投标人</w:t>
      </w:r>
    </w:p>
    <w:p>
      <w:pPr>
        <w:spacing w:line="360" w:lineRule="auto"/>
        <w:rPr>
          <w:rFonts w:ascii="宋体"/>
          <w:sz w:val="28"/>
          <w:szCs w:val="28"/>
          <w:highlight w:val="none"/>
          <w:u w:val="single"/>
        </w:rPr>
      </w:pPr>
      <w:r>
        <w:rPr>
          <w:rFonts w:hint="eastAsia" w:ascii="宋体" w:hAnsi="宋体"/>
          <w:sz w:val="28"/>
          <w:szCs w:val="28"/>
          <w:highlight w:val="none"/>
        </w:rPr>
        <w:t>招标编号及分包号</w:t>
      </w:r>
    </w:p>
    <w:p>
      <w:pPr>
        <w:spacing w:line="360" w:lineRule="auto"/>
        <w:rPr>
          <w:rFonts w:ascii="宋体"/>
          <w:sz w:val="28"/>
          <w:szCs w:val="28"/>
          <w:highlight w:val="none"/>
          <w:u w:val="single"/>
        </w:rPr>
      </w:pPr>
      <w:r>
        <w:rPr>
          <w:rFonts w:hint="eastAsia" w:ascii="宋体" w:hAnsi="宋体"/>
          <w:sz w:val="28"/>
          <w:szCs w:val="28"/>
          <w:highlight w:val="none"/>
        </w:rPr>
        <w:t>投标报价</w:t>
      </w:r>
    </w:p>
    <w:tbl>
      <w:tblPr>
        <w:tblStyle w:val="16"/>
        <w:tblW w:w="11595" w:type="dxa"/>
        <w:tblInd w:w="93" w:type="dxa"/>
        <w:tblLayout w:type="autofit"/>
        <w:tblCellMar>
          <w:top w:w="0" w:type="dxa"/>
          <w:left w:w="108" w:type="dxa"/>
          <w:bottom w:w="0" w:type="dxa"/>
          <w:right w:w="108" w:type="dxa"/>
        </w:tblCellMar>
      </w:tblPr>
      <w:tblGrid>
        <w:gridCol w:w="538"/>
        <w:gridCol w:w="1980"/>
        <w:gridCol w:w="3709"/>
        <w:gridCol w:w="1543"/>
        <w:gridCol w:w="1260"/>
        <w:gridCol w:w="1485"/>
        <w:gridCol w:w="1080"/>
      </w:tblGrid>
      <w:tr>
        <w:tblPrEx>
          <w:tblCellMar>
            <w:top w:w="0" w:type="dxa"/>
            <w:left w:w="108" w:type="dxa"/>
            <w:bottom w:w="0" w:type="dxa"/>
            <w:right w:w="108" w:type="dxa"/>
          </w:tblCellMar>
        </w:tblPrEx>
        <w:trPr>
          <w:trHeight w:val="270" w:hRule="atLeast"/>
        </w:trPr>
        <w:tc>
          <w:tcPr>
            <w:tcW w:w="1051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南京信息工程大学202</w:t>
            </w:r>
            <w:r>
              <w:rPr>
                <w:rFonts w:hint="eastAsia" w:ascii="宋体" w:hAnsi="宋体" w:cs="宋体"/>
                <w:b/>
                <w:bCs/>
                <w:color w:val="000000"/>
                <w:kern w:val="0"/>
                <w:sz w:val="22"/>
                <w:szCs w:val="22"/>
                <w:highlight w:val="none"/>
                <w:lang w:val="en-US" w:eastAsia="zh-CN" w:bidi="ar"/>
              </w:rPr>
              <w:t>3</w:t>
            </w:r>
            <w:r>
              <w:rPr>
                <w:rFonts w:hint="eastAsia" w:ascii="宋体" w:hAnsi="宋体" w:cs="宋体"/>
                <w:b/>
                <w:bCs/>
                <w:color w:val="000000"/>
                <w:kern w:val="0"/>
                <w:sz w:val="22"/>
                <w:szCs w:val="22"/>
                <w:highlight w:val="none"/>
                <w:lang w:bidi="ar"/>
              </w:rPr>
              <w:t>年招生宣传系列材料设计制作服务项目报价单</w:t>
            </w:r>
          </w:p>
        </w:tc>
        <w:tc>
          <w:tcPr>
            <w:tcW w:w="1080" w:type="dxa"/>
            <w:tcBorders>
              <w:top w:val="nil"/>
              <w:left w:val="nil"/>
              <w:bottom w:val="nil"/>
              <w:right w:val="nil"/>
            </w:tcBorders>
            <w:shd w:val="clear" w:color="auto" w:fill="auto"/>
            <w:noWrap/>
            <w:vAlign w:val="center"/>
          </w:tcPr>
          <w:p>
            <w:pP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6"/>
                <w:szCs w:val="16"/>
                <w:highlight w:val="none"/>
              </w:rPr>
            </w:pPr>
            <w:r>
              <w:rPr>
                <w:rFonts w:hint="eastAsia" w:ascii="宋体" w:hAnsi="宋体" w:cs="宋体"/>
                <w:b/>
                <w:bCs/>
                <w:color w:val="000000"/>
                <w:kern w:val="0"/>
                <w:sz w:val="16"/>
                <w:szCs w:val="16"/>
                <w:highlight w:val="none"/>
                <w:lang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6"/>
                <w:szCs w:val="16"/>
                <w:highlight w:val="none"/>
              </w:rPr>
            </w:pPr>
            <w:r>
              <w:rPr>
                <w:rFonts w:hint="eastAsia" w:ascii="宋体" w:hAnsi="宋体" w:cs="宋体"/>
                <w:b/>
                <w:bCs/>
                <w:color w:val="000000"/>
                <w:kern w:val="0"/>
                <w:sz w:val="16"/>
                <w:szCs w:val="16"/>
                <w:highlight w:val="none"/>
                <w:lang w:bidi="ar"/>
              </w:rPr>
              <w:t>项目名称</w:t>
            </w:r>
          </w:p>
        </w:tc>
        <w:tc>
          <w:tcPr>
            <w:tcW w:w="3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6"/>
                <w:szCs w:val="16"/>
                <w:highlight w:val="none"/>
              </w:rPr>
            </w:pPr>
            <w:r>
              <w:rPr>
                <w:rFonts w:hint="eastAsia" w:ascii="宋体" w:hAnsi="宋体" w:cs="宋体"/>
                <w:b/>
                <w:bCs/>
                <w:color w:val="000000"/>
                <w:kern w:val="0"/>
                <w:sz w:val="16"/>
                <w:szCs w:val="16"/>
                <w:highlight w:val="none"/>
                <w:lang w:bidi="ar"/>
              </w:rPr>
              <w:t>技术要求</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6"/>
                <w:szCs w:val="16"/>
                <w:highlight w:val="none"/>
              </w:rPr>
            </w:pPr>
            <w:r>
              <w:rPr>
                <w:rFonts w:hint="eastAsia" w:ascii="宋体" w:hAnsi="宋体" w:cs="宋体"/>
                <w:b/>
                <w:bCs/>
                <w:color w:val="000000"/>
                <w:kern w:val="0"/>
                <w:sz w:val="16"/>
                <w:szCs w:val="16"/>
                <w:highlight w:val="none"/>
                <w:lang w:bidi="ar"/>
              </w:rPr>
              <w:t>202</w:t>
            </w:r>
            <w:r>
              <w:rPr>
                <w:rFonts w:hint="eastAsia" w:ascii="宋体" w:hAnsi="宋体" w:cs="宋体"/>
                <w:b/>
                <w:bCs/>
                <w:color w:val="000000"/>
                <w:kern w:val="0"/>
                <w:sz w:val="16"/>
                <w:szCs w:val="16"/>
                <w:highlight w:val="none"/>
                <w:lang w:val="en-US" w:eastAsia="zh-CN" w:bidi="ar"/>
              </w:rPr>
              <w:t>3</w:t>
            </w:r>
            <w:r>
              <w:rPr>
                <w:rFonts w:hint="eastAsia" w:ascii="宋体" w:hAnsi="宋体" w:cs="宋体"/>
                <w:b/>
                <w:bCs/>
                <w:color w:val="000000"/>
                <w:kern w:val="0"/>
                <w:sz w:val="16"/>
                <w:szCs w:val="16"/>
                <w:highlight w:val="none"/>
                <w:lang w:bidi="ar"/>
              </w:rPr>
              <w:t>年预制作数量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6"/>
                <w:szCs w:val="16"/>
                <w:highlight w:val="none"/>
              </w:rPr>
            </w:pPr>
            <w:r>
              <w:rPr>
                <w:rFonts w:hint="eastAsia" w:ascii="宋体" w:hAnsi="宋体" w:cs="宋体"/>
                <w:b/>
                <w:bCs/>
                <w:color w:val="000000"/>
                <w:kern w:val="0"/>
                <w:sz w:val="16"/>
                <w:szCs w:val="16"/>
                <w:highlight w:val="none"/>
                <w:lang w:bidi="ar"/>
              </w:rPr>
              <w:t>单价(元)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6"/>
                <w:szCs w:val="16"/>
                <w:highlight w:val="none"/>
              </w:rPr>
            </w:pPr>
            <w:r>
              <w:rPr>
                <w:rFonts w:hint="eastAsia" w:ascii="宋体" w:hAnsi="宋体" w:cs="宋体"/>
                <w:b/>
                <w:bCs/>
                <w:color w:val="000000"/>
                <w:kern w:val="0"/>
                <w:sz w:val="16"/>
                <w:szCs w:val="16"/>
                <w:highlight w:val="none"/>
                <w:lang w:bidi="ar"/>
              </w:rPr>
              <w:t>总价（元）</w:t>
            </w:r>
          </w:p>
        </w:tc>
        <w:tc>
          <w:tcPr>
            <w:tcW w:w="0" w:type="auto"/>
            <w:tcBorders>
              <w:top w:val="nil"/>
              <w:left w:val="nil"/>
              <w:bottom w:val="nil"/>
              <w:right w:val="nil"/>
            </w:tcBorders>
            <w:shd w:val="clear" w:color="auto" w:fill="auto"/>
            <w:noWrap/>
            <w:vAlign w:val="center"/>
          </w:tcPr>
          <w:p>
            <w:pPr>
              <w:jc w:val="center"/>
              <w:rPr>
                <w:rFonts w:ascii="宋体" w:hAnsi="宋体" w:cs="宋体"/>
                <w:color w:val="000000"/>
                <w:sz w:val="16"/>
                <w:szCs w:val="16"/>
                <w:highlight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1</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不干胶大海报招生简章</w:t>
            </w:r>
          </w:p>
        </w:tc>
        <w:tc>
          <w:tcPr>
            <w:tcW w:w="3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1米*0.7米；进口不干胶书写纸张；单面彩色</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836份</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0" w:type="auto"/>
            <w:tcBorders>
              <w:top w:val="nil"/>
              <w:left w:val="nil"/>
              <w:bottom w:val="nil"/>
              <w:right w:val="nil"/>
            </w:tcBorders>
            <w:shd w:val="clear" w:color="auto" w:fill="auto"/>
            <w:noWrap/>
            <w:vAlign w:val="center"/>
          </w:tcPr>
          <w:p>
            <w:pPr>
              <w:jc w:val="cente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2</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联合培养五折页</w:t>
            </w:r>
          </w:p>
        </w:tc>
        <w:tc>
          <w:tcPr>
            <w:tcW w:w="3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300克双铜；660mm*240mm;正反彩色；压四道痕；折好成品</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15000份</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0" w:type="auto"/>
            <w:tcBorders>
              <w:top w:val="nil"/>
              <w:left w:val="nil"/>
              <w:bottom w:val="nil"/>
              <w:right w:val="nil"/>
            </w:tcBorders>
            <w:shd w:val="clear" w:color="auto" w:fill="auto"/>
            <w:noWrap/>
            <w:vAlign w:val="center"/>
          </w:tcPr>
          <w:p>
            <w:pPr>
              <w:jc w:val="cente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3</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招生宣传五折页</w:t>
            </w:r>
          </w:p>
        </w:tc>
        <w:tc>
          <w:tcPr>
            <w:tcW w:w="3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300克双铜；660mm*240mm;正反彩色；压四道痕；折好成品</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35000份</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0" w:type="auto"/>
            <w:tcBorders>
              <w:top w:val="nil"/>
              <w:left w:val="nil"/>
              <w:bottom w:val="nil"/>
              <w:right w:val="nil"/>
            </w:tcBorders>
            <w:shd w:val="clear" w:color="auto" w:fill="auto"/>
            <w:noWrap/>
            <w:vAlign w:val="center"/>
          </w:tcPr>
          <w:p>
            <w:pPr>
              <w:jc w:val="cente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4</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招生宣传易拉宝</w:t>
            </w:r>
          </w:p>
        </w:tc>
        <w:tc>
          <w:tcPr>
            <w:tcW w:w="3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2米*0.8米；写真；用质量好的易拉宝架子</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199个</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0" w:type="auto"/>
            <w:tcBorders>
              <w:top w:val="nil"/>
              <w:left w:val="nil"/>
              <w:bottom w:val="nil"/>
              <w:right w:val="nil"/>
            </w:tcBorders>
            <w:shd w:val="clear" w:color="auto" w:fill="auto"/>
            <w:noWrap/>
            <w:vAlign w:val="center"/>
          </w:tcPr>
          <w:p>
            <w:pPr>
              <w:jc w:val="cente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5</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无纺布手拎袋（小）</w:t>
            </w:r>
          </w:p>
        </w:tc>
        <w:tc>
          <w:tcPr>
            <w:tcW w:w="3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80克出口外贸布料；正反以及两侧印字；38cm*30cm*10cm</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9500个</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0" w:type="auto"/>
            <w:tcBorders>
              <w:top w:val="nil"/>
              <w:left w:val="nil"/>
              <w:bottom w:val="nil"/>
              <w:right w:val="nil"/>
            </w:tcBorders>
            <w:shd w:val="clear" w:color="auto" w:fill="auto"/>
            <w:noWrap/>
            <w:vAlign w:val="center"/>
          </w:tcPr>
          <w:p>
            <w:pPr>
              <w:jc w:val="cente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6</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无纺布手拎袋（大）</w:t>
            </w:r>
          </w:p>
        </w:tc>
        <w:tc>
          <w:tcPr>
            <w:tcW w:w="3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80克出口外贸布料；正反以及两侧印字；39cm*38cm*13cm</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5000个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70C0"/>
                <w:sz w:val="16"/>
                <w:szCs w:val="16"/>
                <w:highlight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0" w:type="auto"/>
            <w:tcBorders>
              <w:top w:val="nil"/>
              <w:left w:val="nil"/>
              <w:bottom w:val="nil"/>
              <w:right w:val="nil"/>
            </w:tcBorders>
            <w:shd w:val="clear" w:color="auto" w:fill="auto"/>
            <w:noWrap/>
            <w:vAlign w:val="center"/>
          </w:tcPr>
          <w:p>
            <w:pPr>
              <w:jc w:val="cente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7</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宣传海报</w:t>
            </w:r>
          </w:p>
        </w:tc>
        <w:tc>
          <w:tcPr>
            <w:tcW w:w="3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157克双铜；100cm*70cm；单面彩色</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3000张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70C0"/>
                <w:sz w:val="16"/>
                <w:szCs w:val="16"/>
                <w:highlight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0" w:type="auto"/>
            <w:tcBorders>
              <w:top w:val="nil"/>
              <w:left w:val="nil"/>
              <w:bottom w:val="nil"/>
              <w:right w:val="nil"/>
            </w:tcBorders>
            <w:shd w:val="clear" w:color="auto" w:fill="auto"/>
            <w:noWrap/>
            <w:vAlign w:val="center"/>
          </w:tcPr>
          <w:p>
            <w:pPr>
              <w:jc w:val="cente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8</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拉画宣传笔</w:t>
            </w:r>
          </w:p>
        </w:tc>
        <w:tc>
          <w:tcPr>
            <w:tcW w:w="3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笔芯黑色水笔芯，1.0；拉画纸正反彩色（180mm*68mm）；笔身印字；笔帽印LOGO；笔身磨砂材质</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4000支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70C0"/>
                <w:sz w:val="16"/>
                <w:szCs w:val="16"/>
                <w:highlight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0" w:type="auto"/>
            <w:tcBorders>
              <w:top w:val="nil"/>
              <w:left w:val="nil"/>
              <w:bottom w:val="nil"/>
              <w:right w:val="nil"/>
            </w:tcBorders>
            <w:shd w:val="clear" w:color="auto" w:fill="auto"/>
            <w:noWrap/>
            <w:vAlign w:val="center"/>
          </w:tcPr>
          <w:p>
            <w:pPr>
              <w:jc w:val="cente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9</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直播背景喷绘软膜</w:t>
            </w:r>
          </w:p>
        </w:tc>
        <w:tc>
          <w:tcPr>
            <w:tcW w:w="3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5米*3米；写真；安装</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2个</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0" w:type="auto"/>
            <w:tcBorders>
              <w:top w:val="nil"/>
              <w:left w:val="nil"/>
              <w:bottom w:val="nil"/>
              <w:right w:val="nil"/>
            </w:tcBorders>
            <w:shd w:val="clear" w:color="auto" w:fill="auto"/>
            <w:noWrap/>
            <w:vAlign w:val="center"/>
          </w:tcPr>
          <w:p>
            <w:pPr>
              <w:jc w:val="cente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10</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先进集体木托牌</w:t>
            </w:r>
          </w:p>
        </w:tc>
        <w:tc>
          <w:tcPr>
            <w:tcW w:w="3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40cm*60cm；木托牌</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14个</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0" w:type="auto"/>
            <w:tcBorders>
              <w:top w:val="nil"/>
              <w:left w:val="nil"/>
              <w:bottom w:val="nil"/>
              <w:right w:val="nil"/>
            </w:tcBorders>
            <w:shd w:val="clear" w:color="auto" w:fill="auto"/>
            <w:noWrap/>
            <w:vAlign w:val="center"/>
          </w:tcPr>
          <w:p>
            <w:pPr>
              <w:jc w:val="cente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11</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校园开放日折页</w:t>
            </w:r>
          </w:p>
        </w:tc>
        <w:tc>
          <w:tcPr>
            <w:tcW w:w="3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420mm*285mm;300克双铜；正反彩色，压痕；对折成品</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7300份</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0" w:type="auto"/>
            <w:tcBorders>
              <w:top w:val="nil"/>
              <w:left w:val="nil"/>
              <w:bottom w:val="nil"/>
              <w:right w:val="nil"/>
            </w:tcBorders>
            <w:shd w:val="clear" w:color="auto" w:fill="auto"/>
            <w:noWrap/>
            <w:vAlign w:val="center"/>
          </w:tcPr>
          <w:p>
            <w:pPr>
              <w:jc w:val="cente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12</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校园开放日餐券</w:t>
            </w:r>
          </w:p>
        </w:tc>
        <w:tc>
          <w:tcPr>
            <w:tcW w:w="3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350克双铜；正反彩色；20cm*7cm;正反覆亚膜；压一道易撕线</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1300份</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0" w:type="auto"/>
            <w:tcBorders>
              <w:top w:val="nil"/>
              <w:left w:val="nil"/>
              <w:bottom w:val="nil"/>
              <w:right w:val="nil"/>
            </w:tcBorders>
            <w:shd w:val="clear" w:color="auto" w:fill="auto"/>
            <w:noWrap/>
            <w:vAlign w:val="center"/>
          </w:tcPr>
          <w:p>
            <w:pPr>
              <w:jc w:val="cente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13</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高水平运动员报到流程展板</w:t>
            </w:r>
          </w:p>
        </w:tc>
        <w:tc>
          <w:tcPr>
            <w:tcW w:w="3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1.2米*0.9米，写真；5mmPVC背板</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5个</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0" w:type="auto"/>
            <w:tcBorders>
              <w:top w:val="nil"/>
              <w:left w:val="nil"/>
              <w:bottom w:val="nil"/>
              <w:right w:val="nil"/>
            </w:tcBorders>
            <w:shd w:val="clear" w:color="auto" w:fill="auto"/>
            <w:noWrap/>
            <w:vAlign w:val="center"/>
          </w:tcPr>
          <w:p>
            <w:pPr>
              <w:jc w:val="cente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14</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优秀生源基地协议</w:t>
            </w:r>
          </w:p>
        </w:tc>
        <w:tc>
          <w:tcPr>
            <w:tcW w:w="3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420mm*285mm，封面300克双铜，覆亚膜，内芯120克双胶纸，内芯4页；正反彩色；骑马钉</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200份</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0" w:type="auto"/>
            <w:tcBorders>
              <w:top w:val="nil"/>
              <w:left w:val="nil"/>
              <w:bottom w:val="nil"/>
              <w:right w:val="nil"/>
            </w:tcBorders>
            <w:shd w:val="clear" w:color="auto" w:fill="auto"/>
            <w:noWrap/>
            <w:vAlign w:val="center"/>
          </w:tcPr>
          <w:p>
            <w:pPr>
              <w:jc w:val="cente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15</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优秀生源基地不锈钢牌</w:t>
            </w:r>
          </w:p>
        </w:tc>
        <w:tc>
          <w:tcPr>
            <w:tcW w:w="3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0.5米*0.7米；不锈钢材质；哑光，拉丝；彩色；腐蚀工艺</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150个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70C0"/>
                <w:sz w:val="16"/>
                <w:szCs w:val="16"/>
                <w:highlight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0" w:type="auto"/>
            <w:tcBorders>
              <w:top w:val="nil"/>
              <w:left w:val="nil"/>
              <w:bottom w:val="nil"/>
              <w:right w:val="nil"/>
            </w:tcBorders>
            <w:shd w:val="clear" w:color="auto" w:fill="auto"/>
            <w:noWrap/>
            <w:vAlign w:val="center"/>
          </w:tcPr>
          <w:p>
            <w:pPr>
              <w:jc w:val="cente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16</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风云大使聘书</w:t>
            </w:r>
          </w:p>
        </w:tc>
        <w:tc>
          <w:tcPr>
            <w:tcW w:w="3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珠光白艺术纸；A4大小，每张带有人名；单面彩色</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120份</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0" w:type="auto"/>
            <w:tcBorders>
              <w:top w:val="nil"/>
              <w:left w:val="nil"/>
              <w:bottom w:val="nil"/>
              <w:right w:val="nil"/>
            </w:tcBorders>
            <w:shd w:val="clear" w:color="auto" w:fill="auto"/>
            <w:noWrap/>
            <w:vAlign w:val="center"/>
          </w:tcPr>
          <w:p>
            <w:pPr>
              <w:jc w:val="cente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17</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母校行宣传单页</w:t>
            </w:r>
          </w:p>
        </w:tc>
        <w:tc>
          <w:tcPr>
            <w:tcW w:w="3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300克双铜；370mm*260mm;正反彩色</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193000张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0" w:type="auto"/>
            <w:tcBorders>
              <w:top w:val="nil"/>
              <w:left w:val="nil"/>
              <w:bottom w:val="nil"/>
              <w:right w:val="nil"/>
            </w:tcBorders>
            <w:shd w:val="clear" w:color="auto" w:fill="auto"/>
            <w:noWrap/>
            <w:vAlign w:val="center"/>
          </w:tcPr>
          <w:p>
            <w:pPr>
              <w:jc w:val="cente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18</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母校行宣传大海报</w:t>
            </w:r>
          </w:p>
        </w:tc>
        <w:tc>
          <w:tcPr>
            <w:tcW w:w="3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157克双铜；100cm*70cm；单面彩色</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5500张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0" w:type="auto"/>
            <w:tcBorders>
              <w:top w:val="nil"/>
              <w:left w:val="nil"/>
              <w:bottom w:val="nil"/>
              <w:right w:val="nil"/>
            </w:tcBorders>
            <w:shd w:val="clear" w:color="auto" w:fill="auto"/>
            <w:noWrap/>
            <w:vAlign w:val="center"/>
          </w:tcPr>
          <w:p>
            <w:pPr>
              <w:jc w:val="cente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19</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母校行定制书签</w:t>
            </w:r>
          </w:p>
        </w:tc>
        <w:tc>
          <w:tcPr>
            <w:tcW w:w="3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16.5cm*5.5cm；300克高阶琦丽艺术纸；正反彩色；LOGO烫金</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193000个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70C0"/>
                <w:sz w:val="16"/>
                <w:szCs w:val="16"/>
                <w:highlight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0" w:type="auto"/>
            <w:tcBorders>
              <w:top w:val="nil"/>
              <w:left w:val="nil"/>
              <w:bottom w:val="nil"/>
              <w:right w:val="nil"/>
            </w:tcBorders>
            <w:shd w:val="clear" w:color="auto" w:fill="auto"/>
            <w:noWrap/>
            <w:vAlign w:val="center"/>
          </w:tcPr>
          <w:p>
            <w:pPr>
              <w:jc w:val="cente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20</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母校行荣誉证书</w:t>
            </w:r>
          </w:p>
        </w:tc>
        <w:tc>
          <w:tcPr>
            <w:tcW w:w="3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210mm*297mm；300克白卡纸；正反彩色；每张内容不一样</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972张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0" w:type="auto"/>
            <w:tcBorders>
              <w:top w:val="nil"/>
              <w:left w:val="nil"/>
              <w:bottom w:val="nil"/>
              <w:right w:val="nil"/>
            </w:tcBorders>
            <w:shd w:val="clear" w:color="auto" w:fill="auto"/>
            <w:noWrap/>
            <w:vAlign w:val="center"/>
          </w:tcPr>
          <w:p>
            <w:pPr>
              <w:jc w:val="cente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21</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综合评价学院展板</w:t>
            </w:r>
          </w:p>
        </w:tc>
        <w:tc>
          <w:tcPr>
            <w:tcW w:w="3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1.2米*0.9米；写真；光膜；KT板;展架安装好</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24个</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0" w:type="auto"/>
            <w:tcBorders>
              <w:top w:val="nil"/>
              <w:left w:val="nil"/>
              <w:bottom w:val="nil"/>
              <w:right w:val="nil"/>
            </w:tcBorders>
            <w:shd w:val="clear" w:color="auto" w:fill="auto"/>
            <w:noWrap/>
            <w:vAlign w:val="center"/>
          </w:tcPr>
          <w:p>
            <w:pPr>
              <w:jc w:val="cente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22</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工作证</w:t>
            </w:r>
          </w:p>
        </w:tc>
        <w:tc>
          <w:tcPr>
            <w:tcW w:w="3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12.2cm*8.5cm；正反彩色；300克珠光白艺术纸，用亚格力卡套；金属宽头宽绳</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800个</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0" w:type="auto"/>
            <w:tcBorders>
              <w:top w:val="nil"/>
              <w:left w:val="nil"/>
              <w:bottom w:val="nil"/>
              <w:right w:val="nil"/>
            </w:tcBorders>
            <w:shd w:val="clear" w:color="auto" w:fill="auto"/>
            <w:noWrap/>
            <w:vAlign w:val="center"/>
          </w:tcPr>
          <w:p>
            <w:pPr>
              <w:jc w:val="cente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23</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考委证</w:t>
            </w:r>
          </w:p>
        </w:tc>
        <w:tc>
          <w:tcPr>
            <w:tcW w:w="3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12.2cm*8.5cm；正反彩色；300克珠光白艺术纸，用亚格力卡套；金属宽头宽绳</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150个</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0" w:type="auto"/>
            <w:tcBorders>
              <w:top w:val="nil"/>
              <w:left w:val="nil"/>
              <w:bottom w:val="nil"/>
              <w:right w:val="nil"/>
            </w:tcBorders>
            <w:shd w:val="clear" w:color="auto" w:fill="auto"/>
            <w:noWrap/>
            <w:vAlign w:val="center"/>
          </w:tcPr>
          <w:p>
            <w:pPr>
              <w:jc w:val="cente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24</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综合评价五折页</w:t>
            </w:r>
          </w:p>
        </w:tc>
        <w:tc>
          <w:tcPr>
            <w:tcW w:w="3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300克双铜；660mm*240mm;正反彩色；压四道痕；折好成品</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9000份</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0" w:type="auto"/>
            <w:tcBorders>
              <w:top w:val="nil"/>
              <w:left w:val="nil"/>
              <w:bottom w:val="nil"/>
              <w:right w:val="nil"/>
            </w:tcBorders>
            <w:shd w:val="clear" w:color="auto" w:fill="auto"/>
            <w:noWrap/>
            <w:vAlign w:val="center"/>
          </w:tcPr>
          <w:p>
            <w:pPr>
              <w:jc w:val="cente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25</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综合评价餐券</w:t>
            </w:r>
          </w:p>
        </w:tc>
        <w:tc>
          <w:tcPr>
            <w:tcW w:w="3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350克双铜；正反彩色；20cm*7cm;正反覆亚膜；压一道易撕线</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21600张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0" w:type="auto"/>
            <w:tcBorders>
              <w:top w:val="nil"/>
              <w:left w:val="nil"/>
              <w:bottom w:val="nil"/>
              <w:right w:val="nil"/>
            </w:tcBorders>
            <w:shd w:val="clear" w:color="auto" w:fill="auto"/>
            <w:noWrap/>
            <w:vAlign w:val="center"/>
          </w:tcPr>
          <w:p>
            <w:pPr>
              <w:jc w:val="cente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26</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休息区水牌展板</w:t>
            </w:r>
          </w:p>
        </w:tc>
        <w:tc>
          <w:tcPr>
            <w:tcW w:w="3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L型不锈钢水牌支架；1.2米*0.9米，含展板</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4个</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0" w:type="auto"/>
            <w:tcBorders>
              <w:top w:val="nil"/>
              <w:left w:val="nil"/>
              <w:bottom w:val="nil"/>
              <w:right w:val="nil"/>
            </w:tcBorders>
            <w:shd w:val="clear" w:color="auto" w:fill="auto"/>
            <w:noWrap/>
            <w:vAlign w:val="center"/>
          </w:tcPr>
          <w:p>
            <w:pPr>
              <w:jc w:val="cente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指示牌展板</w:t>
            </w:r>
          </w:p>
        </w:tc>
        <w:tc>
          <w:tcPr>
            <w:tcW w:w="3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丽屏支架；2米*1.2米，含展板</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4个</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0" w:type="auto"/>
            <w:tcBorders>
              <w:top w:val="nil"/>
              <w:left w:val="nil"/>
              <w:bottom w:val="nil"/>
              <w:right w:val="nil"/>
            </w:tcBorders>
            <w:shd w:val="clear" w:color="auto" w:fill="auto"/>
            <w:noWrap/>
            <w:vAlign w:val="center"/>
          </w:tcPr>
          <w:p>
            <w:pPr>
              <w:jc w:val="cente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28</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综合评价喷绘</w:t>
            </w:r>
          </w:p>
        </w:tc>
        <w:tc>
          <w:tcPr>
            <w:tcW w:w="3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16米*4.8米，加厚黑色喷绘布；桁架安装好</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2个</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0" w:type="auto"/>
            <w:tcBorders>
              <w:top w:val="nil"/>
              <w:left w:val="nil"/>
              <w:bottom w:val="nil"/>
              <w:right w:val="nil"/>
            </w:tcBorders>
            <w:shd w:val="clear" w:color="auto" w:fill="auto"/>
            <w:noWrap/>
            <w:vAlign w:val="center"/>
          </w:tcPr>
          <w:p>
            <w:pPr>
              <w:jc w:val="cente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29</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招生宣传文件袋</w:t>
            </w:r>
          </w:p>
        </w:tc>
        <w:tc>
          <w:tcPr>
            <w:tcW w:w="3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420mm*297mm，</w:t>
            </w:r>
            <w:r>
              <w:rPr>
                <w:color w:val="000000"/>
                <w:kern w:val="0"/>
                <w:sz w:val="16"/>
                <w:szCs w:val="16"/>
                <w:highlight w:val="none"/>
                <w:lang w:bidi="ar"/>
              </w:rPr>
              <w:t>PP</w:t>
            </w:r>
            <w:r>
              <w:rPr>
                <w:rFonts w:hint="eastAsia" w:ascii="宋体" w:hAnsi="宋体" w:cs="宋体"/>
                <w:color w:val="000000"/>
                <w:kern w:val="0"/>
                <w:sz w:val="16"/>
                <w:szCs w:val="16"/>
                <w:highlight w:val="none"/>
                <w:lang w:bidi="ar"/>
              </w:rPr>
              <w:t>材质，</w:t>
            </w:r>
            <w:r>
              <w:rPr>
                <w:color w:val="000000"/>
                <w:kern w:val="0"/>
                <w:sz w:val="16"/>
                <w:szCs w:val="16"/>
                <w:highlight w:val="none"/>
                <w:lang w:bidi="ar"/>
              </w:rPr>
              <w:t>20</w:t>
            </w:r>
            <w:r>
              <w:rPr>
                <w:rFonts w:hint="eastAsia" w:ascii="宋体" w:hAnsi="宋体" w:cs="宋体"/>
                <w:color w:val="000000"/>
                <w:kern w:val="0"/>
                <w:sz w:val="16"/>
                <w:szCs w:val="16"/>
                <w:highlight w:val="none"/>
                <w:lang w:bidi="ar"/>
              </w:rPr>
              <w:t>丝厚度，双面彩色图案</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20900个</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0" w:type="auto"/>
            <w:tcBorders>
              <w:top w:val="nil"/>
              <w:left w:val="nil"/>
              <w:bottom w:val="nil"/>
              <w:right w:val="nil"/>
            </w:tcBorders>
            <w:shd w:val="clear" w:color="auto" w:fill="auto"/>
            <w:noWrap/>
            <w:vAlign w:val="center"/>
          </w:tcPr>
          <w:p>
            <w:pPr>
              <w:jc w:val="cente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30</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不干胶大海报招生简章</w:t>
            </w:r>
          </w:p>
        </w:tc>
        <w:tc>
          <w:tcPr>
            <w:tcW w:w="3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1米*0.7米；进口不干胶书写纸张；单面彩色</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836张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0" w:type="auto"/>
            <w:tcBorders>
              <w:top w:val="nil"/>
              <w:left w:val="nil"/>
              <w:bottom w:val="nil"/>
              <w:right w:val="nil"/>
            </w:tcBorders>
            <w:shd w:val="clear" w:color="auto" w:fill="auto"/>
            <w:noWrap/>
            <w:vAlign w:val="center"/>
          </w:tcPr>
          <w:p>
            <w:pPr>
              <w:jc w:val="cente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31</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报考指南</w:t>
            </w:r>
          </w:p>
        </w:tc>
        <w:tc>
          <w:tcPr>
            <w:tcW w:w="3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封面300克金东铜版纸；正反彩色；内芯157克金东铜版纸；正反彩色；190mm*270mm；封面覆光膜，骑马钉；内芯44页</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77900本</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0" w:type="auto"/>
            <w:tcBorders>
              <w:top w:val="nil"/>
              <w:left w:val="nil"/>
              <w:bottom w:val="nil"/>
              <w:right w:val="nil"/>
            </w:tcBorders>
            <w:shd w:val="clear" w:color="auto" w:fill="auto"/>
            <w:noWrap/>
            <w:vAlign w:val="center"/>
          </w:tcPr>
          <w:p>
            <w:pPr>
              <w:jc w:val="cente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32</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横幅</w:t>
            </w:r>
          </w:p>
        </w:tc>
        <w:tc>
          <w:tcPr>
            <w:tcW w:w="3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2.4米*0.7米；绸缎布；彩色</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205条</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0" w:type="auto"/>
            <w:tcBorders>
              <w:top w:val="nil"/>
              <w:left w:val="nil"/>
              <w:bottom w:val="nil"/>
              <w:right w:val="nil"/>
            </w:tcBorders>
            <w:shd w:val="clear" w:color="auto" w:fill="auto"/>
            <w:noWrap/>
            <w:vAlign w:val="center"/>
          </w:tcPr>
          <w:p>
            <w:pPr>
              <w:jc w:val="cente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33</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招生手册</w:t>
            </w:r>
          </w:p>
        </w:tc>
        <w:tc>
          <w:tcPr>
            <w:tcW w:w="3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封面300克金东铜版纸；正反彩色；内芯157克金东铜版纸；正反彩色；180mm*260mm；封面覆亚膜，无线胶装；内芯108页</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500本</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0" w:type="auto"/>
            <w:tcBorders>
              <w:top w:val="nil"/>
              <w:left w:val="nil"/>
              <w:bottom w:val="nil"/>
              <w:right w:val="nil"/>
            </w:tcBorders>
            <w:shd w:val="clear" w:color="auto" w:fill="auto"/>
            <w:noWrap/>
            <w:vAlign w:val="center"/>
          </w:tcPr>
          <w:p>
            <w:pPr>
              <w:jc w:val="cente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34</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 w:val="16"/>
                <w:szCs w:val="16"/>
                <w:highlight w:val="none"/>
                <w:lang w:bidi="ar"/>
              </w:rPr>
            </w:pPr>
            <w:r>
              <w:rPr>
                <w:rFonts w:hint="eastAsia" w:ascii="宋体" w:hAnsi="宋体" w:cs="宋体"/>
                <w:color w:val="000000"/>
                <w:kern w:val="0"/>
                <w:sz w:val="16"/>
                <w:szCs w:val="16"/>
                <w:highlight w:val="none"/>
                <w:lang w:bidi="ar"/>
              </w:rPr>
              <w:t>录取通知书外壳</w:t>
            </w:r>
          </w:p>
        </w:tc>
        <w:tc>
          <w:tcPr>
            <w:tcW w:w="3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6"/>
                <w:szCs w:val="16"/>
                <w:highlight w:val="none"/>
                <w:lang w:eastAsia="zh-CN" w:bidi="ar"/>
              </w:rPr>
            </w:pPr>
            <w:r>
              <w:rPr>
                <w:rFonts w:hint="eastAsia" w:ascii="宋体" w:hAnsi="宋体" w:cs="宋体"/>
                <w:color w:val="000000"/>
                <w:kern w:val="0"/>
                <w:sz w:val="16"/>
                <w:szCs w:val="16"/>
                <w:highlight w:val="none"/>
                <w:lang w:bidi="ar"/>
              </w:rPr>
              <w:t>外壳615</w:t>
            </w:r>
            <w:r>
              <w:rPr>
                <w:rFonts w:hint="eastAsia" w:ascii="宋体" w:hAnsi="宋体" w:cs="宋体"/>
                <w:color w:val="000000"/>
                <w:kern w:val="0"/>
                <w:sz w:val="16"/>
                <w:szCs w:val="16"/>
                <w:highlight w:val="none"/>
                <w:lang w:val="en-US" w:eastAsia="zh-CN" w:bidi="ar"/>
              </w:rPr>
              <w:t>mm</w:t>
            </w:r>
            <w:r>
              <w:rPr>
                <w:rFonts w:hint="eastAsia" w:ascii="宋体" w:hAnsi="宋体" w:cs="宋体"/>
                <w:color w:val="000000"/>
                <w:kern w:val="0"/>
                <w:sz w:val="16"/>
                <w:szCs w:val="16"/>
                <w:highlight w:val="none"/>
                <w:lang w:bidi="ar"/>
              </w:rPr>
              <w:t>*210</w:t>
            </w:r>
            <w:r>
              <w:rPr>
                <w:rFonts w:hint="eastAsia" w:ascii="宋体" w:hAnsi="宋体" w:cs="宋体"/>
                <w:color w:val="000000"/>
                <w:kern w:val="0"/>
                <w:sz w:val="16"/>
                <w:szCs w:val="16"/>
                <w:highlight w:val="none"/>
                <w:lang w:val="en-US" w:eastAsia="zh-CN" w:bidi="ar"/>
              </w:rPr>
              <w:t>mm</w:t>
            </w:r>
            <w:r>
              <w:rPr>
                <w:rFonts w:hint="eastAsia" w:ascii="宋体" w:hAnsi="宋体" w:cs="宋体"/>
                <w:color w:val="000000"/>
                <w:kern w:val="0"/>
                <w:sz w:val="16"/>
                <w:szCs w:val="16"/>
                <w:highlight w:val="none"/>
                <w:lang w:eastAsia="zh-CN" w:bidi="ar"/>
              </w:rPr>
              <w:t>，</w:t>
            </w:r>
            <w:r>
              <w:rPr>
                <w:rFonts w:hint="eastAsia" w:ascii="宋体" w:hAnsi="宋体" w:cs="宋体"/>
                <w:color w:val="000000"/>
                <w:kern w:val="0"/>
                <w:sz w:val="16"/>
                <w:szCs w:val="16"/>
                <w:highlight w:val="none"/>
                <w:lang w:bidi="ar"/>
              </w:rPr>
              <w:t>外壳350白卡</w:t>
            </w:r>
            <w:r>
              <w:rPr>
                <w:rFonts w:hint="eastAsia" w:ascii="宋体" w:hAnsi="宋体" w:cs="宋体"/>
                <w:color w:val="000000"/>
                <w:kern w:val="0"/>
                <w:sz w:val="16"/>
                <w:szCs w:val="16"/>
                <w:highlight w:val="none"/>
                <w:lang w:eastAsia="zh-CN" w:bidi="ar"/>
              </w:rPr>
              <w:t>，</w:t>
            </w:r>
            <w:r>
              <w:rPr>
                <w:rFonts w:hint="eastAsia" w:ascii="宋体" w:hAnsi="宋体" w:cs="宋体"/>
                <w:color w:val="000000"/>
                <w:kern w:val="0"/>
                <w:sz w:val="16"/>
                <w:szCs w:val="16"/>
                <w:highlight w:val="none"/>
                <w:lang w:bidi="ar"/>
              </w:rPr>
              <w:t>内贴插页是290克高阶映画（一共四层）外壳哑膜，烫哑光金，镭射银 UV内贴做UV烫镭射银，糊成品</w:t>
            </w:r>
            <w:r>
              <w:rPr>
                <w:rFonts w:hint="eastAsia" w:ascii="宋体" w:hAnsi="宋体" w:cs="宋体"/>
                <w:color w:val="000000"/>
                <w:kern w:val="0"/>
                <w:sz w:val="16"/>
                <w:szCs w:val="16"/>
                <w:highlight w:val="none"/>
                <w:lang w:eastAsia="zh-CN" w:bidi="ar"/>
              </w:rPr>
              <w:t>。</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val="en-US" w:eastAsia="zh-CN" w:bidi="ar"/>
              </w:rPr>
              <w:t>8000</w:t>
            </w:r>
            <w:r>
              <w:rPr>
                <w:rFonts w:hint="eastAsia" w:ascii="宋体" w:hAnsi="宋体" w:cs="宋体"/>
                <w:color w:val="000000"/>
                <w:kern w:val="0"/>
                <w:sz w:val="16"/>
                <w:szCs w:val="16"/>
                <w:highlight w:val="none"/>
                <w:lang w:bidi="ar"/>
              </w:rPr>
              <w:t>个</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0" w:type="auto"/>
            <w:tcBorders>
              <w:top w:val="nil"/>
              <w:left w:val="nil"/>
              <w:bottom w:val="nil"/>
              <w:right w:val="nil"/>
            </w:tcBorders>
            <w:shd w:val="clear" w:color="auto" w:fill="auto"/>
            <w:noWrap/>
            <w:vAlign w:val="center"/>
          </w:tcPr>
          <w:p>
            <w:pPr>
              <w:jc w:val="cente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35</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录取通知书内芯</w:t>
            </w:r>
          </w:p>
        </w:tc>
        <w:tc>
          <w:tcPr>
            <w:tcW w:w="3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6"/>
                <w:szCs w:val="16"/>
                <w:highlight w:val="none"/>
                <w:lang w:val="en-US" w:eastAsia="zh-CN"/>
              </w:rPr>
            </w:pPr>
            <w:r>
              <w:rPr>
                <w:rFonts w:hint="eastAsia" w:ascii="宋体" w:hAnsi="宋体" w:cs="宋体"/>
                <w:color w:val="000000"/>
                <w:kern w:val="0"/>
                <w:sz w:val="16"/>
                <w:szCs w:val="16"/>
                <w:highlight w:val="none"/>
                <w:lang w:bidi="ar"/>
              </w:rPr>
              <w:t>内插210</w:t>
            </w:r>
            <w:r>
              <w:rPr>
                <w:rFonts w:hint="eastAsia" w:ascii="宋体" w:hAnsi="宋体" w:cs="宋体"/>
                <w:color w:val="000000"/>
                <w:kern w:val="0"/>
                <w:sz w:val="16"/>
                <w:szCs w:val="16"/>
                <w:highlight w:val="none"/>
                <w:lang w:val="en-US" w:eastAsia="zh-CN" w:bidi="ar"/>
              </w:rPr>
              <w:t>mm</w:t>
            </w:r>
            <w:r>
              <w:rPr>
                <w:rFonts w:hint="eastAsia" w:ascii="宋体" w:hAnsi="宋体" w:cs="宋体"/>
                <w:color w:val="000000"/>
                <w:kern w:val="0"/>
                <w:sz w:val="16"/>
                <w:szCs w:val="16"/>
                <w:highlight w:val="none"/>
                <w:lang w:bidi="ar"/>
              </w:rPr>
              <w:t>*280</w:t>
            </w:r>
            <w:r>
              <w:rPr>
                <w:rFonts w:hint="eastAsia" w:ascii="宋体" w:hAnsi="宋体" w:cs="宋体"/>
                <w:color w:val="000000"/>
                <w:kern w:val="0"/>
                <w:sz w:val="16"/>
                <w:szCs w:val="16"/>
                <w:highlight w:val="none"/>
                <w:lang w:val="en-US" w:eastAsia="zh-CN" w:bidi="ar"/>
              </w:rPr>
              <w:t>mm</w:t>
            </w:r>
            <w:r>
              <w:rPr>
                <w:rFonts w:hint="eastAsia" w:ascii="宋体" w:hAnsi="宋体" w:cs="宋体"/>
                <w:color w:val="000000"/>
                <w:kern w:val="0"/>
                <w:sz w:val="16"/>
                <w:szCs w:val="16"/>
                <w:highlight w:val="none"/>
                <w:lang w:bidi="ar"/>
              </w:rPr>
              <w:t>，300克哑粉纸，正反彩色，每张需带有照片和数据编号</w:t>
            </w:r>
            <w:r>
              <w:rPr>
                <w:rFonts w:hint="eastAsia" w:ascii="宋体" w:hAnsi="宋体" w:cs="宋体"/>
                <w:color w:val="000000"/>
                <w:kern w:val="0"/>
                <w:sz w:val="16"/>
                <w:szCs w:val="16"/>
                <w:highlight w:val="none"/>
                <w:lang w:eastAsia="zh-CN" w:bidi="ar"/>
              </w:rPr>
              <w:t>。</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val="en-US" w:eastAsia="zh-CN" w:bidi="ar"/>
              </w:rPr>
              <w:t>8000</w:t>
            </w:r>
            <w:r>
              <w:rPr>
                <w:rFonts w:hint="eastAsia" w:ascii="宋体" w:hAnsi="宋体" w:cs="宋体"/>
                <w:color w:val="000000"/>
                <w:kern w:val="0"/>
                <w:sz w:val="16"/>
                <w:szCs w:val="16"/>
                <w:highlight w:val="none"/>
                <w:lang w:bidi="ar"/>
              </w:rPr>
              <w:t>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highlight w:val="none"/>
              </w:rPr>
            </w:pPr>
          </w:p>
        </w:tc>
        <w:tc>
          <w:tcPr>
            <w:tcW w:w="0" w:type="auto"/>
            <w:tcBorders>
              <w:top w:val="nil"/>
              <w:left w:val="nil"/>
              <w:bottom w:val="nil"/>
              <w:right w:val="nil"/>
            </w:tcBorders>
            <w:shd w:val="clear" w:color="auto" w:fill="auto"/>
            <w:noWrap/>
            <w:vAlign w:val="center"/>
          </w:tcPr>
          <w:p>
            <w:pPr>
              <w:jc w:val="cente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320"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6"/>
                <w:szCs w:val="16"/>
                <w:highlight w:val="none"/>
              </w:rPr>
            </w:pPr>
            <w:r>
              <w:rPr>
                <w:rFonts w:hint="eastAsia" w:ascii="宋体" w:hAnsi="宋体" w:cs="宋体"/>
                <w:b/>
                <w:bCs/>
                <w:color w:val="000000"/>
                <w:kern w:val="0"/>
                <w:sz w:val="16"/>
                <w:szCs w:val="16"/>
                <w:highlight w:val="none"/>
                <w:lang w:bidi="ar"/>
              </w:rPr>
              <w:t>合计</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6"/>
                <w:szCs w:val="16"/>
                <w:highlight w:val="none"/>
              </w:rPr>
            </w:pPr>
          </w:p>
        </w:tc>
        <w:tc>
          <w:tcPr>
            <w:tcW w:w="0" w:type="auto"/>
            <w:tcBorders>
              <w:top w:val="nil"/>
              <w:left w:val="nil"/>
              <w:bottom w:val="nil"/>
              <w:right w:val="nil"/>
            </w:tcBorders>
            <w:shd w:val="clear" w:color="auto" w:fill="auto"/>
            <w:noWrap/>
            <w:vAlign w:val="center"/>
          </w:tcPr>
          <w:p>
            <w:pPr>
              <w:jc w:val="center"/>
              <w:rPr>
                <w:rFonts w:ascii="宋体" w:hAnsi="宋体" w:cs="宋体"/>
                <w:color w:val="000000"/>
                <w:sz w:val="22"/>
                <w:szCs w:val="22"/>
                <w:highlight w:val="none"/>
              </w:rPr>
            </w:pPr>
          </w:p>
        </w:tc>
      </w:tr>
    </w:tbl>
    <w:p>
      <w:pPr>
        <w:spacing w:line="360" w:lineRule="auto"/>
        <w:rPr>
          <w:rFonts w:ascii="宋体"/>
          <w:sz w:val="28"/>
          <w:szCs w:val="28"/>
          <w:highlight w:val="none"/>
        </w:rPr>
      </w:pPr>
    </w:p>
    <w:p>
      <w:pPr>
        <w:pStyle w:val="2"/>
        <w:ind w:firstLine="0"/>
        <w:rPr>
          <w:highlight w:val="none"/>
        </w:rPr>
      </w:pPr>
      <w:r>
        <w:rPr>
          <w:rFonts w:hint="eastAsia" w:ascii="宋体"/>
          <w:sz w:val="28"/>
          <w:szCs w:val="28"/>
          <w:highlight w:val="none"/>
        </w:rPr>
        <w:t>说明：</w:t>
      </w:r>
      <w:r>
        <w:rPr>
          <w:rFonts w:hint="eastAsia" w:ascii="宋体" w:hAnsi="宋体"/>
          <w:szCs w:val="21"/>
          <w:highlight w:val="none"/>
        </w:rPr>
        <w:t>数量均为预估数，实际结算额以202</w:t>
      </w:r>
      <w:r>
        <w:rPr>
          <w:rFonts w:hint="eastAsia" w:ascii="宋体" w:hAnsi="宋体"/>
          <w:szCs w:val="21"/>
          <w:highlight w:val="none"/>
          <w:lang w:val="en-US" w:eastAsia="zh-CN"/>
        </w:rPr>
        <w:t>3</w:t>
      </w:r>
      <w:r>
        <w:rPr>
          <w:rFonts w:hint="eastAsia" w:ascii="宋体" w:hAnsi="宋体"/>
          <w:szCs w:val="21"/>
          <w:highlight w:val="none"/>
        </w:rPr>
        <w:t>年实际印制数量和中标单价结算。</w:t>
      </w:r>
    </w:p>
    <w:p>
      <w:pPr>
        <w:spacing w:line="360" w:lineRule="auto"/>
        <w:rPr>
          <w:rFonts w:ascii="宋体"/>
          <w:sz w:val="28"/>
          <w:szCs w:val="28"/>
          <w:highlight w:val="none"/>
          <w:u w:val="single"/>
        </w:rPr>
      </w:pPr>
      <w:r>
        <w:rPr>
          <w:rFonts w:hint="eastAsia" w:ascii="宋体" w:hAnsi="宋体"/>
          <w:sz w:val="28"/>
          <w:szCs w:val="28"/>
          <w:highlight w:val="none"/>
        </w:rPr>
        <w:t>单位盖章：</w:t>
      </w:r>
    </w:p>
    <w:p>
      <w:pPr>
        <w:spacing w:line="360" w:lineRule="auto"/>
        <w:rPr>
          <w:rFonts w:ascii="宋体"/>
          <w:sz w:val="28"/>
          <w:szCs w:val="28"/>
          <w:highlight w:val="none"/>
        </w:rPr>
      </w:pPr>
      <w:r>
        <w:rPr>
          <w:rFonts w:hint="eastAsia" w:ascii="宋体" w:hAnsi="宋体"/>
          <w:sz w:val="28"/>
          <w:szCs w:val="28"/>
          <w:highlight w:val="none"/>
        </w:rPr>
        <w:t>授权代表签字：</w:t>
      </w:r>
    </w:p>
    <w:p>
      <w:pPr>
        <w:spacing w:line="360" w:lineRule="auto"/>
        <w:rPr>
          <w:rFonts w:ascii="宋体"/>
          <w:sz w:val="28"/>
          <w:szCs w:val="28"/>
          <w:highlight w:val="none"/>
        </w:rPr>
      </w:pPr>
      <w:r>
        <w:rPr>
          <w:rFonts w:hint="eastAsia" w:ascii="宋体" w:hAnsi="宋体"/>
          <w:sz w:val="28"/>
          <w:szCs w:val="28"/>
          <w:highlight w:val="none"/>
        </w:rPr>
        <w:t>年月日</w:t>
      </w:r>
    </w:p>
    <w:p>
      <w:pPr>
        <w:jc w:val="left"/>
        <w:rPr>
          <w:b/>
          <w:sz w:val="28"/>
          <w:szCs w:val="28"/>
          <w:highlight w:val="none"/>
        </w:rPr>
      </w:pPr>
    </w:p>
    <w:p>
      <w:pPr>
        <w:pStyle w:val="2"/>
        <w:rPr>
          <w:b/>
          <w:sz w:val="28"/>
          <w:szCs w:val="28"/>
          <w:highlight w:val="none"/>
        </w:rPr>
      </w:pPr>
    </w:p>
    <w:p>
      <w:pPr>
        <w:pStyle w:val="2"/>
        <w:rPr>
          <w:b/>
          <w:sz w:val="28"/>
          <w:szCs w:val="28"/>
          <w:highlight w:val="none"/>
        </w:rPr>
      </w:pPr>
    </w:p>
    <w:p>
      <w:pPr>
        <w:pStyle w:val="2"/>
        <w:rPr>
          <w:b/>
          <w:sz w:val="28"/>
          <w:szCs w:val="28"/>
          <w:highlight w:val="none"/>
        </w:rPr>
      </w:pPr>
    </w:p>
    <w:bookmarkEnd w:id="9"/>
    <w:bookmarkEnd w:id="10"/>
    <w:p>
      <w:pPr>
        <w:jc w:val="left"/>
        <w:rPr>
          <w:b/>
          <w:sz w:val="28"/>
          <w:szCs w:val="28"/>
          <w:highlight w:val="none"/>
        </w:rPr>
      </w:pPr>
      <w:r>
        <w:rPr>
          <w:rFonts w:hint="eastAsia"/>
          <w:b/>
          <w:sz w:val="28"/>
          <w:szCs w:val="28"/>
          <w:highlight w:val="none"/>
        </w:rPr>
        <w:t>附件</w:t>
      </w:r>
      <w:r>
        <w:rPr>
          <w:b/>
          <w:sz w:val="28"/>
          <w:szCs w:val="28"/>
          <w:highlight w:val="none"/>
        </w:rPr>
        <w:t>4</w:t>
      </w:r>
      <w:r>
        <w:rPr>
          <w:rFonts w:hint="eastAsia"/>
          <w:b/>
          <w:sz w:val="28"/>
          <w:szCs w:val="28"/>
          <w:highlight w:val="none"/>
        </w:rPr>
        <w:t>：服务要求</w:t>
      </w:r>
    </w:p>
    <w:p>
      <w:pPr>
        <w:numPr>
          <w:ilvl w:val="0"/>
          <w:numId w:val="5"/>
        </w:numPr>
        <w:autoSpaceDE w:val="0"/>
        <w:autoSpaceDN w:val="0"/>
        <w:adjustRightInd w:val="0"/>
        <w:spacing w:line="300" w:lineRule="auto"/>
        <w:rPr>
          <w:rFonts w:ascii="宋体" w:hAnsi="宋体"/>
          <w:sz w:val="24"/>
          <w:highlight w:val="none"/>
          <w:lang w:val="zh-CN"/>
        </w:rPr>
      </w:pPr>
      <w:r>
        <w:rPr>
          <w:rFonts w:hint="eastAsia" w:ascii="宋体" w:hAnsi="宋体"/>
          <w:sz w:val="24"/>
          <w:highlight w:val="none"/>
        </w:rPr>
        <w:t>每个产品需</w:t>
      </w:r>
      <w:r>
        <w:rPr>
          <w:rFonts w:hint="eastAsia" w:ascii="宋体" w:hAnsi="宋体"/>
          <w:sz w:val="24"/>
          <w:highlight w:val="none"/>
          <w:lang w:val="zh-CN"/>
        </w:rPr>
        <w:t>提供</w:t>
      </w:r>
      <w:r>
        <w:rPr>
          <w:rFonts w:hint="eastAsia" w:ascii="宋体" w:hAnsi="宋体"/>
          <w:sz w:val="24"/>
          <w:highlight w:val="none"/>
        </w:rPr>
        <w:t>3-5</w:t>
      </w:r>
      <w:r>
        <w:rPr>
          <w:rFonts w:hint="eastAsia" w:ascii="宋体" w:hAnsi="宋体"/>
          <w:sz w:val="24"/>
          <w:highlight w:val="none"/>
          <w:lang w:val="zh-CN"/>
        </w:rPr>
        <w:t>个设计方案，定稿时采用等同原件大小尺寸数码打样2次左右（具体视修改情况而定），每次修改须由专业设计人员送改样稿，确保效果。</w:t>
      </w:r>
    </w:p>
    <w:p>
      <w:pPr>
        <w:numPr>
          <w:ilvl w:val="0"/>
          <w:numId w:val="5"/>
        </w:numPr>
        <w:autoSpaceDE w:val="0"/>
        <w:autoSpaceDN w:val="0"/>
        <w:adjustRightInd w:val="0"/>
        <w:spacing w:line="300" w:lineRule="auto"/>
        <w:rPr>
          <w:rFonts w:ascii="宋体" w:hAnsi="宋体"/>
          <w:sz w:val="24"/>
          <w:highlight w:val="none"/>
          <w:lang w:val="zh-CN"/>
        </w:rPr>
      </w:pPr>
      <w:r>
        <w:rPr>
          <w:rFonts w:hint="eastAsia" w:ascii="宋体" w:hAnsi="宋体"/>
          <w:sz w:val="24"/>
          <w:highlight w:val="none"/>
          <w:lang w:val="zh-CN"/>
        </w:rPr>
        <w:t>中标单位须在规定的时间范围内将货品包装好配送至招标方指定地点，期间产生的运输费、搬运费等均由中标方承担。</w:t>
      </w:r>
    </w:p>
    <w:p>
      <w:pPr>
        <w:numPr>
          <w:ilvl w:val="0"/>
          <w:numId w:val="5"/>
        </w:numPr>
        <w:autoSpaceDE w:val="0"/>
        <w:autoSpaceDN w:val="0"/>
        <w:adjustRightInd w:val="0"/>
        <w:spacing w:line="300" w:lineRule="auto"/>
        <w:rPr>
          <w:rFonts w:ascii="宋体" w:hAnsi="宋体"/>
          <w:sz w:val="24"/>
          <w:highlight w:val="none"/>
          <w:lang w:val="zh-CN"/>
        </w:rPr>
      </w:pPr>
      <w:r>
        <w:rPr>
          <w:rFonts w:hint="eastAsia" w:ascii="宋体" w:hAnsi="宋体"/>
          <w:sz w:val="24"/>
          <w:highlight w:val="none"/>
          <w:lang w:val="zh-CN"/>
        </w:rPr>
        <w:t>安排专人对接售后服务工作，留存印刷及设计底稿，以便招标方随时调阅查看。</w:t>
      </w:r>
    </w:p>
    <w:p>
      <w:pPr>
        <w:numPr>
          <w:ilvl w:val="0"/>
          <w:numId w:val="5"/>
        </w:numPr>
        <w:autoSpaceDE w:val="0"/>
        <w:autoSpaceDN w:val="0"/>
        <w:adjustRightInd w:val="0"/>
        <w:spacing w:line="300" w:lineRule="auto"/>
        <w:rPr>
          <w:rFonts w:ascii="宋体" w:hAnsi="宋体"/>
          <w:sz w:val="24"/>
          <w:highlight w:val="none"/>
        </w:rPr>
      </w:pPr>
      <w:r>
        <w:rPr>
          <w:rFonts w:hint="eastAsia" w:ascii="宋体" w:hAnsi="宋体"/>
          <w:sz w:val="24"/>
          <w:highlight w:val="none"/>
        </w:rPr>
        <w:t>若印刷材料在印刷或者运输过程中出现短缺、破损的情况，由中标方负责免费调换。</w:t>
      </w:r>
    </w:p>
    <w:p>
      <w:pPr>
        <w:numPr>
          <w:ilvl w:val="0"/>
          <w:numId w:val="5"/>
        </w:numPr>
        <w:autoSpaceDE w:val="0"/>
        <w:autoSpaceDN w:val="0"/>
        <w:adjustRightInd w:val="0"/>
        <w:spacing w:line="300" w:lineRule="auto"/>
        <w:rPr>
          <w:rFonts w:ascii="宋体" w:hAnsi="宋体"/>
          <w:sz w:val="24"/>
          <w:highlight w:val="none"/>
        </w:rPr>
      </w:pPr>
      <w:r>
        <w:rPr>
          <w:rFonts w:hint="eastAsia" w:ascii="宋体" w:hAnsi="宋体"/>
          <w:sz w:val="24"/>
          <w:highlight w:val="none"/>
        </w:rPr>
        <w:t>对招标方提出的应急性设计</w:t>
      </w:r>
      <w:r>
        <w:rPr>
          <w:rFonts w:ascii="宋体" w:hAnsi="宋体"/>
          <w:sz w:val="24"/>
          <w:highlight w:val="none"/>
        </w:rPr>
        <w:t>、</w:t>
      </w:r>
      <w:r>
        <w:rPr>
          <w:rFonts w:hint="eastAsia" w:ascii="宋体" w:hAnsi="宋体"/>
          <w:sz w:val="24"/>
          <w:highlight w:val="none"/>
        </w:rPr>
        <w:t>制作和印刷服务要求能作出合理的应急解决方案。</w:t>
      </w:r>
    </w:p>
    <w:p>
      <w:pPr>
        <w:numPr>
          <w:ilvl w:val="0"/>
          <w:numId w:val="5"/>
        </w:numPr>
        <w:autoSpaceDE w:val="0"/>
        <w:autoSpaceDN w:val="0"/>
        <w:adjustRightInd w:val="0"/>
        <w:spacing w:line="300" w:lineRule="auto"/>
        <w:rPr>
          <w:rFonts w:ascii="宋体" w:hAnsi="宋体"/>
          <w:sz w:val="24"/>
          <w:highlight w:val="none"/>
        </w:rPr>
      </w:pPr>
      <w:r>
        <w:rPr>
          <w:rFonts w:hint="eastAsia" w:ascii="宋体" w:hAnsi="宋体"/>
          <w:sz w:val="24"/>
          <w:highlight w:val="none"/>
        </w:rPr>
        <w:t>中标单位需提供与招标文件采购项目技术指标要求一致的产品，若出现偏离招标方有权立即终止合同，并要求中标单位作出相应赔偿。</w:t>
      </w:r>
    </w:p>
    <w:p>
      <w:pPr>
        <w:numPr>
          <w:ilvl w:val="0"/>
          <w:numId w:val="5"/>
        </w:numPr>
        <w:autoSpaceDE w:val="0"/>
        <w:autoSpaceDN w:val="0"/>
        <w:adjustRightInd w:val="0"/>
        <w:spacing w:line="300" w:lineRule="auto"/>
        <w:rPr>
          <w:rFonts w:ascii="宋体" w:hAnsi="宋体"/>
          <w:sz w:val="24"/>
          <w:highlight w:val="none"/>
        </w:rPr>
      </w:pPr>
      <w:r>
        <w:rPr>
          <w:rFonts w:hint="eastAsia" w:ascii="宋体" w:hAnsi="宋体"/>
          <w:sz w:val="24"/>
          <w:highlight w:val="none"/>
        </w:rPr>
        <w:t>中标单位提供的产品及服务不得侵犯第三方的知识产权或其他合法权益。</w:t>
      </w:r>
      <w:r>
        <w:rPr>
          <w:rFonts w:hint="eastAsia" w:ascii="宋体" w:hAnsi="宋体"/>
          <w:sz w:val="24"/>
          <w:highlight w:val="none"/>
          <w:lang w:val="zh-CN"/>
        </w:rPr>
        <w:t>招标方</w:t>
      </w:r>
      <w:r>
        <w:rPr>
          <w:rFonts w:hint="eastAsia" w:ascii="宋体" w:hAnsi="宋体"/>
          <w:sz w:val="24"/>
          <w:highlight w:val="none"/>
        </w:rPr>
        <w:t>在享受中标单位提供的产品和服务过程中不应受到第三方关于侵权的起诉，否则，一切责任由中标单位承担。</w:t>
      </w:r>
    </w:p>
    <w:p>
      <w:pPr>
        <w:numPr>
          <w:ilvl w:val="0"/>
          <w:numId w:val="5"/>
        </w:numPr>
        <w:autoSpaceDE w:val="0"/>
        <w:autoSpaceDN w:val="0"/>
        <w:adjustRightInd w:val="0"/>
        <w:spacing w:line="300" w:lineRule="auto"/>
        <w:rPr>
          <w:rFonts w:ascii="宋体" w:hAnsi="宋体"/>
          <w:sz w:val="24"/>
          <w:highlight w:val="none"/>
        </w:rPr>
      </w:pPr>
      <w:r>
        <w:rPr>
          <w:rFonts w:hint="eastAsia" w:ascii="宋体" w:hAnsi="宋体"/>
          <w:sz w:val="24"/>
          <w:highlight w:val="none"/>
        </w:rPr>
        <w:t>如因中标单位过错导致提供的产品和服务造成</w:t>
      </w:r>
      <w:r>
        <w:rPr>
          <w:rFonts w:hint="eastAsia" w:ascii="宋体" w:hAnsi="宋体"/>
          <w:sz w:val="24"/>
          <w:highlight w:val="none"/>
          <w:lang w:val="zh-CN"/>
        </w:rPr>
        <w:t>招标方</w:t>
      </w:r>
      <w:r>
        <w:rPr>
          <w:rFonts w:hint="eastAsia" w:ascii="宋体" w:hAnsi="宋体"/>
          <w:sz w:val="24"/>
          <w:highlight w:val="none"/>
        </w:rPr>
        <w:t>社会形象和经济利益受到损害的，中标单位应承担赔偿责任。</w:t>
      </w:r>
    </w:p>
    <w:p>
      <w:pPr>
        <w:numPr>
          <w:ilvl w:val="0"/>
          <w:numId w:val="5"/>
        </w:numPr>
        <w:autoSpaceDE w:val="0"/>
        <w:autoSpaceDN w:val="0"/>
        <w:adjustRightInd w:val="0"/>
        <w:spacing w:line="300" w:lineRule="auto"/>
        <w:rPr>
          <w:rFonts w:hint="eastAsia" w:ascii="宋体" w:hAnsi="宋体"/>
          <w:sz w:val="24"/>
          <w:highlight w:val="none"/>
        </w:rPr>
      </w:pPr>
      <w:r>
        <w:rPr>
          <w:rFonts w:hint="eastAsia" w:ascii="宋体" w:hAnsi="宋体"/>
          <w:sz w:val="24"/>
          <w:highlight w:val="none"/>
        </w:rPr>
        <w:t>中标单位应对产品的设计、印刷、制作、运输承担全部责任。因中标单位的设计侵犯第三方知识产权、印刷制作不符合招标方要求、运输事故、印刷错误等原因导致招标方遭受损失或侵权起诉的，中标单位承担全部法律及经济赔偿责任。招标方为维护自身权益支出的费用由中标单位全部承担。</w:t>
      </w:r>
    </w:p>
    <w:p>
      <w:pPr>
        <w:pStyle w:val="8"/>
        <w:ind w:left="1470" w:right="1470"/>
        <w:rPr>
          <w:rFonts w:ascii="宋体" w:hAnsi="宋体" w:cs="仿宋"/>
          <w:b/>
          <w:bCs/>
          <w:sz w:val="28"/>
          <w:szCs w:val="28"/>
          <w:highlight w:val="none"/>
        </w:rPr>
      </w:pPr>
    </w:p>
    <w:p>
      <w:pPr>
        <w:pStyle w:val="8"/>
        <w:ind w:left="1470" w:right="1470"/>
        <w:rPr>
          <w:rFonts w:ascii="宋体" w:hAnsi="宋体" w:cs="仿宋"/>
          <w:b/>
          <w:bCs/>
          <w:sz w:val="28"/>
          <w:szCs w:val="28"/>
          <w:highlight w:val="none"/>
        </w:rPr>
      </w:pPr>
    </w:p>
    <w:p>
      <w:pPr>
        <w:pStyle w:val="8"/>
        <w:ind w:left="1470" w:right="1470"/>
        <w:rPr>
          <w:rFonts w:ascii="宋体" w:hAnsi="宋体" w:cs="仿宋"/>
          <w:b/>
          <w:bCs/>
          <w:sz w:val="28"/>
          <w:szCs w:val="28"/>
          <w:highlight w:val="none"/>
        </w:rPr>
      </w:pPr>
    </w:p>
    <w:p>
      <w:pPr>
        <w:pStyle w:val="8"/>
        <w:ind w:left="1470" w:right="1470"/>
        <w:rPr>
          <w:rFonts w:ascii="宋体" w:hAnsi="宋体" w:cs="仿宋"/>
          <w:b/>
          <w:bCs/>
          <w:sz w:val="28"/>
          <w:szCs w:val="28"/>
          <w:highlight w:val="none"/>
        </w:rPr>
      </w:pPr>
    </w:p>
    <w:p>
      <w:pPr>
        <w:pStyle w:val="8"/>
        <w:ind w:left="1470" w:right="1470"/>
        <w:rPr>
          <w:rFonts w:ascii="宋体" w:hAnsi="宋体" w:cs="仿宋"/>
          <w:b/>
          <w:bCs/>
          <w:sz w:val="28"/>
          <w:szCs w:val="28"/>
          <w:highlight w:val="none"/>
        </w:rPr>
      </w:pPr>
    </w:p>
    <w:p>
      <w:pPr>
        <w:pStyle w:val="8"/>
        <w:ind w:left="1470" w:right="1470"/>
        <w:rPr>
          <w:rFonts w:ascii="宋体" w:hAnsi="宋体" w:cs="仿宋"/>
          <w:b/>
          <w:bCs/>
          <w:sz w:val="28"/>
          <w:szCs w:val="28"/>
          <w:highlight w:val="none"/>
        </w:rPr>
      </w:pPr>
    </w:p>
    <w:p>
      <w:pPr>
        <w:pStyle w:val="8"/>
        <w:ind w:left="1470" w:right="1470"/>
        <w:rPr>
          <w:rFonts w:ascii="宋体" w:hAnsi="宋体" w:cs="仿宋"/>
          <w:b/>
          <w:bCs/>
          <w:sz w:val="28"/>
          <w:szCs w:val="28"/>
          <w:highlight w:val="none"/>
        </w:rPr>
      </w:pPr>
    </w:p>
    <w:p>
      <w:pPr>
        <w:pStyle w:val="8"/>
        <w:ind w:left="1470" w:right="1470"/>
        <w:rPr>
          <w:rFonts w:ascii="宋体" w:hAnsi="宋体" w:cs="仿宋"/>
          <w:b/>
          <w:bCs/>
          <w:sz w:val="28"/>
          <w:szCs w:val="28"/>
          <w:highlight w:val="none"/>
        </w:rPr>
      </w:pPr>
    </w:p>
    <w:p>
      <w:pPr>
        <w:pStyle w:val="8"/>
        <w:ind w:left="1470" w:right="1470"/>
        <w:rPr>
          <w:rFonts w:ascii="宋体" w:hAnsi="宋体" w:cs="仿宋"/>
          <w:b/>
          <w:bCs/>
          <w:sz w:val="28"/>
          <w:szCs w:val="28"/>
          <w:highlight w:val="none"/>
        </w:rPr>
      </w:pPr>
    </w:p>
    <w:p>
      <w:pPr>
        <w:pStyle w:val="8"/>
        <w:ind w:left="1470" w:right="1470"/>
        <w:rPr>
          <w:rFonts w:ascii="宋体" w:hAnsi="宋体" w:cs="仿宋"/>
          <w:b/>
          <w:bCs/>
          <w:sz w:val="28"/>
          <w:szCs w:val="28"/>
          <w:highlight w:val="none"/>
        </w:rPr>
      </w:pPr>
    </w:p>
    <w:p>
      <w:pPr>
        <w:adjustRightInd w:val="0"/>
        <w:snapToGrid w:val="0"/>
        <w:spacing w:line="360" w:lineRule="auto"/>
        <w:rPr>
          <w:rFonts w:ascii="宋体" w:hAnsi="宋体" w:cs="仿宋"/>
          <w:b/>
          <w:bCs/>
          <w:sz w:val="28"/>
          <w:szCs w:val="28"/>
          <w:highlight w:val="none"/>
        </w:rPr>
      </w:pPr>
      <w:r>
        <w:rPr>
          <w:rFonts w:hint="eastAsia" w:ascii="宋体" w:hAnsi="宋体" w:cs="仿宋"/>
          <w:b/>
          <w:bCs/>
          <w:sz w:val="28"/>
          <w:szCs w:val="28"/>
          <w:highlight w:val="none"/>
        </w:rPr>
        <w:t>附件</w:t>
      </w:r>
      <w:r>
        <w:rPr>
          <w:rFonts w:ascii="宋体" w:hAnsi="宋体" w:cs="仿宋"/>
          <w:b/>
          <w:bCs/>
          <w:sz w:val="28"/>
          <w:szCs w:val="28"/>
          <w:highlight w:val="none"/>
        </w:rPr>
        <w:t>5</w:t>
      </w:r>
      <w:r>
        <w:rPr>
          <w:rFonts w:hint="eastAsia" w:ascii="宋体" w:hAnsi="宋体" w:cs="仿宋"/>
          <w:b/>
          <w:bCs/>
          <w:sz w:val="28"/>
          <w:szCs w:val="28"/>
          <w:highlight w:val="none"/>
        </w:rPr>
        <w:t>：评标办法</w:t>
      </w:r>
    </w:p>
    <w:p>
      <w:pPr>
        <w:spacing w:line="440" w:lineRule="exact"/>
        <w:rPr>
          <w:rFonts w:ascii="宋体" w:hAnsi="宋体"/>
          <w:szCs w:val="21"/>
          <w:highlight w:val="none"/>
        </w:rPr>
      </w:pPr>
      <w:r>
        <w:rPr>
          <w:kern w:val="0"/>
          <w:szCs w:val="21"/>
          <w:highlight w:val="none"/>
        </w:rPr>
        <w:t>本项目采用综合评分法确定中标候选人。评标委员会将按以下评标办法和标准进行评分。总分值为100分，</w:t>
      </w:r>
      <w:r>
        <w:rPr>
          <w:szCs w:val="21"/>
          <w:highlight w:val="none"/>
        </w:rPr>
        <w:t>小数点后保留两位。</w:t>
      </w:r>
    </w:p>
    <w:tbl>
      <w:tblPr>
        <w:tblStyle w:val="16"/>
        <w:tblW w:w="95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1215"/>
        <w:gridCol w:w="6887"/>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bCs/>
                <w:kern w:val="0"/>
                <w:highlight w:val="none"/>
              </w:rPr>
            </w:pPr>
            <w:r>
              <w:rPr>
                <w:b/>
                <w:bCs/>
                <w:kern w:val="0"/>
                <w:highlight w:val="none"/>
              </w:rPr>
              <w:t>序号</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bCs/>
                <w:kern w:val="0"/>
                <w:highlight w:val="none"/>
              </w:rPr>
            </w:pPr>
            <w:r>
              <w:rPr>
                <w:b/>
                <w:bCs/>
                <w:kern w:val="0"/>
                <w:highlight w:val="none"/>
              </w:rPr>
              <w:t>评分因素</w:t>
            </w:r>
          </w:p>
        </w:tc>
        <w:tc>
          <w:tcPr>
            <w:tcW w:w="68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bCs/>
                <w:kern w:val="0"/>
                <w:highlight w:val="none"/>
              </w:rPr>
            </w:pPr>
            <w:r>
              <w:rPr>
                <w:b/>
                <w:bCs/>
                <w:kern w:val="0"/>
                <w:highlight w:val="none"/>
              </w:rPr>
              <w:t>评审标准</w:t>
            </w:r>
          </w:p>
        </w:tc>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bCs/>
                <w:kern w:val="0"/>
                <w:highlight w:val="none"/>
              </w:rPr>
            </w:pPr>
            <w:r>
              <w:rPr>
                <w:b/>
                <w:bCs/>
                <w:kern w:val="0"/>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bCs/>
                <w:kern w:val="0"/>
                <w:highlight w:val="none"/>
              </w:rPr>
            </w:pPr>
            <w:r>
              <w:rPr>
                <w:b/>
                <w:bCs/>
                <w:kern w:val="0"/>
                <w:highlight w:val="none"/>
              </w:rPr>
              <w:t>1</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bCs/>
                <w:kern w:val="0"/>
                <w:highlight w:val="none"/>
              </w:rPr>
            </w:pPr>
            <w:r>
              <w:rPr>
                <w:rFonts w:hint="eastAsia"/>
                <w:bCs/>
                <w:kern w:val="0"/>
                <w:highlight w:val="none"/>
              </w:rPr>
              <w:t>投标报价</w:t>
            </w:r>
          </w:p>
        </w:tc>
        <w:tc>
          <w:tcPr>
            <w:tcW w:w="688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bCs/>
                <w:kern w:val="0"/>
                <w:highlight w:val="none"/>
              </w:rPr>
            </w:pPr>
            <w:r>
              <w:rPr>
                <w:rFonts w:hint="eastAsia"/>
                <w:bCs/>
                <w:kern w:val="0"/>
                <w:highlight w:val="none"/>
              </w:rPr>
              <w:t>价格分采用低价优先法计算，即满足招标文件要求且投标价格最低的投标报价为评标基准价，其价格分为满分30分。其他投标人的价格分按照下列公式计算：</w:t>
            </w:r>
          </w:p>
          <w:p>
            <w:pPr>
              <w:spacing w:line="360" w:lineRule="auto"/>
              <w:jc w:val="left"/>
              <w:rPr>
                <w:bCs/>
                <w:kern w:val="0"/>
                <w:highlight w:val="none"/>
              </w:rPr>
            </w:pPr>
            <w:r>
              <w:rPr>
                <w:rFonts w:hint="eastAsia"/>
                <w:bCs/>
                <w:kern w:val="0"/>
                <w:highlight w:val="none"/>
              </w:rPr>
              <w:t>投标报价得分=（评标基准价／投标报价）×30（精确到小数点后两位）投标人需详细说明价格构成及每种宣传品的单价。</w:t>
            </w:r>
          </w:p>
        </w:tc>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bCs/>
                <w:kern w:val="0"/>
                <w:highlight w:val="none"/>
              </w:rPr>
            </w:pPr>
            <w:r>
              <w:rPr>
                <w:rFonts w:hint="eastAsia"/>
                <w:b/>
                <w:bCs/>
                <w:kern w:val="0"/>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bCs/>
                <w:kern w:val="0"/>
                <w:highlight w:val="none"/>
              </w:rPr>
            </w:pPr>
            <w:r>
              <w:rPr>
                <w:rFonts w:hint="eastAsia"/>
                <w:b/>
                <w:bCs/>
                <w:kern w:val="0"/>
                <w:highlight w:val="none"/>
              </w:rPr>
              <w:t>2</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kern w:val="0"/>
                <w:highlight w:val="none"/>
              </w:rPr>
            </w:pPr>
            <w:r>
              <w:rPr>
                <w:rFonts w:hint="eastAsia"/>
                <w:bCs/>
                <w:kern w:val="0"/>
                <w:highlight w:val="none"/>
              </w:rPr>
              <w:t>样品质量</w:t>
            </w:r>
          </w:p>
        </w:tc>
        <w:tc>
          <w:tcPr>
            <w:tcW w:w="688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bCs/>
                <w:highlight w:val="none"/>
              </w:rPr>
            </w:pPr>
            <w:r>
              <w:rPr>
                <w:rFonts w:hint="eastAsia" w:ascii="宋体" w:hAnsi="宋体" w:cs="宋体"/>
                <w:bCs/>
                <w:highlight w:val="none"/>
              </w:rPr>
              <w:t>按要求提供全部样品且样品符合相应技术要求，对照本次招标技术参数中的要求，通过样品的</w:t>
            </w:r>
            <w:r>
              <w:rPr>
                <w:rFonts w:hint="eastAsia"/>
                <w:bCs/>
                <w:kern w:val="0"/>
                <w:highlight w:val="none"/>
              </w:rPr>
              <w:t>墨色均匀鲜艳</w:t>
            </w:r>
            <w:r>
              <w:rPr>
                <w:rFonts w:hint="eastAsia"/>
                <w:bCs/>
                <w:kern w:val="0"/>
                <w:highlight w:val="none"/>
                <w:lang w:eastAsia="zh-Hans"/>
              </w:rPr>
              <w:t>度</w:t>
            </w:r>
            <w:r>
              <w:rPr>
                <w:rFonts w:hint="eastAsia"/>
                <w:bCs/>
                <w:kern w:val="0"/>
                <w:highlight w:val="none"/>
              </w:rPr>
              <w:t>、层次丰富</w:t>
            </w:r>
            <w:r>
              <w:rPr>
                <w:rFonts w:hint="eastAsia"/>
                <w:bCs/>
                <w:kern w:val="0"/>
                <w:highlight w:val="none"/>
                <w:lang w:eastAsia="zh-Hans"/>
              </w:rPr>
              <w:t>度</w:t>
            </w:r>
            <w:r>
              <w:rPr>
                <w:bCs/>
                <w:kern w:val="0"/>
                <w:highlight w:val="none"/>
                <w:lang w:eastAsia="zh-Hans"/>
              </w:rPr>
              <w:t>、</w:t>
            </w:r>
            <w:r>
              <w:rPr>
                <w:rFonts w:hint="eastAsia"/>
                <w:bCs/>
                <w:kern w:val="0"/>
                <w:highlight w:val="none"/>
              </w:rPr>
              <w:t>文图清晰</w:t>
            </w:r>
            <w:r>
              <w:rPr>
                <w:rFonts w:hint="eastAsia"/>
                <w:bCs/>
                <w:kern w:val="0"/>
                <w:highlight w:val="none"/>
                <w:lang w:eastAsia="zh-Hans"/>
              </w:rPr>
              <w:t>度</w:t>
            </w:r>
            <w:r>
              <w:rPr>
                <w:rFonts w:hint="eastAsia"/>
                <w:bCs/>
                <w:kern w:val="0"/>
                <w:highlight w:val="none"/>
              </w:rPr>
              <w:t>、画面精度</w:t>
            </w:r>
            <w:r>
              <w:rPr>
                <w:bCs/>
                <w:kern w:val="0"/>
                <w:highlight w:val="none"/>
                <w:lang w:eastAsia="zh-Hans"/>
              </w:rPr>
              <w:t>、</w:t>
            </w:r>
            <w:r>
              <w:rPr>
                <w:rFonts w:hint="eastAsia" w:ascii="宋体" w:hAnsi="宋体" w:cs="宋体"/>
                <w:bCs/>
                <w:highlight w:val="none"/>
              </w:rPr>
              <w:t>整体效果等，对每个样品进行评分。</w:t>
            </w:r>
          </w:p>
          <w:p>
            <w:pPr>
              <w:numPr>
                <w:ilvl w:val="0"/>
                <w:numId w:val="6"/>
              </w:numPr>
              <w:spacing w:line="360" w:lineRule="auto"/>
              <w:jc w:val="left"/>
              <w:rPr>
                <w:bCs/>
                <w:kern w:val="0"/>
                <w:highlight w:val="none"/>
              </w:rPr>
            </w:pPr>
            <w:r>
              <w:rPr>
                <w:rFonts w:hint="eastAsia"/>
                <w:bCs/>
                <w:kern w:val="0"/>
                <w:highlight w:val="none"/>
              </w:rPr>
              <w:t>墨色均匀鲜艳、层次丰富、文图清晰、画面精度高、</w:t>
            </w:r>
            <w:r>
              <w:rPr>
                <w:rFonts w:hint="eastAsia" w:ascii="宋体" w:hAnsi="宋体" w:cs="宋体"/>
                <w:bCs/>
                <w:highlight w:val="none"/>
              </w:rPr>
              <w:t>整体效果优的</w:t>
            </w:r>
            <w:r>
              <w:rPr>
                <w:rFonts w:hint="eastAsia"/>
                <w:bCs/>
                <w:kern w:val="0"/>
                <w:highlight w:val="none"/>
              </w:rPr>
              <w:t>得2分；</w:t>
            </w:r>
          </w:p>
          <w:p>
            <w:pPr>
              <w:numPr>
                <w:ilvl w:val="0"/>
                <w:numId w:val="6"/>
              </w:numPr>
              <w:spacing w:line="360" w:lineRule="auto"/>
              <w:jc w:val="left"/>
              <w:rPr>
                <w:bCs/>
                <w:kern w:val="0"/>
                <w:highlight w:val="none"/>
              </w:rPr>
            </w:pPr>
            <w:r>
              <w:rPr>
                <w:rFonts w:hint="eastAsia"/>
                <w:bCs/>
                <w:kern w:val="0"/>
                <w:highlight w:val="none"/>
              </w:rPr>
              <w:t>墨色均匀、层次一般、文图比较清晰、画面精度比较高、</w:t>
            </w:r>
            <w:r>
              <w:rPr>
                <w:rFonts w:hint="eastAsia" w:ascii="宋体" w:hAnsi="宋体" w:cs="宋体"/>
                <w:bCs/>
                <w:highlight w:val="none"/>
              </w:rPr>
              <w:t>整体效果一般的</w:t>
            </w:r>
            <w:r>
              <w:rPr>
                <w:rFonts w:hint="eastAsia"/>
                <w:bCs/>
                <w:kern w:val="0"/>
                <w:highlight w:val="none"/>
              </w:rPr>
              <w:t>得1.5分；</w:t>
            </w:r>
          </w:p>
          <w:p>
            <w:pPr>
              <w:numPr>
                <w:ilvl w:val="0"/>
                <w:numId w:val="6"/>
              </w:numPr>
              <w:spacing w:line="360" w:lineRule="auto"/>
              <w:jc w:val="left"/>
              <w:rPr>
                <w:bCs/>
                <w:kern w:val="0"/>
                <w:highlight w:val="none"/>
              </w:rPr>
            </w:pPr>
            <w:r>
              <w:rPr>
                <w:rFonts w:hint="eastAsia"/>
                <w:bCs/>
                <w:kern w:val="0"/>
                <w:highlight w:val="none"/>
              </w:rPr>
              <w:t>墨色参差不齐、层次较差、文图模糊、画面精度低、</w:t>
            </w:r>
            <w:r>
              <w:rPr>
                <w:rFonts w:hint="eastAsia" w:ascii="宋体" w:hAnsi="宋体" w:cs="宋体"/>
                <w:bCs/>
                <w:highlight w:val="none"/>
              </w:rPr>
              <w:t>整体效果差的</w:t>
            </w:r>
            <w:r>
              <w:rPr>
                <w:rFonts w:hint="eastAsia"/>
                <w:bCs/>
                <w:kern w:val="0"/>
                <w:highlight w:val="none"/>
              </w:rPr>
              <w:t>得0.5分；</w:t>
            </w:r>
          </w:p>
          <w:p>
            <w:pPr>
              <w:pStyle w:val="2"/>
              <w:tabs>
                <w:tab w:val="left" w:pos="392"/>
              </w:tabs>
              <w:ind w:firstLine="0"/>
              <w:rPr>
                <w:highlight w:val="none"/>
              </w:rPr>
            </w:pPr>
            <w:r>
              <w:rPr>
                <w:rFonts w:hint="eastAsia" w:ascii="宋体" w:hAnsi="宋体" w:cs="宋体"/>
                <w:bCs/>
                <w:highlight w:val="none"/>
              </w:rPr>
              <w:t>最后汇总所有样品评分，评分不高于28分。</w:t>
            </w:r>
          </w:p>
          <w:p>
            <w:pPr>
              <w:spacing w:line="360" w:lineRule="auto"/>
              <w:jc w:val="left"/>
              <w:rPr>
                <w:bCs/>
                <w:kern w:val="0"/>
                <w:highlight w:val="none"/>
              </w:rPr>
            </w:pPr>
            <w:r>
              <w:rPr>
                <w:rFonts w:hint="eastAsia" w:ascii="宋体" w:hAnsi="宋体"/>
                <w:szCs w:val="21"/>
                <w:highlight w:val="none"/>
              </w:rPr>
              <w:t>样品不可出现企业名称或企业注册商标等标识，否则作无效标处理。</w:t>
            </w:r>
          </w:p>
        </w:tc>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bCs/>
                <w:kern w:val="0"/>
                <w:highlight w:val="none"/>
              </w:rPr>
            </w:pPr>
            <w:r>
              <w:rPr>
                <w:rFonts w:hint="eastAsia"/>
                <w:b/>
                <w:bCs/>
                <w:kern w:val="0"/>
                <w:highlight w:val="none"/>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bCs/>
                <w:kern w:val="0"/>
                <w:highlight w:val="none"/>
              </w:rPr>
            </w:pPr>
            <w:r>
              <w:rPr>
                <w:rFonts w:hint="eastAsia"/>
                <w:b/>
                <w:bCs/>
                <w:kern w:val="0"/>
                <w:highlight w:val="none"/>
              </w:rPr>
              <w:t>3</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highlight w:val="none"/>
              </w:rPr>
            </w:pPr>
            <w:r>
              <w:rPr>
                <w:rFonts w:hint="eastAsia"/>
                <w:highlight w:val="none"/>
              </w:rPr>
              <w:t>服务承诺</w:t>
            </w:r>
          </w:p>
        </w:tc>
        <w:tc>
          <w:tcPr>
            <w:tcW w:w="6887" w:type="dxa"/>
            <w:tcBorders>
              <w:top w:val="single" w:color="auto" w:sz="4" w:space="0"/>
              <w:left w:val="single" w:color="auto" w:sz="4" w:space="0"/>
              <w:bottom w:val="single" w:color="auto" w:sz="4" w:space="0"/>
              <w:right w:val="single" w:color="auto" w:sz="4" w:space="0"/>
            </w:tcBorders>
          </w:tcPr>
          <w:p>
            <w:pPr>
              <w:pStyle w:val="2"/>
              <w:ind w:firstLine="0"/>
              <w:rPr>
                <w:bCs/>
                <w:kern w:val="0"/>
                <w:highlight w:val="none"/>
              </w:rPr>
            </w:pPr>
            <w:r>
              <w:rPr>
                <w:rFonts w:hint="eastAsia"/>
                <w:bCs/>
                <w:kern w:val="0"/>
                <w:highlight w:val="none"/>
              </w:rPr>
              <w:t>供应商承诺完全响应招标方所提项目要求，中标后，积极配合招标方按时并保质保量提供完成各项服务。（提供承诺书，加盖投标人公章）</w:t>
            </w: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b/>
                <w:highlight w:val="none"/>
              </w:rPr>
            </w:pPr>
            <w:r>
              <w:rPr>
                <w:rFonts w:hint="eastAsia"/>
                <w:b/>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bCs/>
                <w:kern w:val="0"/>
                <w:highlight w:val="none"/>
              </w:rPr>
            </w:pPr>
            <w:r>
              <w:rPr>
                <w:rFonts w:hint="eastAsia"/>
                <w:b/>
                <w:bCs/>
                <w:kern w:val="0"/>
                <w:highlight w:val="none"/>
              </w:rPr>
              <w:t>4</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highlight w:val="none"/>
              </w:rPr>
            </w:pPr>
            <w:r>
              <w:rPr>
                <w:rFonts w:hint="eastAsia"/>
                <w:highlight w:val="none"/>
              </w:rPr>
              <w:t>服务方案</w:t>
            </w:r>
          </w:p>
        </w:tc>
        <w:tc>
          <w:tcPr>
            <w:tcW w:w="6887" w:type="dxa"/>
            <w:tcBorders>
              <w:top w:val="single" w:color="auto" w:sz="4" w:space="0"/>
              <w:left w:val="single" w:color="auto" w:sz="4" w:space="0"/>
              <w:bottom w:val="single" w:color="auto" w:sz="4" w:space="0"/>
              <w:right w:val="single" w:color="auto" w:sz="4" w:space="0"/>
            </w:tcBorders>
          </w:tcPr>
          <w:p>
            <w:pPr>
              <w:pStyle w:val="2"/>
              <w:ind w:firstLine="0"/>
              <w:rPr>
                <w:bCs/>
                <w:kern w:val="0"/>
                <w:highlight w:val="none"/>
              </w:rPr>
            </w:pPr>
            <w:r>
              <w:rPr>
                <w:rFonts w:hint="eastAsia"/>
                <w:bCs/>
                <w:kern w:val="0"/>
                <w:highlight w:val="none"/>
              </w:rPr>
              <w:t>供应商可就售后服务、应急措施、质量管理等方面提供方案，方案详细完整、科学可行的得20分，方案较详细完整、科学可行的得15分，方案详细完整、科学可行欠缺的得10分，不提供不得分；</w:t>
            </w: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b/>
                <w:highlight w:val="none"/>
              </w:rPr>
            </w:pPr>
            <w:r>
              <w:rPr>
                <w:rFonts w:hint="eastAsia"/>
                <w:b/>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0"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bCs/>
                <w:kern w:val="0"/>
                <w:highlight w:val="none"/>
              </w:rPr>
            </w:pPr>
            <w:r>
              <w:rPr>
                <w:rFonts w:hint="eastAsia"/>
                <w:b/>
                <w:bCs/>
                <w:kern w:val="0"/>
                <w:highlight w:val="none"/>
              </w:rPr>
              <w:t>5</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kern w:val="0"/>
                <w:highlight w:val="none"/>
              </w:rPr>
            </w:pPr>
            <w:r>
              <w:rPr>
                <w:rFonts w:hint="eastAsia"/>
                <w:bCs/>
                <w:kern w:val="0"/>
                <w:highlight w:val="none"/>
              </w:rPr>
              <w:t>企业</w:t>
            </w:r>
            <w:r>
              <w:rPr>
                <w:bCs/>
                <w:kern w:val="0"/>
                <w:highlight w:val="none"/>
              </w:rPr>
              <w:t>业绩</w:t>
            </w:r>
          </w:p>
        </w:tc>
        <w:tc>
          <w:tcPr>
            <w:tcW w:w="6887" w:type="dxa"/>
            <w:tcBorders>
              <w:top w:val="single" w:color="auto" w:sz="4" w:space="0"/>
              <w:left w:val="single" w:color="auto" w:sz="4" w:space="0"/>
              <w:bottom w:val="single" w:color="auto" w:sz="4" w:space="0"/>
              <w:right w:val="single" w:color="auto" w:sz="4" w:space="0"/>
            </w:tcBorders>
            <w:vAlign w:val="center"/>
          </w:tcPr>
          <w:p>
            <w:pPr>
              <w:pStyle w:val="32"/>
              <w:spacing w:line="360" w:lineRule="auto"/>
              <w:ind w:firstLine="0" w:firstLineChars="0"/>
              <w:rPr>
                <w:bCs/>
                <w:highlight w:val="none"/>
              </w:rPr>
            </w:pPr>
            <w:r>
              <w:rPr>
                <w:rFonts w:hint="eastAsia" w:ascii="宋体" w:hAnsi="宋体"/>
                <w:sz w:val="21"/>
                <w:szCs w:val="21"/>
                <w:highlight w:val="none"/>
              </w:rPr>
              <w:t>投标企业业绩：10分。能提供近3年</w:t>
            </w:r>
            <w:r>
              <w:rPr>
                <w:rFonts w:hint="eastAsia" w:ascii="宋体" w:hAnsi="宋体"/>
                <w:sz w:val="21"/>
                <w:szCs w:val="21"/>
                <w:highlight w:val="none"/>
                <w:lang w:eastAsia="zh-Hans"/>
              </w:rPr>
              <w:t>以来</w:t>
            </w:r>
            <w:r>
              <w:rPr>
                <w:rFonts w:hint="eastAsia" w:ascii="宋体" w:hAnsi="宋体"/>
                <w:sz w:val="21"/>
                <w:szCs w:val="21"/>
                <w:highlight w:val="none"/>
              </w:rPr>
              <w:t>与</w:t>
            </w:r>
            <w:r>
              <w:rPr>
                <w:rFonts w:hint="eastAsia" w:ascii="宋体" w:hAnsi="宋体"/>
                <w:sz w:val="21"/>
                <w:szCs w:val="21"/>
                <w:highlight w:val="none"/>
                <w:lang w:eastAsia="zh-Hans"/>
              </w:rPr>
              <w:t>招生</w:t>
            </w:r>
            <w:r>
              <w:rPr>
                <w:rFonts w:hint="eastAsia" w:ascii="宋体" w:hAnsi="宋体"/>
                <w:sz w:val="21"/>
                <w:szCs w:val="21"/>
                <w:highlight w:val="none"/>
              </w:rPr>
              <w:t>宣传材料设计制作印刷相关类似业绩复印件1份的，得2分，以此类推，最多得10分；反之，不得分。类似业绩含中标通知书、供货合同及用户满意情况意见书或用户满意评价意见书，三者缺一不可。</w:t>
            </w:r>
          </w:p>
        </w:tc>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bCs/>
                <w:kern w:val="0"/>
                <w:highlight w:val="none"/>
              </w:rPr>
            </w:pPr>
            <w:r>
              <w:rPr>
                <w:rFonts w:hint="eastAsia"/>
                <w:b/>
                <w:bCs/>
                <w:kern w:val="0"/>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bCs/>
                <w:kern w:val="0"/>
                <w:highlight w:val="none"/>
              </w:rPr>
            </w:pPr>
            <w:r>
              <w:rPr>
                <w:rFonts w:hint="eastAsia"/>
                <w:b/>
                <w:bCs/>
                <w:kern w:val="0"/>
                <w:highlight w:val="none"/>
              </w:rPr>
              <w:t>6</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highlight w:val="none"/>
              </w:rPr>
            </w:pPr>
            <w:r>
              <w:rPr>
                <w:rFonts w:hint="eastAsia"/>
                <w:bCs/>
                <w:kern w:val="0"/>
                <w:highlight w:val="none"/>
              </w:rPr>
              <w:t>投标文件制作分</w:t>
            </w:r>
          </w:p>
        </w:tc>
        <w:tc>
          <w:tcPr>
            <w:tcW w:w="6887" w:type="dxa"/>
            <w:tcBorders>
              <w:top w:val="single" w:color="auto" w:sz="4" w:space="0"/>
              <w:left w:val="single" w:color="auto" w:sz="4" w:space="0"/>
              <w:bottom w:val="single" w:color="auto" w:sz="4" w:space="0"/>
              <w:right w:val="single" w:color="auto" w:sz="4" w:space="0"/>
            </w:tcBorders>
          </w:tcPr>
          <w:p>
            <w:pPr>
              <w:spacing w:line="360" w:lineRule="auto"/>
              <w:rPr>
                <w:bCs/>
                <w:kern w:val="0"/>
                <w:highlight w:val="none"/>
              </w:rPr>
            </w:pPr>
            <w:r>
              <w:rPr>
                <w:rFonts w:hint="eastAsia" w:ascii="宋体" w:hAnsi="宋体"/>
                <w:szCs w:val="21"/>
                <w:highlight w:val="none"/>
              </w:rPr>
              <w:t>投标文件便于评审，投标文件目录、页码齐全得1分；目录与页码能准确对应得1分。</w:t>
            </w: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b/>
                <w:highlight w:val="none"/>
              </w:rPr>
            </w:pPr>
            <w:r>
              <w:rPr>
                <w:rFonts w:hint="eastAsia"/>
                <w:b/>
                <w:highlight w:val="none"/>
              </w:rPr>
              <w:t>2</w:t>
            </w:r>
          </w:p>
        </w:tc>
      </w:tr>
    </w:tbl>
    <w:p>
      <w:pPr>
        <w:ind w:firstLine="354" w:firstLineChars="147"/>
        <w:rPr>
          <w:b/>
          <w:sz w:val="28"/>
          <w:szCs w:val="28"/>
          <w:highlight w:val="none"/>
        </w:rPr>
      </w:pPr>
      <w:r>
        <w:rPr>
          <w:rFonts w:hint="eastAsia" w:ascii="宋体"/>
          <w:b/>
          <w:sz w:val="24"/>
          <w:highlight w:val="none"/>
        </w:rPr>
        <w:t>（本部分内容由南京信息工程大学学生工作处提供并负责）</w:t>
      </w:r>
    </w:p>
    <w:p>
      <w:pPr>
        <w:spacing w:line="360" w:lineRule="auto"/>
        <w:rPr>
          <w:b/>
          <w:sz w:val="28"/>
          <w:szCs w:val="28"/>
          <w:highlight w:val="none"/>
        </w:rPr>
      </w:pPr>
      <w:r>
        <w:rPr>
          <w:rFonts w:hint="eastAsia"/>
          <w:b/>
          <w:sz w:val="28"/>
          <w:szCs w:val="28"/>
          <w:highlight w:val="none"/>
        </w:rPr>
        <w:t>附件</w:t>
      </w:r>
      <w:r>
        <w:rPr>
          <w:b/>
          <w:sz w:val="28"/>
          <w:szCs w:val="28"/>
          <w:highlight w:val="none"/>
        </w:rPr>
        <w:t>6</w:t>
      </w:r>
      <w:r>
        <w:rPr>
          <w:rFonts w:hint="eastAsia"/>
          <w:b/>
          <w:sz w:val="28"/>
          <w:szCs w:val="28"/>
          <w:highlight w:val="none"/>
        </w:rPr>
        <w:t>：</w:t>
      </w:r>
    </w:p>
    <w:p>
      <w:pPr>
        <w:adjustRightInd w:val="0"/>
        <w:snapToGrid w:val="0"/>
        <w:spacing w:before="156" w:beforeLines="50" w:after="156" w:afterLines="50" w:line="360" w:lineRule="auto"/>
        <w:jc w:val="center"/>
        <w:outlineLvl w:val="0"/>
        <w:rPr>
          <w:rFonts w:ascii="黑体" w:hAnsi="黑体" w:eastAsia="黑体"/>
          <w:b/>
          <w:bCs/>
          <w:sz w:val="34"/>
          <w:highlight w:val="none"/>
        </w:rPr>
      </w:pPr>
      <w:r>
        <w:rPr>
          <w:rFonts w:hint="eastAsia" w:ascii="黑体" w:hAnsi="黑体" w:eastAsia="黑体"/>
          <w:b/>
          <w:sz w:val="34"/>
          <w:highlight w:val="none"/>
        </w:rPr>
        <w:t>采购合同</w:t>
      </w:r>
    </w:p>
    <w:p>
      <w:pPr>
        <w:pStyle w:val="10"/>
        <w:adjustRightInd w:val="0"/>
        <w:snapToGrid w:val="0"/>
        <w:spacing w:before="120" w:after="120" w:line="360" w:lineRule="auto"/>
        <w:ind w:firstLine="658"/>
        <w:jc w:val="center"/>
        <w:rPr>
          <w:rFonts w:hint="eastAsia" w:hAnsi="宋体"/>
          <w:sz w:val="24"/>
          <w:szCs w:val="24"/>
          <w:highlight w:val="none"/>
        </w:rPr>
      </w:pPr>
      <w:r>
        <w:rPr>
          <w:rFonts w:hint="eastAsia" w:hAnsi="宋体"/>
          <w:sz w:val="24"/>
          <w:szCs w:val="24"/>
          <w:highlight w:val="none"/>
        </w:rPr>
        <w:t>本合同为参考合同文本，最终以甲方审核单位最终审核意见为准。</w:t>
      </w:r>
    </w:p>
    <w:p>
      <w:pPr>
        <w:pStyle w:val="10"/>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项目名称：</w:t>
      </w:r>
    </w:p>
    <w:p>
      <w:pPr>
        <w:pStyle w:val="10"/>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项目编号：</w:t>
      </w:r>
    </w:p>
    <w:p>
      <w:pPr>
        <w:pStyle w:val="10"/>
        <w:adjustRightInd w:val="0"/>
        <w:snapToGrid w:val="0"/>
        <w:spacing w:before="120" w:after="120" w:line="360" w:lineRule="auto"/>
        <w:ind w:firstLine="658"/>
        <w:rPr>
          <w:rFonts w:hAnsi="宋体"/>
          <w:sz w:val="24"/>
          <w:szCs w:val="24"/>
          <w:highlight w:val="none"/>
          <w:u w:val="single"/>
        </w:rPr>
      </w:pPr>
      <w:r>
        <w:rPr>
          <w:rFonts w:hint="eastAsia" w:hAnsi="宋体"/>
          <w:sz w:val="24"/>
          <w:szCs w:val="24"/>
          <w:highlight w:val="none"/>
        </w:rPr>
        <w:t>甲方：（买方）</w:t>
      </w:r>
      <w:r>
        <w:rPr>
          <w:rFonts w:hAnsi="宋体"/>
          <w:sz w:val="24"/>
          <w:szCs w:val="24"/>
          <w:highlight w:val="none"/>
        </w:rPr>
        <w:t>__________________</w:t>
      </w:r>
    </w:p>
    <w:p>
      <w:pPr>
        <w:pStyle w:val="10"/>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乙方：（卖方）</w:t>
      </w:r>
      <w:r>
        <w:rPr>
          <w:rFonts w:hAnsi="宋体"/>
          <w:sz w:val="24"/>
          <w:szCs w:val="24"/>
          <w:highlight w:val="none"/>
        </w:rPr>
        <w:t>__________________</w:t>
      </w:r>
    </w:p>
    <w:p>
      <w:pPr>
        <w:pStyle w:val="10"/>
        <w:adjustRightInd w:val="0"/>
        <w:snapToGrid w:val="0"/>
        <w:spacing w:before="120" w:after="120" w:line="360" w:lineRule="auto"/>
        <w:ind w:firstLine="658"/>
        <w:rPr>
          <w:rFonts w:hAnsi="宋体"/>
          <w:b/>
          <w:sz w:val="24"/>
          <w:szCs w:val="24"/>
          <w:highlight w:val="none"/>
        </w:rPr>
      </w:pPr>
      <w:r>
        <w:rPr>
          <w:rFonts w:hint="eastAsia" w:hAnsi="宋体"/>
          <w:sz w:val="24"/>
          <w:szCs w:val="24"/>
          <w:highlight w:val="none"/>
        </w:rPr>
        <w:t>甲、乙双方根据甲方项目采购谈判的结果，签署本合同。</w:t>
      </w:r>
    </w:p>
    <w:p>
      <w:pPr>
        <w:pStyle w:val="10"/>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一、货物内容</w:t>
      </w:r>
    </w:p>
    <w:tbl>
      <w:tblPr>
        <w:tblStyle w:val="16"/>
        <w:tblW w:w="10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165"/>
        <w:gridCol w:w="1115"/>
        <w:gridCol w:w="1160"/>
        <w:gridCol w:w="1160"/>
        <w:gridCol w:w="1160"/>
        <w:gridCol w:w="1160"/>
        <w:gridCol w:w="116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b/>
                <w:sz w:val="24"/>
                <w:highlight w:val="none"/>
              </w:rPr>
            </w:pPr>
            <w:r>
              <w:rPr>
                <w:rFonts w:hint="eastAsia" w:ascii="宋体" w:hAnsi="宋体"/>
                <w:b/>
                <w:sz w:val="24"/>
                <w:highlight w:val="none"/>
              </w:rPr>
              <w:t>分包号</w:t>
            </w:r>
          </w:p>
        </w:tc>
        <w:tc>
          <w:tcPr>
            <w:tcW w:w="1165" w:type="dxa"/>
            <w:vAlign w:val="center"/>
          </w:tcPr>
          <w:p>
            <w:pPr>
              <w:spacing w:line="360" w:lineRule="auto"/>
              <w:jc w:val="center"/>
              <w:rPr>
                <w:rFonts w:ascii="宋体"/>
                <w:b/>
                <w:sz w:val="24"/>
                <w:highlight w:val="none"/>
              </w:rPr>
            </w:pPr>
            <w:r>
              <w:rPr>
                <w:rFonts w:hint="eastAsia" w:ascii="宋体" w:hAnsi="宋体"/>
                <w:b/>
                <w:sz w:val="24"/>
                <w:highlight w:val="none"/>
              </w:rPr>
              <w:t>货物</w:t>
            </w:r>
          </w:p>
          <w:p>
            <w:pPr>
              <w:spacing w:line="360" w:lineRule="auto"/>
              <w:jc w:val="center"/>
              <w:rPr>
                <w:rFonts w:ascii="宋体"/>
                <w:b/>
                <w:sz w:val="24"/>
                <w:highlight w:val="none"/>
              </w:rPr>
            </w:pPr>
            <w:r>
              <w:rPr>
                <w:rFonts w:hint="eastAsia" w:ascii="宋体" w:hAnsi="宋体"/>
                <w:b/>
                <w:sz w:val="24"/>
                <w:highlight w:val="none"/>
              </w:rPr>
              <w:t>名称</w:t>
            </w:r>
          </w:p>
        </w:tc>
        <w:tc>
          <w:tcPr>
            <w:tcW w:w="1115" w:type="dxa"/>
            <w:vAlign w:val="center"/>
          </w:tcPr>
          <w:p>
            <w:pPr>
              <w:spacing w:line="360" w:lineRule="auto"/>
              <w:jc w:val="center"/>
              <w:rPr>
                <w:rFonts w:ascii="宋体"/>
                <w:b/>
                <w:sz w:val="24"/>
                <w:highlight w:val="none"/>
              </w:rPr>
            </w:pPr>
            <w:r>
              <w:rPr>
                <w:rFonts w:hint="eastAsia" w:ascii="宋体" w:hAnsi="宋体"/>
                <w:b/>
                <w:sz w:val="24"/>
                <w:highlight w:val="none"/>
              </w:rPr>
              <w:t>型号</w:t>
            </w:r>
            <w:r>
              <w:rPr>
                <w:rFonts w:ascii="宋体" w:hAnsi="宋体"/>
                <w:b/>
                <w:sz w:val="24"/>
                <w:highlight w:val="none"/>
              </w:rPr>
              <w:t>/</w:t>
            </w:r>
          </w:p>
          <w:p>
            <w:pPr>
              <w:spacing w:line="360" w:lineRule="auto"/>
              <w:jc w:val="center"/>
              <w:rPr>
                <w:rFonts w:ascii="宋体"/>
                <w:b/>
                <w:sz w:val="24"/>
                <w:highlight w:val="none"/>
              </w:rPr>
            </w:pPr>
            <w:r>
              <w:rPr>
                <w:rFonts w:hint="eastAsia" w:ascii="宋体" w:hAnsi="宋体"/>
                <w:b/>
                <w:sz w:val="24"/>
                <w:highlight w:val="none"/>
              </w:rPr>
              <w:t>规格</w:t>
            </w:r>
          </w:p>
        </w:tc>
        <w:tc>
          <w:tcPr>
            <w:tcW w:w="1160" w:type="dxa"/>
            <w:vAlign w:val="center"/>
          </w:tcPr>
          <w:p>
            <w:pPr>
              <w:spacing w:line="360" w:lineRule="auto"/>
              <w:jc w:val="center"/>
              <w:rPr>
                <w:rFonts w:ascii="宋体"/>
                <w:b/>
                <w:sz w:val="24"/>
                <w:highlight w:val="none"/>
              </w:rPr>
            </w:pPr>
            <w:r>
              <w:rPr>
                <w:rFonts w:hint="eastAsia" w:ascii="宋体" w:hAnsi="宋体"/>
                <w:b/>
                <w:sz w:val="24"/>
                <w:highlight w:val="none"/>
              </w:rPr>
              <w:t>品牌</w:t>
            </w:r>
            <w:r>
              <w:rPr>
                <w:rFonts w:ascii="宋体" w:hAnsi="宋体"/>
                <w:b/>
                <w:sz w:val="24"/>
                <w:highlight w:val="none"/>
              </w:rPr>
              <w:t>/</w:t>
            </w:r>
            <w:r>
              <w:rPr>
                <w:rFonts w:hint="eastAsia" w:ascii="宋体" w:hAnsi="宋体"/>
                <w:b/>
                <w:sz w:val="24"/>
                <w:highlight w:val="none"/>
              </w:rPr>
              <w:t>生产厂家</w:t>
            </w:r>
            <w:r>
              <w:rPr>
                <w:rFonts w:ascii="宋体" w:hAnsi="宋体"/>
                <w:b/>
                <w:sz w:val="24"/>
                <w:highlight w:val="none"/>
              </w:rPr>
              <w:t>/</w:t>
            </w:r>
            <w:r>
              <w:rPr>
                <w:rFonts w:hint="eastAsia" w:ascii="宋体" w:hAnsi="宋体"/>
                <w:b/>
                <w:sz w:val="24"/>
                <w:highlight w:val="none"/>
              </w:rPr>
              <w:t>国别</w:t>
            </w:r>
          </w:p>
        </w:tc>
        <w:tc>
          <w:tcPr>
            <w:tcW w:w="1160" w:type="dxa"/>
            <w:vAlign w:val="center"/>
          </w:tcPr>
          <w:p>
            <w:pPr>
              <w:spacing w:line="360" w:lineRule="auto"/>
              <w:jc w:val="center"/>
              <w:rPr>
                <w:rFonts w:ascii="宋体"/>
                <w:b/>
                <w:sz w:val="24"/>
                <w:highlight w:val="none"/>
              </w:rPr>
            </w:pPr>
            <w:r>
              <w:rPr>
                <w:rFonts w:hint="eastAsia" w:ascii="宋体" w:hAnsi="宋体"/>
                <w:b/>
                <w:sz w:val="24"/>
                <w:highlight w:val="none"/>
              </w:rPr>
              <w:t>计量</w:t>
            </w:r>
          </w:p>
          <w:p>
            <w:pPr>
              <w:spacing w:line="360" w:lineRule="auto"/>
              <w:jc w:val="center"/>
              <w:rPr>
                <w:rFonts w:ascii="宋体"/>
                <w:b/>
                <w:sz w:val="24"/>
                <w:highlight w:val="none"/>
              </w:rPr>
            </w:pPr>
            <w:r>
              <w:rPr>
                <w:rFonts w:hint="eastAsia" w:ascii="宋体" w:hAnsi="宋体"/>
                <w:b/>
                <w:sz w:val="24"/>
                <w:highlight w:val="none"/>
              </w:rPr>
              <w:t>单位</w:t>
            </w:r>
          </w:p>
        </w:tc>
        <w:tc>
          <w:tcPr>
            <w:tcW w:w="1160" w:type="dxa"/>
            <w:vAlign w:val="center"/>
          </w:tcPr>
          <w:p>
            <w:pPr>
              <w:spacing w:line="360" w:lineRule="auto"/>
              <w:jc w:val="center"/>
              <w:rPr>
                <w:rFonts w:ascii="宋体"/>
                <w:b/>
                <w:sz w:val="24"/>
                <w:highlight w:val="none"/>
              </w:rPr>
            </w:pPr>
            <w:r>
              <w:rPr>
                <w:rFonts w:hint="eastAsia" w:ascii="宋体" w:hAnsi="宋体"/>
                <w:b/>
                <w:sz w:val="24"/>
                <w:highlight w:val="none"/>
              </w:rPr>
              <w:t>数量</w:t>
            </w:r>
          </w:p>
        </w:tc>
        <w:tc>
          <w:tcPr>
            <w:tcW w:w="1160" w:type="dxa"/>
            <w:vAlign w:val="center"/>
          </w:tcPr>
          <w:p>
            <w:pPr>
              <w:spacing w:line="360" w:lineRule="auto"/>
              <w:jc w:val="center"/>
              <w:rPr>
                <w:rFonts w:ascii="宋体"/>
                <w:b/>
                <w:sz w:val="24"/>
                <w:highlight w:val="none"/>
              </w:rPr>
            </w:pPr>
            <w:r>
              <w:rPr>
                <w:rFonts w:hint="eastAsia" w:ascii="宋体" w:hAnsi="宋体"/>
                <w:b/>
                <w:sz w:val="24"/>
                <w:highlight w:val="none"/>
              </w:rPr>
              <w:t>单价</w:t>
            </w:r>
          </w:p>
        </w:tc>
        <w:tc>
          <w:tcPr>
            <w:tcW w:w="1162" w:type="dxa"/>
            <w:vAlign w:val="center"/>
          </w:tcPr>
          <w:p>
            <w:pPr>
              <w:spacing w:line="360" w:lineRule="auto"/>
              <w:jc w:val="center"/>
              <w:rPr>
                <w:rFonts w:ascii="宋体"/>
                <w:b/>
                <w:sz w:val="24"/>
                <w:highlight w:val="none"/>
              </w:rPr>
            </w:pPr>
            <w:r>
              <w:rPr>
                <w:rFonts w:hint="eastAsia" w:ascii="宋体" w:hAnsi="宋体"/>
                <w:b/>
                <w:sz w:val="24"/>
                <w:highlight w:val="none"/>
              </w:rPr>
              <w:t>每项</w:t>
            </w:r>
          </w:p>
          <w:p>
            <w:pPr>
              <w:spacing w:line="360" w:lineRule="auto"/>
              <w:jc w:val="center"/>
              <w:rPr>
                <w:rFonts w:ascii="宋体"/>
                <w:b/>
                <w:sz w:val="24"/>
                <w:highlight w:val="none"/>
              </w:rPr>
            </w:pPr>
            <w:r>
              <w:rPr>
                <w:rFonts w:hint="eastAsia" w:ascii="宋体" w:hAnsi="宋体"/>
                <w:b/>
                <w:sz w:val="24"/>
                <w:highlight w:val="none"/>
              </w:rPr>
              <w:t>总价</w:t>
            </w:r>
          </w:p>
        </w:tc>
        <w:tc>
          <w:tcPr>
            <w:tcW w:w="1171" w:type="dxa"/>
            <w:vAlign w:val="center"/>
          </w:tcPr>
          <w:p>
            <w:pPr>
              <w:spacing w:line="360" w:lineRule="auto"/>
              <w:jc w:val="center"/>
              <w:rPr>
                <w:rFonts w:ascii="宋体"/>
                <w:b/>
                <w:sz w:val="24"/>
                <w:highlight w:val="none"/>
              </w:rPr>
            </w:pPr>
            <w:r>
              <w:rPr>
                <w:rFonts w:hint="eastAsia" w:ascii="宋体" w:hAnsi="宋体"/>
                <w:b/>
                <w:sz w:val="24"/>
                <w:highlight w:val="none"/>
              </w:rPr>
              <w:t>质保时间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highlight w:val="none"/>
              </w:rPr>
            </w:pPr>
          </w:p>
        </w:tc>
        <w:tc>
          <w:tcPr>
            <w:tcW w:w="1165" w:type="dxa"/>
            <w:vAlign w:val="center"/>
          </w:tcPr>
          <w:p>
            <w:pPr>
              <w:spacing w:line="360" w:lineRule="auto"/>
              <w:jc w:val="center"/>
              <w:rPr>
                <w:rFonts w:ascii="宋体"/>
                <w:sz w:val="24"/>
                <w:highlight w:val="none"/>
              </w:rPr>
            </w:pPr>
          </w:p>
        </w:tc>
        <w:tc>
          <w:tcPr>
            <w:tcW w:w="1115" w:type="dxa"/>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2" w:type="dxa"/>
            <w:vAlign w:val="center"/>
          </w:tcPr>
          <w:p>
            <w:pPr>
              <w:spacing w:line="360" w:lineRule="auto"/>
              <w:jc w:val="center"/>
              <w:rPr>
                <w:rFonts w:ascii="宋体"/>
                <w:sz w:val="24"/>
                <w:highlight w:val="none"/>
              </w:rPr>
            </w:pPr>
          </w:p>
        </w:tc>
        <w:tc>
          <w:tcPr>
            <w:tcW w:w="1171" w:type="dxa"/>
          </w:tcPr>
          <w:p>
            <w:pPr>
              <w:spacing w:line="360" w:lineRule="auto"/>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highlight w:val="none"/>
              </w:rPr>
            </w:pPr>
          </w:p>
        </w:tc>
        <w:tc>
          <w:tcPr>
            <w:tcW w:w="1165" w:type="dxa"/>
            <w:vAlign w:val="center"/>
          </w:tcPr>
          <w:p>
            <w:pPr>
              <w:spacing w:line="360" w:lineRule="auto"/>
              <w:jc w:val="center"/>
              <w:rPr>
                <w:rFonts w:ascii="宋体"/>
                <w:sz w:val="24"/>
                <w:highlight w:val="none"/>
              </w:rPr>
            </w:pPr>
          </w:p>
        </w:tc>
        <w:tc>
          <w:tcPr>
            <w:tcW w:w="1115" w:type="dxa"/>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2" w:type="dxa"/>
            <w:vAlign w:val="center"/>
          </w:tcPr>
          <w:p>
            <w:pPr>
              <w:spacing w:line="360" w:lineRule="auto"/>
              <w:jc w:val="center"/>
              <w:rPr>
                <w:rFonts w:ascii="宋体"/>
                <w:sz w:val="24"/>
                <w:highlight w:val="none"/>
              </w:rPr>
            </w:pPr>
          </w:p>
        </w:tc>
        <w:tc>
          <w:tcPr>
            <w:tcW w:w="1171" w:type="dxa"/>
          </w:tcPr>
          <w:p>
            <w:pPr>
              <w:spacing w:line="360" w:lineRule="auto"/>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highlight w:val="none"/>
              </w:rPr>
            </w:pPr>
          </w:p>
        </w:tc>
        <w:tc>
          <w:tcPr>
            <w:tcW w:w="1165" w:type="dxa"/>
            <w:vAlign w:val="center"/>
          </w:tcPr>
          <w:p>
            <w:pPr>
              <w:spacing w:line="360" w:lineRule="auto"/>
              <w:jc w:val="center"/>
              <w:rPr>
                <w:rFonts w:ascii="宋体"/>
                <w:sz w:val="24"/>
                <w:highlight w:val="none"/>
              </w:rPr>
            </w:pPr>
          </w:p>
        </w:tc>
        <w:tc>
          <w:tcPr>
            <w:tcW w:w="1115" w:type="dxa"/>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2" w:type="dxa"/>
            <w:vAlign w:val="center"/>
          </w:tcPr>
          <w:p>
            <w:pPr>
              <w:spacing w:line="360" w:lineRule="auto"/>
              <w:jc w:val="center"/>
              <w:rPr>
                <w:rFonts w:ascii="宋体"/>
                <w:sz w:val="24"/>
                <w:highlight w:val="none"/>
              </w:rPr>
            </w:pPr>
          </w:p>
        </w:tc>
        <w:tc>
          <w:tcPr>
            <w:tcW w:w="1171" w:type="dxa"/>
          </w:tcPr>
          <w:p>
            <w:pPr>
              <w:spacing w:line="360" w:lineRule="auto"/>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highlight w:val="none"/>
              </w:rPr>
            </w:pPr>
          </w:p>
        </w:tc>
        <w:tc>
          <w:tcPr>
            <w:tcW w:w="1165" w:type="dxa"/>
            <w:vAlign w:val="center"/>
          </w:tcPr>
          <w:p>
            <w:pPr>
              <w:spacing w:line="360" w:lineRule="auto"/>
              <w:jc w:val="center"/>
              <w:rPr>
                <w:rFonts w:ascii="宋体"/>
                <w:sz w:val="24"/>
                <w:highlight w:val="none"/>
              </w:rPr>
            </w:pPr>
          </w:p>
        </w:tc>
        <w:tc>
          <w:tcPr>
            <w:tcW w:w="1115" w:type="dxa"/>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2" w:type="dxa"/>
            <w:vAlign w:val="center"/>
          </w:tcPr>
          <w:p>
            <w:pPr>
              <w:spacing w:line="360" w:lineRule="auto"/>
              <w:jc w:val="center"/>
              <w:rPr>
                <w:rFonts w:ascii="宋体"/>
                <w:sz w:val="24"/>
                <w:highlight w:val="none"/>
              </w:rPr>
            </w:pPr>
          </w:p>
        </w:tc>
        <w:tc>
          <w:tcPr>
            <w:tcW w:w="1171" w:type="dxa"/>
          </w:tcPr>
          <w:p>
            <w:pPr>
              <w:spacing w:line="360" w:lineRule="auto"/>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highlight w:val="none"/>
              </w:rPr>
            </w:pPr>
          </w:p>
        </w:tc>
        <w:tc>
          <w:tcPr>
            <w:tcW w:w="1165" w:type="dxa"/>
            <w:vAlign w:val="center"/>
          </w:tcPr>
          <w:p>
            <w:pPr>
              <w:spacing w:line="360" w:lineRule="auto"/>
              <w:jc w:val="center"/>
              <w:rPr>
                <w:rFonts w:ascii="宋体"/>
                <w:sz w:val="24"/>
                <w:highlight w:val="none"/>
              </w:rPr>
            </w:pPr>
          </w:p>
        </w:tc>
        <w:tc>
          <w:tcPr>
            <w:tcW w:w="1115" w:type="dxa"/>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2" w:type="dxa"/>
            <w:vAlign w:val="center"/>
          </w:tcPr>
          <w:p>
            <w:pPr>
              <w:spacing w:line="360" w:lineRule="auto"/>
              <w:jc w:val="center"/>
              <w:rPr>
                <w:rFonts w:ascii="宋体"/>
                <w:sz w:val="24"/>
                <w:highlight w:val="none"/>
              </w:rPr>
            </w:pPr>
          </w:p>
        </w:tc>
        <w:tc>
          <w:tcPr>
            <w:tcW w:w="1171" w:type="dxa"/>
          </w:tcPr>
          <w:p>
            <w:pPr>
              <w:spacing w:line="360" w:lineRule="auto"/>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gridSpan w:val="2"/>
            <w:vAlign w:val="center"/>
          </w:tcPr>
          <w:p>
            <w:pPr>
              <w:spacing w:line="360" w:lineRule="auto"/>
              <w:jc w:val="center"/>
              <w:rPr>
                <w:rFonts w:ascii="宋体"/>
                <w:sz w:val="24"/>
                <w:highlight w:val="none"/>
              </w:rPr>
            </w:pPr>
            <w:r>
              <w:rPr>
                <w:rFonts w:hint="eastAsia" w:ascii="宋体" w:hAnsi="宋体"/>
                <w:sz w:val="24"/>
                <w:highlight w:val="none"/>
              </w:rPr>
              <w:t>合计总价</w:t>
            </w:r>
          </w:p>
        </w:tc>
        <w:tc>
          <w:tcPr>
            <w:tcW w:w="8088" w:type="dxa"/>
            <w:gridSpan w:val="7"/>
            <w:vAlign w:val="center"/>
          </w:tcPr>
          <w:p>
            <w:pPr>
              <w:spacing w:line="360" w:lineRule="auto"/>
              <w:rPr>
                <w:rFonts w:ascii="宋体"/>
                <w:sz w:val="24"/>
                <w:highlight w:val="none"/>
                <w:u w:val="single"/>
              </w:rPr>
            </w:pPr>
            <w:r>
              <w:rPr>
                <w:rFonts w:hint="eastAsia" w:ascii="宋体" w:hAnsi="宋体"/>
                <w:sz w:val="24"/>
                <w:highlight w:val="none"/>
              </w:rPr>
              <w:t>大写：      小写：      元</w:t>
            </w:r>
          </w:p>
        </w:tc>
      </w:tr>
    </w:tbl>
    <w:p>
      <w:pPr>
        <w:pStyle w:val="10"/>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二、合同金额</w:t>
      </w:r>
    </w:p>
    <w:p>
      <w:pPr>
        <w:pStyle w:val="10"/>
        <w:adjustRightInd w:val="0"/>
        <w:snapToGrid w:val="0"/>
        <w:spacing w:before="120" w:after="120" w:line="360" w:lineRule="auto"/>
        <w:ind w:left="48" w:firstLine="658"/>
        <w:rPr>
          <w:rFonts w:hint="eastAsia" w:hAnsi="宋体"/>
          <w:sz w:val="24"/>
          <w:szCs w:val="24"/>
          <w:highlight w:val="none"/>
        </w:rPr>
      </w:pPr>
      <w:r>
        <w:rPr>
          <w:rFonts w:hAnsi="宋体"/>
          <w:sz w:val="24"/>
          <w:szCs w:val="24"/>
          <w:highlight w:val="none"/>
        </w:rPr>
        <w:t xml:space="preserve">2.1 </w:t>
      </w:r>
      <w:r>
        <w:rPr>
          <w:rFonts w:hint="eastAsia" w:hAnsi="宋体"/>
          <w:sz w:val="24"/>
          <w:szCs w:val="24"/>
          <w:highlight w:val="none"/>
        </w:rPr>
        <w:t>本合同金额为（大写）：</w:t>
      </w:r>
      <w:r>
        <w:rPr>
          <w:rFonts w:hAnsi="宋体"/>
          <w:sz w:val="24"/>
          <w:szCs w:val="24"/>
          <w:highlight w:val="none"/>
        </w:rPr>
        <w:t>________________________</w:t>
      </w:r>
      <w:r>
        <w:rPr>
          <w:rFonts w:hint="eastAsia" w:hAnsi="宋体"/>
          <w:sz w:val="24"/>
          <w:szCs w:val="24"/>
          <w:highlight w:val="none"/>
        </w:rPr>
        <w:t>元人民币。合同金额为完成本项目</w:t>
      </w:r>
    </w:p>
    <w:p>
      <w:pPr>
        <w:pStyle w:val="10"/>
        <w:adjustRightInd w:val="0"/>
        <w:snapToGrid w:val="0"/>
        <w:spacing w:before="120" w:after="120" w:line="360" w:lineRule="auto"/>
        <w:rPr>
          <w:rFonts w:hAnsi="宋体"/>
          <w:sz w:val="24"/>
          <w:szCs w:val="24"/>
          <w:highlight w:val="none"/>
        </w:rPr>
      </w:pPr>
      <w:r>
        <w:rPr>
          <w:rFonts w:hint="eastAsia" w:hAnsi="宋体"/>
          <w:sz w:val="24"/>
          <w:szCs w:val="24"/>
          <w:highlight w:val="none"/>
        </w:rPr>
        <w:t>所需的全部费用，包括但不限于设计费、印刷费、制作费、人员成本、运输费、装卸费、税金、售后服务等，除此之外，甲方不再向乙方承担其他任何费用支付义务。</w:t>
      </w:r>
    </w:p>
    <w:p>
      <w:pPr>
        <w:pStyle w:val="10"/>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三、技术资料</w:t>
      </w:r>
    </w:p>
    <w:p>
      <w:pPr>
        <w:pStyle w:val="10"/>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3.1</w:t>
      </w:r>
      <w:r>
        <w:rPr>
          <w:rFonts w:hint="eastAsia" w:hAnsi="宋体"/>
          <w:sz w:val="24"/>
          <w:szCs w:val="24"/>
          <w:highlight w:val="none"/>
        </w:rPr>
        <w:t>乙方应按采购文件规定的时间向甲方提供使用货物的有关技术资料。</w:t>
      </w:r>
    </w:p>
    <w:p>
      <w:pPr>
        <w:pStyle w:val="10"/>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3.2 </w:t>
      </w:r>
      <w:r>
        <w:rPr>
          <w:rFonts w:hint="eastAsia" w:hAnsi="宋体"/>
          <w:sz w:val="24"/>
          <w:szCs w:val="24"/>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0"/>
        <w:adjustRightInd w:val="0"/>
        <w:snapToGrid w:val="0"/>
        <w:spacing w:before="120" w:after="120" w:line="360" w:lineRule="auto"/>
        <w:ind w:left="50" w:firstLine="660"/>
        <w:rPr>
          <w:rFonts w:hAnsi="宋体"/>
          <w:b/>
          <w:sz w:val="24"/>
          <w:szCs w:val="24"/>
          <w:highlight w:val="none"/>
        </w:rPr>
      </w:pPr>
      <w:r>
        <w:rPr>
          <w:rFonts w:hint="eastAsia" w:hAnsi="宋体"/>
          <w:b/>
          <w:sz w:val="24"/>
          <w:szCs w:val="24"/>
          <w:highlight w:val="none"/>
        </w:rPr>
        <w:t>四、知识产权</w:t>
      </w:r>
    </w:p>
    <w:p>
      <w:pPr>
        <w:pStyle w:val="10"/>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4.1</w:t>
      </w:r>
      <w:r>
        <w:rPr>
          <w:rFonts w:hint="eastAsia" w:hAnsi="宋体"/>
          <w:sz w:val="24"/>
          <w:szCs w:val="24"/>
          <w:highlight w:val="none"/>
        </w:rPr>
        <w:t>乙方应保证甲方在使用、接受本合同货物和服务或其任何一部分时不受第三方提出侵犯其专利权、版权、商标权和工业设计权等知识产权的起诉。一旦出现侵权，由乙方负全部责任。</w:t>
      </w:r>
    </w:p>
    <w:p>
      <w:pPr>
        <w:pStyle w:val="10"/>
        <w:adjustRightInd w:val="0"/>
        <w:snapToGrid w:val="0"/>
        <w:spacing w:before="120" w:after="120" w:line="360" w:lineRule="auto"/>
        <w:ind w:firstLine="660"/>
        <w:rPr>
          <w:rFonts w:hAnsi="宋体"/>
          <w:sz w:val="24"/>
          <w:szCs w:val="24"/>
          <w:highlight w:val="none"/>
          <w:u w:val="single"/>
        </w:rPr>
      </w:pPr>
      <w:r>
        <w:rPr>
          <w:rFonts w:hint="eastAsia" w:hAnsi="宋体"/>
          <w:b/>
          <w:sz w:val="24"/>
          <w:szCs w:val="24"/>
          <w:highlight w:val="none"/>
        </w:rPr>
        <w:t>五、产权担保</w:t>
      </w:r>
    </w:p>
    <w:p>
      <w:pPr>
        <w:pStyle w:val="10"/>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5.1 </w:t>
      </w:r>
      <w:r>
        <w:rPr>
          <w:rFonts w:hint="eastAsia" w:hAnsi="宋体"/>
          <w:sz w:val="24"/>
          <w:szCs w:val="24"/>
          <w:highlight w:val="none"/>
        </w:rPr>
        <w:t>乙方保证所交付的货物的所有权完全属于乙方且无任何抵押、查封等产权瑕疵。</w:t>
      </w:r>
    </w:p>
    <w:p>
      <w:pPr>
        <w:pStyle w:val="10"/>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六、履约保证金</w:t>
      </w:r>
    </w:p>
    <w:p>
      <w:pPr>
        <w:pStyle w:val="10"/>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6.1 </w:t>
      </w:r>
      <w:r>
        <w:rPr>
          <w:rFonts w:hint="eastAsia" w:hAnsi="宋体"/>
          <w:sz w:val="24"/>
          <w:szCs w:val="24"/>
          <w:highlight w:val="none"/>
        </w:rPr>
        <w:t>乙方交纳人民币</w:t>
      </w:r>
      <w:r>
        <w:rPr>
          <w:rFonts w:hAnsi="宋体"/>
          <w:sz w:val="24"/>
          <w:szCs w:val="24"/>
          <w:highlight w:val="none"/>
        </w:rPr>
        <w:t>_____</w:t>
      </w:r>
      <w:r>
        <w:rPr>
          <w:rFonts w:hint="eastAsia" w:hAnsi="宋体"/>
          <w:sz w:val="24"/>
          <w:szCs w:val="24"/>
          <w:highlight w:val="none"/>
        </w:rPr>
        <w:t>元作为本合同的履约保证金。</w:t>
      </w:r>
    </w:p>
    <w:p>
      <w:pPr>
        <w:adjustRightInd w:val="0"/>
        <w:snapToGrid w:val="0"/>
        <w:spacing w:before="156" w:beforeLines="50" w:after="156" w:afterLines="50" w:line="360" w:lineRule="auto"/>
        <w:ind w:firstLine="480"/>
        <w:rPr>
          <w:rFonts w:ascii="宋体" w:cs="Courier New"/>
          <w:b/>
          <w:sz w:val="24"/>
          <w:highlight w:val="none"/>
        </w:rPr>
      </w:pPr>
      <w:r>
        <w:rPr>
          <w:rFonts w:hint="eastAsia" w:ascii="宋体" w:hAnsi="宋体" w:cs="Courier New"/>
          <w:b/>
          <w:sz w:val="24"/>
          <w:highlight w:val="none"/>
        </w:rPr>
        <w:t>七</w:t>
      </w:r>
      <w:r>
        <w:rPr>
          <w:rFonts w:ascii="宋体" w:cs="Courier New"/>
          <w:b/>
          <w:sz w:val="24"/>
          <w:highlight w:val="none"/>
        </w:rPr>
        <w:t>.</w:t>
      </w:r>
      <w:r>
        <w:rPr>
          <w:rFonts w:hint="eastAsia" w:ascii="宋体" w:hAnsi="宋体" w:cs="Courier New"/>
          <w:b/>
          <w:sz w:val="24"/>
          <w:highlight w:val="none"/>
        </w:rPr>
        <w:t>转包或分包</w:t>
      </w:r>
    </w:p>
    <w:p>
      <w:pPr>
        <w:pStyle w:val="10"/>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7.1</w:t>
      </w:r>
      <w:r>
        <w:rPr>
          <w:rFonts w:hint="eastAsia" w:hAnsi="宋体"/>
          <w:sz w:val="24"/>
          <w:szCs w:val="24"/>
          <w:highlight w:val="none"/>
        </w:rPr>
        <w:t>本合同范围的货物，应由乙方直接供应，不得转让他人供应；</w:t>
      </w:r>
    </w:p>
    <w:p>
      <w:pPr>
        <w:pStyle w:val="10"/>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7.2</w:t>
      </w:r>
      <w:r>
        <w:rPr>
          <w:rFonts w:hint="eastAsia" w:hAnsi="宋体"/>
          <w:sz w:val="24"/>
          <w:szCs w:val="24"/>
          <w:highlight w:val="none"/>
        </w:rPr>
        <w:t>除非得到甲方的书面同意，乙方不得部分分包给他人供应。</w:t>
      </w:r>
    </w:p>
    <w:p>
      <w:pPr>
        <w:pStyle w:val="10"/>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7.3</w:t>
      </w:r>
      <w:r>
        <w:rPr>
          <w:rFonts w:hint="eastAsia" w:hAnsi="宋体"/>
          <w:sz w:val="24"/>
          <w:szCs w:val="24"/>
          <w:highlight w:val="none"/>
        </w:rPr>
        <w:t>如有转让和未经甲方同意的分包行为，甲方有权给予终止合同。</w:t>
      </w:r>
    </w:p>
    <w:p>
      <w:pPr>
        <w:pStyle w:val="10"/>
        <w:adjustRightInd w:val="0"/>
        <w:snapToGrid w:val="0"/>
        <w:spacing w:before="120" w:after="120" w:line="360" w:lineRule="auto"/>
        <w:ind w:firstLine="660"/>
        <w:rPr>
          <w:rFonts w:hAnsi="宋体"/>
          <w:sz w:val="24"/>
          <w:szCs w:val="24"/>
          <w:highlight w:val="none"/>
        </w:rPr>
      </w:pPr>
      <w:r>
        <w:rPr>
          <w:rFonts w:hint="eastAsia" w:hAnsi="宋体"/>
          <w:b/>
          <w:sz w:val="24"/>
          <w:szCs w:val="24"/>
          <w:highlight w:val="none"/>
        </w:rPr>
        <w:t>八、质保期</w:t>
      </w:r>
    </w:p>
    <w:p>
      <w:pPr>
        <w:pStyle w:val="10"/>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8.1</w:t>
      </w:r>
      <w:r>
        <w:rPr>
          <w:rFonts w:hint="eastAsia" w:hAnsi="宋体"/>
          <w:sz w:val="24"/>
          <w:szCs w:val="24"/>
          <w:highlight w:val="none"/>
        </w:rPr>
        <w:t>质保期2年。（自交货验收合格之日起计）</w:t>
      </w:r>
    </w:p>
    <w:p>
      <w:pPr>
        <w:pStyle w:val="10"/>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九、交货期、交货方式及交货地点</w:t>
      </w:r>
    </w:p>
    <w:p>
      <w:pPr>
        <w:pStyle w:val="10"/>
        <w:adjustRightInd w:val="0"/>
        <w:snapToGrid w:val="0"/>
        <w:spacing w:before="120" w:after="120" w:line="360" w:lineRule="auto"/>
        <w:ind w:left="48" w:firstLine="658"/>
        <w:rPr>
          <w:rFonts w:hAnsi="宋体"/>
          <w:sz w:val="24"/>
          <w:szCs w:val="24"/>
          <w:highlight w:val="none"/>
        </w:rPr>
      </w:pPr>
      <w:r>
        <w:rPr>
          <w:rFonts w:hint="eastAsia" w:hAnsi="宋体"/>
          <w:sz w:val="24"/>
          <w:szCs w:val="24"/>
          <w:highlight w:val="none"/>
        </w:rPr>
        <w:t>9.1 交付时间：上半年主要涉及到高水平运动队招生（1-3月份）、综合评价招生（5-6月份）、普通高考招生（6-8月份），以及整个年度各学院会到各个中学做常态化招生宣讲，这些环节中都需要不定期设计和印制招生宣传材料，因此交付时间以及供货分布在整个年度中，需根据甲方规定的时间进行交付（最终以实际需求为准）。</w:t>
      </w:r>
    </w:p>
    <w:p>
      <w:pPr>
        <w:pStyle w:val="10"/>
        <w:adjustRightInd w:val="0"/>
        <w:snapToGrid w:val="0"/>
        <w:spacing w:before="120" w:after="120" w:line="360" w:lineRule="auto"/>
        <w:ind w:left="48" w:firstLine="658"/>
        <w:rPr>
          <w:sz w:val="24"/>
          <w:szCs w:val="24"/>
          <w:highlight w:val="none"/>
        </w:rPr>
      </w:pPr>
      <w:r>
        <w:rPr>
          <w:rFonts w:hAnsi="宋体"/>
          <w:sz w:val="24"/>
          <w:szCs w:val="24"/>
          <w:highlight w:val="none"/>
        </w:rPr>
        <w:t xml:space="preserve">9.2 </w:t>
      </w:r>
      <w:r>
        <w:rPr>
          <w:rFonts w:hint="eastAsia" w:hAnsi="宋体"/>
          <w:sz w:val="24"/>
          <w:szCs w:val="24"/>
          <w:highlight w:val="none"/>
        </w:rPr>
        <w:t>交货方式：</w:t>
      </w:r>
      <w:r>
        <w:rPr>
          <w:rFonts w:hint="eastAsia"/>
          <w:sz w:val="24"/>
          <w:szCs w:val="24"/>
          <w:highlight w:val="none"/>
        </w:rPr>
        <w:t>安排专人免费送货上门，并搬运至指定位置。</w:t>
      </w:r>
    </w:p>
    <w:p>
      <w:pPr>
        <w:pStyle w:val="10"/>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9.3 </w:t>
      </w:r>
      <w:r>
        <w:rPr>
          <w:rFonts w:hint="eastAsia" w:hAnsi="宋体"/>
          <w:sz w:val="24"/>
          <w:szCs w:val="24"/>
          <w:highlight w:val="none"/>
        </w:rPr>
        <w:t>交货地点：按照甲方要求配送到指定位置（一般是学校各学院办公地点）。</w:t>
      </w:r>
    </w:p>
    <w:p>
      <w:pPr>
        <w:pStyle w:val="10"/>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十、货款支付</w:t>
      </w:r>
    </w:p>
    <w:p>
      <w:pPr>
        <w:spacing w:line="360" w:lineRule="auto"/>
        <w:ind w:firstLine="470" w:firstLineChars="196"/>
        <w:rPr>
          <w:rFonts w:ascii="宋体" w:hAnsi="宋体"/>
          <w:b/>
          <w:sz w:val="24"/>
          <w:highlight w:val="none"/>
        </w:rPr>
      </w:pPr>
      <w:r>
        <w:rPr>
          <w:rFonts w:hAnsi="宋体"/>
          <w:sz w:val="24"/>
          <w:highlight w:val="none"/>
        </w:rPr>
        <w:t>10.1</w:t>
      </w:r>
      <w:r>
        <w:rPr>
          <w:rFonts w:hint="eastAsia" w:hAnsi="宋体"/>
          <w:sz w:val="24"/>
          <w:highlight w:val="none"/>
        </w:rPr>
        <w:t>付款方式：</w:t>
      </w:r>
      <w:r>
        <w:rPr>
          <w:rFonts w:hint="eastAsia" w:ascii="宋体" w:hAnsi="宋体"/>
          <w:sz w:val="24"/>
          <w:highlight w:val="none"/>
        </w:rPr>
        <w:t>乙方所供的印刷、设计、制作服务工作全部结束，经甲方验收合格后，提供全额税务发票，凭最终签字和盖章的验收合格报告，一次性支付合同总价。</w:t>
      </w:r>
    </w:p>
    <w:p>
      <w:pPr>
        <w:ind w:firstLine="482" w:firstLineChars="200"/>
        <w:rPr>
          <w:rFonts w:ascii="宋体"/>
          <w:b/>
          <w:sz w:val="24"/>
          <w:highlight w:val="none"/>
        </w:rPr>
      </w:pPr>
      <w:r>
        <w:rPr>
          <w:rFonts w:hint="eastAsia" w:ascii="宋体" w:hAnsi="宋体"/>
          <w:b/>
          <w:sz w:val="24"/>
          <w:highlight w:val="none"/>
        </w:rPr>
        <w:t>十一、税</w:t>
      </w:r>
    </w:p>
    <w:p>
      <w:pPr>
        <w:pStyle w:val="10"/>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11.1</w:t>
      </w:r>
      <w:r>
        <w:rPr>
          <w:rFonts w:hint="eastAsia" w:hAnsi="宋体"/>
          <w:sz w:val="24"/>
          <w:szCs w:val="24"/>
          <w:highlight w:val="none"/>
        </w:rPr>
        <w:t>发票要求：针对国内供货的货物，乙方开具合同全额“增值税专用发票”。</w:t>
      </w:r>
    </w:p>
    <w:p>
      <w:pPr>
        <w:pStyle w:val="10"/>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11.2</w:t>
      </w:r>
      <w:r>
        <w:rPr>
          <w:rFonts w:hint="eastAsia" w:hAnsi="宋体"/>
          <w:sz w:val="24"/>
          <w:szCs w:val="24"/>
          <w:highlight w:val="none"/>
        </w:rPr>
        <w:t>本合同执行中相关的一切税费均由乙方负担。</w:t>
      </w:r>
    </w:p>
    <w:p>
      <w:pPr>
        <w:pStyle w:val="10"/>
        <w:adjustRightInd w:val="0"/>
        <w:snapToGrid w:val="0"/>
        <w:spacing w:before="120" w:after="120" w:line="360" w:lineRule="auto"/>
        <w:ind w:left="1" w:firstLine="660"/>
        <w:rPr>
          <w:rFonts w:hAnsi="宋体"/>
          <w:sz w:val="24"/>
          <w:szCs w:val="24"/>
          <w:highlight w:val="none"/>
        </w:rPr>
      </w:pPr>
      <w:r>
        <w:rPr>
          <w:rFonts w:hint="eastAsia" w:hAnsi="宋体"/>
          <w:b/>
          <w:sz w:val="24"/>
          <w:szCs w:val="24"/>
          <w:highlight w:val="none"/>
        </w:rPr>
        <w:t>十二、质量保证及售后服务</w:t>
      </w:r>
    </w:p>
    <w:p>
      <w:pPr>
        <w:pStyle w:val="10"/>
        <w:adjustRightInd w:val="0"/>
        <w:snapToGrid w:val="0"/>
        <w:spacing w:before="120" w:after="120" w:line="360" w:lineRule="auto"/>
        <w:ind w:left="48" w:firstLine="658"/>
        <w:rPr>
          <w:rFonts w:hint="eastAsia" w:hAnsi="宋体"/>
          <w:sz w:val="24"/>
          <w:szCs w:val="24"/>
          <w:highlight w:val="none"/>
        </w:rPr>
      </w:pPr>
      <w:r>
        <w:rPr>
          <w:rFonts w:hAnsi="宋体"/>
          <w:sz w:val="24"/>
          <w:szCs w:val="24"/>
          <w:highlight w:val="none"/>
        </w:rPr>
        <w:t xml:space="preserve">12.1 </w:t>
      </w:r>
      <w:r>
        <w:rPr>
          <w:rFonts w:hint="eastAsia" w:hAnsi="宋体"/>
          <w:sz w:val="24"/>
          <w:szCs w:val="24"/>
          <w:highlight w:val="none"/>
        </w:rPr>
        <w:t>乙方应按采购文件规定的货物性能、技术要求、质量标准向甲方提供未经使用的全新产品。</w:t>
      </w:r>
    </w:p>
    <w:p>
      <w:pPr>
        <w:pStyle w:val="10"/>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12.2 </w:t>
      </w:r>
      <w:r>
        <w:rPr>
          <w:rFonts w:hint="eastAsia" w:hAnsi="宋体"/>
          <w:sz w:val="24"/>
          <w:szCs w:val="24"/>
          <w:highlight w:val="none"/>
        </w:rPr>
        <w:t>乙方提供的货物在质量期内因货物本身的质量问题发生故障，乙方应负责免费更换。对达不到技术要求者，根据实际情况，经双方协商，可按以下办法处理：</w:t>
      </w:r>
    </w:p>
    <w:p>
      <w:pPr>
        <w:adjustRightInd w:val="0"/>
        <w:snapToGrid w:val="0"/>
        <w:spacing w:line="360" w:lineRule="auto"/>
        <w:ind w:firstLine="360" w:firstLineChars="150"/>
        <w:rPr>
          <w:sz w:val="24"/>
          <w:highlight w:val="none"/>
        </w:rPr>
      </w:pPr>
      <w:r>
        <w:rPr>
          <w:rFonts w:hint="eastAsia"/>
          <w:sz w:val="24"/>
          <w:highlight w:val="none"/>
        </w:rPr>
        <w:t>（</w:t>
      </w:r>
      <w:r>
        <w:rPr>
          <w:sz w:val="24"/>
          <w:highlight w:val="none"/>
        </w:rPr>
        <w:t>1</w:t>
      </w:r>
      <w:r>
        <w:rPr>
          <w:rFonts w:hint="eastAsia"/>
          <w:sz w:val="24"/>
          <w:highlight w:val="none"/>
        </w:rPr>
        <w:t>）更换：由乙方承担所发生的全部费用。</w:t>
      </w:r>
    </w:p>
    <w:p>
      <w:pPr>
        <w:adjustRightInd w:val="0"/>
        <w:snapToGrid w:val="0"/>
        <w:spacing w:line="360" w:lineRule="auto"/>
        <w:ind w:firstLine="360" w:firstLineChars="150"/>
        <w:rPr>
          <w:sz w:val="24"/>
          <w:highlight w:val="none"/>
        </w:rPr>
      </w:pPr>
      <w:r>
        <w:rPr>
          <w:rFonts w:hint="eastAsia"/>
          <w:sz w:val="24"/>
          <w:highlight w:val="none"/>
        </w:rPr>
        <w:t>（</w:t>
      </w:r>
      <w:r>
        <w:rPr>
          <w:sz w:val="24"/>
          <w:highlight w:val="none"/>
        </w:rPr>
        <w:t>2</w:t>
      </w:r>
      <w:r>
        <w:rPr>
          <w:rFonts w:hint="eastAsia"/>
          <w:sz w:val="24"/>
          <w:highlight w:val="none"/>
        </w:rPr>
        <w:t>）贬值处理：由甲乙双方合议定价。</w:t>
      </w:r>
    </w:p>
    <w:p>
      <w:pPr>
        <w:adjustRightInd w:val="0"/>
        <w:snapToGrid w:val="0"/>
        <w:spacing w:line="360" w:lineRule="auto"/>
        <w:ind w:firstLine="360" w:firstLineChars="150"/>
        <w:rPr>
          <w:sz w:val="24"/>
          <w:highlight w:val="none"/>
        </w:rPr>
      </w:pPr>
      <w:r>
        <w:rPr>
          <w:rFonts w:hint="eastAsia"/>
          <w:sz w:val="24"/>
          <w:highlight w:val="none"/>
        </w:rPr>
        <w:t>（</w:t>
      </w:r>
      <w:r>
        <w:rPr>
          <w:sz w:val="24"/>
          <w:highlight w:val="none"/>
        </w:rPr>
        <w:t>3</w:t>
      </w:r>
      <w:r>
        <w:rPr>
          <w:rFonts w:hint="eastAsia"/>
          <w:sz w:val="24"/>
          <w:highlight w:val="none"/>
        </w:rPr>
        <w:t>）退货处理：乙方应退还甲方支付的合同款，同时应承担该货物的直接费用（运输、保险、检验、货款利息及银行手续费等）。</w:t>
      </w:r>
    </w:p>
    <w:p>
      <w:pPr>
        <w:pStyle w:val="10"/>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12.3 </w:t>
      </w:r>
      <w:r>
        <w:rPr>
          <w:rFonts w:hint="eastAsia" w:hAnsi="宋体"/>
          <w:sz w:val="24"/>
          <w:szCs w:val="24"/>
          <w:highlight w:val="none"/>
        </w:rPr>
        <w:t>如在使用过程中发生质量问题，乙方在接到甲方通知后在小时内到达甲方现场。</w:t>
      </w:r>
    </w:p>
    <w:p>
      <w:pPr>
        <w:pStyle w:val="10"/>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12.4 </w:t>
      </w:r>
      <w:r>
        <w:rPr>
          <w:rFonts w:hint="eastAsia" w:hAnsi="宋体"/>
          <w:sz w:val="24"/>
          <w:szCs w:val="24"/>
          <w:highlight w:val="none"/>
        </w:rPr>
        <w:t>在质保期内，乙方应对货物出现的质量及安全问题负责处理解决并承担一切费用。</w:t>
      </w:r>
    </w:p>
    <w:p>
      <w:pPr>
        <w:pStyle w:val="10"/>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12.5</w:t>
      </w:r>
      <w:r>
        <w:rPr>
          <w:rFonts w:hint="eastAsia" w:hAnsi="宋体"/>
          <w:sz w:val="24"/>
          <w:szCs w:val="24"/>
          <w:highlight w:val="none"/>
        </w:rPr>
        <w:t>上述的货物免费保修期为</w:t>
      </w:r>
      <w:r>
        <w:rPr>
          <w:rFonts w:hint="eastAsia" w:hAnsi="宋体"/>
          <w:sz w:val="24"/>
          <w:szCs w:val="24"/>
          <w:highlight w:val="none"/>
          <w:u w:val="single"/>
        </w:rPr>
        <w:t xml:space="preserve">   </w:t>
      </w:r>
      <w:r>
        <w:rPr>
          <w:rFonts w:hint="eastAsia" w:hAnsi="宋体"/>
          <w:sz w:val="24"/>
          <w:szCs w:val="24"/>
          <w:highlight w:val="none"/>
        </w:rPr>
        <w:t>年，因人为因素出现的故障不在免费保修范围内。超过保修期的机器设备，终生维修，维修时只收部件成本费。</w:t>
      </w:r>
    </w:p>
    <w:p>
      <w:pPr>
        <w:pStyle w:val="10"/>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十三、调试和验收</w:t>
      </w:r>
    </w:p>
    <w:p>
      <w:pPr>
        <w:pStyle w:val="10"/>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13.1 </w:t>
      </w:r>
      <w:r>
        <w:rPr>
          <w:rFonts w:hint="eastAsia" w:hAnsi="宋体"/>
          <w:sz w:val="24"/>
          <w:szCs w:val="24"/>
          <w:highlight w:val="none"/>
        </w:rPr>
        <w:t>甲方对乙方提交的货物依据采购文件上的技术规格要求和国家有关质量标准进行现场初步验收，外观、说明书符合采购文件技术要求的，给予签收，初步验收不合格的不予签收。</w:t>
      </w:r>
    </w:p>
    <w:p>
      <w:pPr>
        <w:pStyle w:val="10"/>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13.2 </w:t>
      </w:r>
      <w:r>
        <w:rPr>
          <w:rFonts w:hint="eastAsia" w:hAnsi="宋体"/>
          <w:sz w:val="24"/>
          <w:szCs w:val="24"/>
          <w:highlight w:val="none"/>
        </w:rPr>
        <w:t>乙方交货前应对产品作出全面检查和对验收文件进行整理，并列出清单，作为甲方收货验收和使用的技术条件依据，检验的结果应随货物交甲方。</w:t>
      </w:r>
    </w:p>
    <w:p>
      <w:pPr>
        <w:pStyle w:val="10"/>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13.3 </w:t>
      </w:r>
      <w:r>
        <w:rPr>
          <w:rFonts w:hint="eastAsia" w:hAnsi="宋体"/>
          <w:sz w:val="24"/>
          <w:szCs w:val="24"/>
          <w:highlight w:val="none"/>
        </w:rPr>
        <w:t>甲方对乙方提供的货物在使用前进行调试时，乙方需负责安装并培训甲方的使用操作人员，并协助甲方一起调试，直到符合技术要求，甲方才做最终验收。</w:t>
      </w:r>
    </w:p>
    <w:p>
      <w:pPr>
        <w:pStyle w:val="10"/>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13.4 </w:t>
      </w:r>
      <w:r>
        <w:rPr>
          <w:rFonts w:hint="eastAsia" w:hAnsi="宋体"/>
          <w:sz w:val="24"/>
          <w:szCs w:val="24"/>
          <w:highlight w:val="none"/>
        </w:rPr>
        <w:t>对技术复杂的货物，甲方可请国家认可的专业检测机构参与初步验收及最终验收，并由其出具质量检测报告。</w:t>
      </w:r>
    </w:p>
    <w:p>
      <w:pPr>
        <w:pStyle w:val="10"/>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13.5 </w:t>
      </w:r>
      <w:r>
        <w:rPr>
          <w:rFonts w:hint="eastAsia" w:hAnsi="宋体"/>
          <w:sz w:val="24"/>
          <w:szCs w:val="24"/>
          <w:highlight w:val="none"/>
        </w:rPr>
        <w:t>验收时乙方必须在现场，验收完毕后作出验收结果报告，验收报告须经甲方最终用户签字和部门盖章。</w:t>
      </w:r>
    </w:p>
    <w:p>
      <w:pPr>
        <w:pStyle w:val="10"/>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十四、货物包装、发运及运输</w:t>
      </w:r>
    </w:p>
    <w:p>
      <w:pPr>
        <w:pStyle w:val="10"/>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14.1 </w:t>
      </w:r>
      <w:r>
        <w:rPr>
          <w:rFonts w:hint="eastAsia" w:hAnsi="宋体"/>
          <w:sz w:val="24"/>
          <w:szCs w:val="24"/>
          <w:highlight w:val="none"/>
        </w:rPr>
        <w:t>乙方应在货物发运前对其进行满足运输距离、防潮、防震、防锈和防破损装卸等要求包装，以保证货物安全运达甲方指定地点。</w:t>
      </w:r>
    </w:p>
    <w:p>
      <w:pPr>
        <w:pStyle w:val="10"/>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14.2 </w:t>
      </w:r>
      <w:r>
        <w:rPr>
          <w:rFonts w:hint="eastAsia" w:hAnsi="宋体"/>
          <w:sz w:val="24"/>
          <w:szCs w:val="24"/>
          <w:highlight w:val="none"/>
        </w:rPr>
        <w:t>使用说明书、质量检验证明书、随配附件和工具以及清单一并附于货物内。</w:t>
      </w:r>
    </w:p>
    <w:p>
      <w:pPr>
        <w:pStyle w:val="10"/>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14.3 </w:t>
      </w:r>
      <w:r>
        <w:rPr>
          <w:rFonts w:hint="eastAsia" w:hAnsi="宋体"/>
          <w:sz w:val="24"/>
          <w:szCs w:val="24"/>
          <w:highlight w:val="none"/>
        </w:rPr>
        <w:t>乙方在货物发运手续办理完毕后</w:t>
      </w:r>
      <w:r>
        <w:rPr>
          <w:rFonts w:hAnsi="宋体"/>
          <w:sz w:val="24"/>
          <w:szCs w:val="24"/>
          <w:highlight w:val="none"/>
        </w:rPr>
        <w:t>24</w:t>
      </w:r>
      <w:r>
        <w:rPr>
          <w:rFonts w:hint="eastAsia" w:hAnsi="宋体"/>
          <w:sz w:val="24"/>
          <w:szCs w:val="24"/>
          <w:highlight w:val="none"/>
        </w:rPr>
        <w:t>小时内或货到甲方</w:t>
      </w:r>
      <w:r>
        <w:rPr>
          <w:rFonts w:hAnsi="宋体"/>
          <w:sz w:val="24"/>
          <w:szCs w:val="24"/>
          <w:highlight w:val="none"/>
        </w:rPr>
        <w:t>48</w:t>
      </w:r>
      <w:r>
        <w:rPr>
          <w:rFonts w:hint="eastAsia" w:hAnsi="宋体"/>
          <w:sz w:val="24"/>
          <w:szCs w:val="24"/>
          <w:highlight w:val="none"/>
        </w:rPr>
        <w:t>小时前通知甲方，以准备接货。</w:t>
      </w:r>
    </w:p>
    <w:p>
      <w:pPr>
        <w:pStyle w:val="10"/>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14.4 </w:t>
      </w:r>
      <w:r>
        <w:rPr>
          <w:rFonts w:hint="eastAsia" w:hAnsi="宋体"/>
          <w:sz w:val="24"/>
          <w:szCs w:val="24"/>
          <w:highlight w:val="none"/>
        </w:rPr>
        <w:t>货物在交付甲方前发生的风险均由乙方负责。</w:t>
      </w:r>
    </w:p>
    <w:p>
      <w:pPr>
        <w:pStyle w:val="10"/>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14.5 </w:t>
      </w:r>
      <w:r>
        <w:rPr>
          <w:rFonts w:hint="eastAsia" w:hAnsi="宋体"/>
          <w:sz w:val="24"/>
          <w:szCs w:val="24"/>
          <w:highlight w:val="none"/>
        </w:rPr>
        <w:t>货物在规定的交付期限内由乙方送达甲方指定的地点并经甲方验收合格视为交付，乙方同时需通知甲方货物已送达。</w:t>
      </w:r>
    </w:p>
    <w:p>
      <w:pPr>
        <w:pStyle w:val="10"/>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十五、违约责任</w:t>
      </w:r>
    </w:p>
    <w:p>
      <w:pPr>
        <w:pStyle w:val="10"/>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15.1</w:t>
      </w:r>
      <w:r>
        <w:rPr>
          <w:rFonts w:hint="eastAsia" w:hAnsi="宋体"/>
          <w:sz w:val="24"/>
          <w:szCs w:val="24"/>
          <w:highlight w:val="none"/>
        </w:rPr>
        <w:t>乙方逾期交付货物的，乙方应按逾期交货总额每日千分之六向甲方支付违约金，由甲方从待付货款中扣除。逾期超过约定日期</w:t>
      </w:r>
      <w:r>
        <w:rPr>
          <w:rFonts w:hAnsi="宋体"/>
          <w:sz w:val="24"/>
          <w:szCs w:val="24"/>
          <w:highlight w:val="none"/>
        </w:rPr>
        <w:t>10</w:t>
      </w:r>
      <w:r>
        <w:rPr>
          <w:rFonts w:hint="eastAsia" w:hAnsi="宋体"/>
          <w:sz w:val="24"/>
          <w:szCs w:val="24"/>
          <w:highlight w:val="none"/>
        </w:rPr>
        <w:t>个工作日不能交货的，甲方可解除本合同。乙方因逾期交货或因其他违约行为导致甲方解除合同的，乙方应向甲方支付合同总值</w:t>
      </w:r>
      <w:r>
        <w:rPr>
          <w:rFonts w:hAnsi="宋体"/>
          <w:sz w:val="24"/>
          <w:szCs w:val="24"/>
          <w:highlight w:val="none"/>
        </w:rPr>
        <w:t>5%</w:t>
      </w:r>
      <w:r>
        <w:rPr>
          <w:rFonts w:hint="eastAsia" w:hAnsi="宋体"/>
          <w:sz w:val="24"/>
          <w:szCs w:val="24"/>
          <w:highlight w:val="none"/>
        </w:rPr>
        <w:t>的违约金，如造成甲方损失超过违约金的，超出部分由乙方继续承担赔偿责任。</w:t>
      </w:r>
    </w:p>
    <w:p>
      <w:pPr>
        <w:pStyle w:val="10"/>
        <w:adjustRightInd w:val="0"/>
        <w:snapToGrid w:val="0"/>
        <w:spacing w:before="120" w:after="120" w:line="360" w:lineRule="auto"/>
        <w:ind w:firstLine="658"/>
        <w:rPr>
          <w:rFonts w:hAnsi="宋体"/>
          <w:sz w:val="24"/>
          <w:szCs w:val="24"/>
          <w:highlight w:val="none"/>
        </w:rPr>
      </w:pPr>
      <w:r>
        <w:rPr>
          <w:rFonts w:hAnsi="宋体"/>
          <w:sz w:val="24"/>
          <w:szCs w:val="24"/>
          <w:highlight w:val="none"/>
        </w:rPr>
        <w:t>15.2</w:t>
      </w:r>
      <w:r>
        <w:rPr>
          <w:rFonts w:hint="eastAsia" w:hAnsi="宋体"/>
          <w:sz w:val="24"/>
          <w:szCs w:val="24"/>
          <w:highlight w:val="none"/>
        </w:rPr>
        <w:t>乙方所交的货物品种、型号、规格、技术参数、质量不符合合同规定及采购文件规定标准的，甲方有权拒收该货物，乙方愿意更换货物但逾期交货的，按乙方逾期交货处理。乙方拒绝更换货物的，甲方可单方面解除合同。</w:t>
      </w:r>
    </w:p>
    <w:p>
      <w:pPr>
        <w:pStyle w:val="10"/>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十六、廉政条款</w:t>
      </w:r>
    </w:p>
    <w:p>
      <w:pPr>
        <w:pStyle w:val="10"/>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16.1</w:t>
      </w:r>
      <w:r>
        <w:rPr>
          <w:rFonts w:hint="eastAsia" w:hAnsi="宋体"/>
          <w:sz w:val="24"/>
          <w:szCs w:val="24"/>
          <w:highlight w:val="none"/>
        </w:rPr>
        <w:t>乙方必须支持甲方的廉政建设，不得向甲方相关人员提供金钱和物质上的好处，一经发现处以合同金额</w:t>
      </w:r>
      <w:r>
        <w:rPr>
          <w:rFonts w:hAnsi="宋体"/>
          <w:sz w:val="24"/>
          <w:szCs w:val="24"/>
          <w:highlight w:val="none"/>
        </w:rPr>
        <w:t>20%</w:t>
      </w:r>
      <w:r>
        <w:rPr>
          <w:rFonts w:hint="eastAsia" w:hAnsi="宋体"/>
          <w:sz w:val="24"/>
          <w:szCs w:val="24"/>
          <w:highlight w:val="none"/>
        </w:rPr>
        <w:t>的罚款。</w:t>
      </w:r>
    </w:p>
    <w:p>
      <w:pPr>
        <w:pStyle w:val="10"/>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十七、不可抗力事件处理</w:t>
      </w:r>
    </w:p>
    <w:p>
      <w:pPr>
        <w:pStyle w:val="10"/>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 xml:space="preserve">17.1 </w:t>
      </w:r>
      <w:r>
        <w:rPr>
          <w:rFonts w:hint="eastAsia" w:hAnsi="宋体"/>
          <w:sz w:val="24"/>
          <w:szCs w:val="24"/>
          <w:highlight w:val="none"/>
        </w:rPr>
        <w:t>在合同有效期内，任何一方因不可抗力事件导致不能履行合同，则合同履行期可延长，其延长期与不可抗力影响期相同。</w:t>
      </w:r>
    </w:p>
    <w:p>
      <w:pPr>
        <w:pStyle w:val="10"/>
        <w:adjustRightInd w:val="0"/>
        <w:snapToGrid w:val="0"/>
        <w:spacing w:before="120" w:after="120" w:line="360" w:lineRule="auto"/>
        <w:ind w:firstLine="658"/>
        <w:rPr>
          <w:rFonts w:hAnsi="宋体"/>
          <w:sz w:val="24"/>
          <w:szCs w:val="24"/>
          <w:highlight w:val="none"/>
        </w:rPr>
      </w:pPr>
      <w:r>
        <w:rPr>
          <w:rFonts w:hAnsi="宋体"/>
          <w:sz w:val="24"/>
          <w:szCs w:val="24"/>
          <w:highlight w:val="none"/>
        </w:rPr>
        <w:t xml:space="preserve">17.2 </w:t>
      </w:r>
      <w:r>
        <w:rPr>
          <w:rFonts w:hint="eastAsia" w:hAnsi="宋体"/>
          <w:sz w:val="24"/>
          <w:szCs w:val="24"/>
          <w:highlight w:val="none"/>
        </w:rPr>
        <w:t>不可抗力事件发生后，应立即通知对方，并寄送有关权威机构出具的证明。</w:t>
      </w:r>
    </w:p>
    <w:p>
      <w:pPr>
        <w:pStyle w:val="10"/>
        <w:adjustRightInd w:val="0"/>
        <w:snapToGrid w:val="0"/>
        <w:spacing w:before="120" w:after="120" w:line="360" w:lineRule="auto"/>
        <w:ind w:firstLine="658"/>
        <w:rPr>
          <w:rFonts w:hAnsi="宋体"/>
          <w:sz w:val="24"/>
          <w:szCs w:val="24"/>
          <w:highlight w:val="none"/>
        </w:rPr>
      </w:pPr>
      <w:r>
        <w:rPr>
          <w:rFonts w:hAnsi="宋体"/>
          <w:sz w:val="24"/>
          <w:szCs w:val="24"/>
          <w:highlight w:val="none"/>
        </w:rPr>
        <w:t xml:space="preserve">17.3 </w:t>
      </w:r>
      <w:r>
        <w:rPr>
          <w:rFonts w:hint="eastAsia" w:hAnsi="宋体"/>
          <w:sz w:val="24"/>
          <w:szCs w:val="24"/>
          <w:highlight w:val="none"/>
        </w:rPr>
        <w:t>不可抗力事件延续</w:t>
      </w:r>
      <w:r>
        <w:rPr>
          <w:rFonts w:hAnsi="宋体"/>
          <w:sz w:val="24"/>
          <w:szCs w:val="24"/>
          <w:highlight w:val="none"/>
        </w:rPr>
        <w:t>30</w:t>
      </w:r>
      <w:r>
        <w:rPr>
          <w:rFonts w:hint="eastAsia" w:hAnsi="宋体"/>
          <w:sz w:val="24"/>
          <w:szCs w:val="24"/>
          <w:highlight w:val="none"/>
        </w:rPr>
        <w:t>天以上，双方应通过友好协商，确定是否继续履行合同。</w:t>
      </w:r>
    </w:p>
    <w:p>
      <w:pPr>
        <w:pStyle w:val="10"/>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十八、诉讼</w:t>
      </w:r>
    </w:p>
    <w:p>
      <w:pPr>
        <w:pStyle w:val="10"/>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 xml:space="preserve">18.1 </w:t>
      </w:r>
      <w:r>
        <w:rPr>
          <w:rFonts w:hint="eastAsia" w:hAnsi="宋体"/>
          <w:sz w:val="24"/>
          <w:szCs w:val="24"/>
          <w:highlight w:val="none"/>
        </w:rPr>
        <w:t>双方在执行合同中所发生的一切争议，应通过协商解决。如协商不成，可向合同签订地法院起诉，合同签订地在此约定为南京市。</w:t>
      </w:r>
    </w:p>
    <w:p>
      <w:pPr>
        <w:pStyle w:val="10"/>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十九、合同文件的优先顺序</w:t>
      </w:r>
      <w:r>
        <w:rPr>
          <w:rFonts w:hint="eastAsia" w:hAnsi="宋体"/>
          <w:sz w:val="24"/>
          <w:szCs w:val="24"/>
          <w:highlight w:val="none"/>
        </w:rPr>
        <w:t xml:space="preserve"> </w:t>
      </w:r>
    </w:p>
    <w:p>
      <w:pPr>
        <w:pStyle w:val="10"/>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 xml:space="preserve">组成合同的各项文件应互相解释，互为说明。除专用合同条款另有约定外，解释合同文件的优先顺序如下： </w:t>
      </w:r>
    </w:p>
    <w:p>
      <w:pPr>
        <w:pStyle w:val="10"/>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 xml:space="preserve">（1）合同协议书； </w:t>
      </w:r>
    </w:p>
    <w:p>
      <w:pPr>
        <w:pStyle w:val="10"/>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（2）中标通知书；</w:t>
      </w:r>
    </w:p>
    <w:p>
      <w:pPr>
        <w:pStyle w:val="10"/>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（3）招标文件；</w:t>
      </w:r>
    </w:p>
    <w:p>
      <w:pPr>
        <w:pStyle w:val="10"/>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（4）投标函及其附录（如果有）；</w:t>
      </w:r>
    </w:p>
    <w:p>
      <w:pPr>
        <w:pStyle w:val="10"/>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（5）专用合同条款及其附件；</w:t>
      </w:r>
    </w:p>
    <w:p>
      <w:pPr>
        <w:pStyle w:val="10"/>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 xml:space="preserve">（6）通用合同条款； </w:t>
      </w:r>
    </w:p>
    <w:p>
      <w:pPr>
        <w:pStyle w:val="10"/>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（7）技术标准和要求；</w:t>
      </w:r>
    </w:p>
    <w:p>
      <w:pPr>
        <w:pStyle w:val="10"/>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（8）其他合同文件。</w:t>
      </w:r>
    </w:p>
    <w:p>
      <w:pPr>
        <w:pStyle w:val="10"/>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二十、合同生效及其它</w:t>
      </w:r>
    </w:p>
    <w:p>
      <w:pPr>
        <w:pStyle w:val="10"/>
        <w:adjustRightInd w:val="0"/>
        <w:snapToGrid w:val="0"/>
        <w:spacing w:before="120" w:after="120" w:line="360" w:lineRule="auto"/>
        <w:ind w:firstLine="658"/>
        <w:rPr>
          <w:rFonts w:hAnsi="宋体"/>
          <w:sz w:val="24"/>
          <w:szCs w:val="24"/>
          <w:highlight w:val="none"/>
        </w:rPr>
      </w:pPr>
      <w:r>
        <w:rPr>
          <w:rFonts w:hAnsi="宋体"/>
          <w:sz w:val="24"/>
          <w:szCs w:val="24"/>
          <w:highlight w:val="none"/>
        </w:rPr>
        <w:t xml:space="preserve">19.1 </w:t>
      </w:r>
      <w:r>
        <w:rPr>
          <w:rFonts w:hint="eastAsia" w:hAnsi="宋体"/>
          <w:sz w:val="24"/>
          <w:szCs w:val="24"/>
          <w:highlight w:val="none"/>
        </w:rPr>
        <w:t>合同经双方法定代表人或授权委托代表人签字并加盖单位公章后生效。</w:t>
      </w:r>
    </w:p>
    <w:p>
      <w:pPr>
        <w:pStyle w:val="10"/>
        <w:adjustRightInd w:val="0"/>
        <w:snapToGrid w:val="0"/>
        <w:spacing w:before="120" w:after="120" w:line="360" w:lineRule="auto"/>
        <w:ind w:firstLine="658"/>
        <w:rPr>
          <w:rFonts w:hAnsi="宋体"/>
          <w:sz w:val="24"/>
          <w:szCs w:val="24"/>
          <w:highlight w:val="none"/>
        </w:rPr>
      </w:pPr>
      <w:r>
        <w:rPr>
          <w:rFonts w:hAnsi="宋体"/>
          <w:sz w:val="24"/>
          <w:szCs w:val="24"/>
          <w:highlight w:val="none"/>
        </w:rPr>
        <w:t>19.2</w:t>
      </w:r>
      <w:r>
        <w:rPr>
          <w:rFonts w:hint="eastAsia" w:hAnsi="宋体"/>
          <w:sz w:val="24"/>
          <w:szCs w:val="24"/>
          <w:highlight w:val="none"/>
        </w:rPr>
        <w:t>本合同未尽事宜，遵照《</w:t>
      </w:r>
      <w:r>
        <w:rPr>
          <w:rFonts w:hint="eastAsia" w:hAnsi="宋体"/>
          <w:sz w:val="24"/>
          <w:szCs w:val="24"/>
          <w:highlight w:val="none"/>
          <w:lang w:eastAsia="zh-CN"/>
        </w:rPr>
        <w:t>民法典</w:t>
      </w:r>
      <w:r>
        <w:rPr>
          <w:rFonts w:hint="eastAsia" w:hAnsi="宋体"/>
          <w:sz w:val="24"/>
          <w:szCs w:val="24"/>
          <w:highlight w:val="none"/>
        </w:rPr>
        <w:t>》有关条文执行。</w:t>
      </w:r>
    </w:p>
    <w:p>
      <w:pPr>
        <w:pStyle w:val="10"/>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 xml:space="preserve">19.3 </w:t>
      </w:r>
      <w:r>
        <w:rPr>
          <w:rFonts w:hint="eastAsia" w:hAnsi="宋体"/>
          <w:sz w:val="24"/>
          <w:szCs w:val="24"/>
          <w:highlight w:val="none"/>
        </w:rPr>
        <w:t>本合同正本一式四份，具有同等法律效力，甲方、乙方各执两份。</w:t>
      </w:r>
    </w:p>
    <w:p>
      <w:pPr>
        <w:pStyle w:val="10"/>
        <w:adjustRightInd w:val="0"/>
        <w:snapToGrid w:val="0"/>
        <w:spacing w:before="120" w:after="120" w:line="360" w:lineRule="auto"/>
        <w:ind w:left="420" w:leftChars="200" w:firstLine="240" w:firstLineChars="100"/>
        <w:rPr>
          <w:rFonts w:hAnsi="宋体"/>
          <w:sz w:val="24"/>
          <w:szCs w:val="24"/>
          <w:highlight w:val="none"/>
        </w:rPr>
      </w:pPr>
      <w:r>
        <w:rPr>
          <w:rFonts w:hint="eastAsia" w:hAnsi="宋体"/>
          <w:sz w:val="24"/>
          <w:szCs w:val="24"/>
          <w:highlight w:val="none"/>
        </w:rPr>
        <w:t>甲方：乙方：</w:t>
      </w:r>
    </w:p>
    <w:p>
      <w:pPr>
        <w:pStyle w:val="10"/>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地址：地址：</w:t>
      </w:r>
    </w:p>
    <w:p>
      <w:pPr>
        <w:pStyle w:val="10"/>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法定代表人或授权代表：</w:t>
      </w:r>
    </w:p>
    <w:p>
      <w:pPr>
        <w:pStyle w:val="10"/>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项目负责人</w:t>
      </w:r>
      <w:r>
        <w:rPr>
          <w:rFonts w:hAnsi="宋体"/>
          <w:sz w:val="24"/>
          <w:szCs w:val="24"/>
          <w:highlight w:val="none"/>
        </w:rPr>
        <w:t xml:space="preserve">:                              </w:t>
      </w:r>
      <w:r>
        <w:rPr>
          <w:rFonts w:hint="eastAsia" w:hAnsi="宋体"/>
          <w:sz w:val="24"/>
          <w:szCs w:val="24"/>
          <w:highlight w:val="none"/>
        </w:rPr>
        <w:t>法定代表人或授权代表：</w:t>
      </w:r>
    </w:p>
    <w:p>
      <w:pPr>
        <w:pStyle w:val="10"/>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项目联系人</w:t>
      </w:r>
      <w:r>
        <w:rPr>
          <w:rFonts w:hAnsi="宋体"/>
          <w:sz w:val="24"/>
          <w:szCs w:val="24"/>
          <w:highlight w:val="none"/>
        </w:rPr>
        <w:t>:</w:t>
      </w:r>
    </w:p>
    <w:p>
      <w:pPr>
        <w:pStyle w:val="10"/>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联系电话：联系电话：</w:t>
      </w:r>
    </w:p>
    <w:p>
      <w:pPr>
        <w:pStyle w:val="10"/>
        <w:adjustRightInd w:val="0"/>
        <w:snapToGrid w:val="0"/>
        <w:spacing w:before="120" w:after="120" w:line="360" w:lineRule="auto"/>
        <w:ind w:firstLine="767"/>
        <w:rPr>
          <w:rFonts w:cs="仿宋"/>
          <w:sz w:val="24"/>
          <w:highlight w:val="none"/>
        </w:rPr>
      </w:pPr>
      <w:r>
        <w:rPr>
          <w:rFonts w:hint="eastAsia"/>
          <w:sz w:val="28"/>
          <w:szCs w:val="28"/>
          <w:highlight w:val="none"/>
        </w:rPr>
        <w:t>签订日期：      年   月   日</w:t>
      </w:r>
    </w:p>
    <w:sectPr>
      <w:headerReference r:id="rId3" w:type="default"/>
      <w:footerReference r:id="rId4" w:type="default"/>
      <w:pgSz w:w="11906" w:h="16838"/>
      <w:pgMar w:top="1191" w:right="850" w:bottom="1191"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MPBMSN+StoneSans-Semibold">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PSFEIH+StoneSans">
    <w:altName w:val="新宋体"/>
    <w:panose1 w:val="00000000000000000000"/>
    <w:charset w:val="86"/>
    <w:family w:val="swiss"/>
    <w:pitch w:val="default"/>
    <w:sig w:usb0="00000000" w:usb1="00000000" w:usb2="00000010" w:usb3="00000000" w:csb0="00040000" w:csb1="00000000"/>
  </w:font>
  <w:font w:name="新宋体">
    <w:panose1 w:val="02010609030101010101"/>
    <w:charset w:val="86"/>
    <w:family w:val="auto"/>
    <w:pitch w:val="default"/>
    <w:sig w:usb0="00000283" w:usb1="288F0000" w:usb2="00000006" w:usb3="00000000" w:csb0="00040001" w:csb1="00000000"/>
  </w:font>
  <w:font w:name="Open Sans Light">
    <w:altName w:val="Segoe Print"/>
    <w:panose1 w:val="00000000000000000000"/>
    <w:charset w:val="00"/>
    <w:family w:val="swiss"/>
    <w:pitch w:val="default"/>
    <w:sig w:usb0="00000000" w:usb1="00000000" w:usb2="00000028" w:usb3="00000000" w:csb0="0000019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b/>
      </w:rPr>
      <w:fldChar w:fldCharType="begin"/>
    </w:r>
    <w:r>
      <w:rPr>
        <w:b/>
      </w:rPr>
      <w:instrText xml:space="preserve">PAGE  \* Arabic  \* MERGEFORMAT</w:instrText>
    </w:r>
    <w:r>
      <w:rPr>
        <w:b/>
      </w:rPr>
      <w:fldChar w:fldCharType="separate"/>
    </w:r>
    <w:r>
      <w:rPr>
        <w:b/>
        <w:lang w:val="zh-CN"/>
      </w:rPr>
      <w:t>25</w:t>
    </w:r>
    <w:r>
      <w:rPr>
        <w:b/>
      </w:rPr>
      <w:fldChar w:fldCharType="end"/>
    </w:r>
    <w:r>
      <w:rPr>
        <w:lang w:val="zh-CN"/>
      </w:rPr>
      <w:t xml:space="preserve"> / </w:t>
    </w:r>
    <w:r>
      <w:fldChar w:fldCharType="begin"/>
    </w:r>
    <w:r>
      <w:instrText xml:space="preserve">NUMPAGES  \* Arabic  \* MERGEFORMAT</w:instrText>
    </w:r>
    <w:r>
      <w:fldChar w:fldCharType="separate"/>
    </w:r>
    <w:r>
      <w:rPr>
        <w:b/>
        <w:lang w:val="zh-CN"/>
      </w:rPr>
      <w:t>26</w:t>
    </w:r>
    <w:r>
      <w:rPr>
        <w:b/>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宋体" w:cs="宋体"/>
        <w:b/>
        <w:bCs/>
        <w:kern w:val="0"/>
        <w:sz w:val="15"/>
        <w:szCs w:val="15"/>
      </w:rPr>
    </w:pPr>
    <w:r>
      <w:rPr>
        <w:rFonts w:hint="eastAsia" w:ascii="宋体" w:hAnsi="宋体" w:cs="宋体"/>
        <w:b/>
        <w:bCs/>
        <w:kern w:val="0"/>
        <w:sz w:val="15"/>
        <w:szCs w:val="15"/>
      </w:rPr>
      <w:t>南京信息工程大学招标办20</w:t>
    </w:r>
    <w:r>
      <w:rPr>
        <w:rFonts w:ascii="宋体" w:hAnsi="宋体" w:cs="宋体"/>
        <w:b/>
        <w:bCs/>
        <w:kern w:val="0"/>
        <w:sz w:val="15"/>
        <w:szCs w:val="15"/>
      </w:rPr>
      <w:t>2</w:t>
    </w:r>
    <w:r>
      <w:rPr>
        <w:rFonts w:hint="eastAsia" w:ascii="宋体" w:hAnsi="宋体" w:cs="宋体"/>
        <w:b/>
        <w:bCs/>
        <w:kern w:val="0"/>
        <w:sz w:val="15"/>
        <w:szCs w:val="15"/>
      </w:rPr>
      <w:t>2年招标文件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6560C3"/>
    <w:multiLevelType w:val="singleLevel"/>
    <w:tmpl w:val="CD6560C3"/>
    <w:lvl w:ilvl="0" w:tentative="0">
      <w:start w:val="1"/>
      <w:numFmt w:val="decimal"/>
      <w:lvlText w:val="%1."/>
      <w:lvlJc w:val="left"/>
      <w:pPr>
        <w:ind w:left="425" w:hanging="425"/>
      </w:pPr>
      <w:rPr>
        <w:rFonts w:hint="default"/>
      </w:rPr>
    </w:lvl>
  </w:abstractNum>
  <w:abstractNum w:abstractNumId="1">
    <w:nsid w:val="11F54E2A"/>
    <w:multiLevelType w:val="singleLevel"/>
    <w:tmpl w:val="11F54E2A"/>
    <w:lvl w:ilvl="0" w:tentative="0">
      <w:start w:val="1"/>
      <w:numFmt w:val="decimal"/>
      <w:lvlText w:val="(%1)"/>
      <w:lvlJc w:val="left"/>
      <w:pPr>
        <w:ind w:left="425" w:hanging="425"/>
      </w:pPr>
      <w:rPr>
        <w:rFonts w:hint="default"/>
      </w:rPr>
    </w:lvl>
  </w:abstractNum>
  <w:abstractNum w:abstractNumId="2">
    <w:nsid w:val="17DE513E"/>
    <w:multiLevelType w:val="singleLevel"/>
    <w:tmpl w:val="17DE513E"/>
    <w:lvl w:ilvl="0" w:tentative="0">
      <w:start w:val="1"/>
      <w:numFmt w:val="decimal"/>
      <w:lvlText w:val="(%1)"/>
      <w:lvlJc w:val="left"/>
      <w:pPr>
        <w:ind w:left="425" w:hanging="425"/>
      </w:pPr>
      <w:rPr>
        <w:rFonts w:hint="default"/>
      </w:rPr>
    </w:lvl>
  </w:abstractNum>
  <w:abstractNum w:abstractNumId="3">
    <w:nsid w:val="1D93F6DF"/>
    <w:multiLevelType w:val="singleLevel"/>
    <w:tmpl w:val="1D93F6DF"/>
    <w:lvl w:ilvl="0" w:tentative="0">
      <w:start w:val="1"/>
      <w:numFmt w:val="decimal"/>
      <w:lvlText w:val="%1)"/>
      <w:lvlJc w:val="left"/>
      <w:pPr>
        <w:ind w:left="425" w:hanging="425"/>
      </w:pPr>
      <w:rPr>
        <w:rFonts w:hint="default"/>
      </w:rPr>
    </w:lvl>
  </w:abstractNum>
  <w:abstractNum w:abstractNumId="4">
    <w:nsid w:val="2C4C38D7"/>
    <w:multiLevelType w:val="singleLevel"/>
    <w:tmpl w:val="2C4C38D7"/>
    <w:lvl w:ilvl="0" w:tentative="0">
      <w:start w:val="1"/>
      <w:numFmt w:val="decimal"/>
      <w:lvlText w:val="(%1)"/>
      <w:lvlJc w:val="left"/>
      <w:pPr>
        <w:ind w:left="425" w:hanging="425"/>
      </w:pPr>
      <w:rPr>
        <w:rFonts w:hint="default"/>
      </w:rPr>
    </w:lvl>
  </w:abstractNum>
  <w:abstractNum w:abstractNumId="5">
    <w:nsid w:val="2CBCEA30"/>
    <w:multiLevelType w:val="singleLevel"/>
    <w:tmpl w:val="2CBCEA30"/>
    <w:lvl w:ilvl="0" w:tentative="0">
      <w:start w:val="1"/>
      <w:numFmt w:val="decimal"/>
      <w:lvlText w:val="(%1)"/>
      <w:lvlJc w:val="left"/>
      <w:pPr>
        <w:ind w:left="425" w:hanging="425"/>
      </w:pPr>
      <w:rPr>
        <w:rFont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2OTFlZWRhZmJkM2UzYzMxN2RmMjBlYmJiZmVkMjIifQ=="/>
  </w:docVars>
  <w:rsids>
    <w:rsidRoot w:val="00201076"/>
    <w:rsid w:val="0000144D"/>
    <w:rsid w:val="00002B2D"/>
    <w:rsid w:val="00003305"/>
    <w:rsid w:val="00003606"/>
    <w:rsid w:val="000054CA"/>
    <w:rsid w:val="0000571D"/>
    <w:rsid w:val="00022B05"/>
    <w:rsid w:val="00023D12"/>
    <w:rsid w:val="00026E76"/>
    <w:rsid w:val="0002772F"/>
    <w:rsid w:val="00030600"/>
    <w:rsid w:val="00030DF4"/>
    <w:rsid w:val="000317FC"/>
    <w:rsid w:val="000319F3"/>
    <w:rsid w:val="00034A15"/>
    <w:rsid w:val="000430D6"/>
    <w:rsid w:val="00043F02"/>
    <w:rsid w:val="000441D9"/>
    <w:rsid w:val="0004587C"/>
    <w:rsid w:val="00051F2D"/>
    <w:rsid w:val="000527A0"/>
    <w:rsid w:val="000531E7"/>
    <w:rsid w:val="00054A22"/>
    <w:rsid w:val="00054EE4"/>
    <w:rsid w:val="0005500B"/>
    <w:rsid w:val="00055F2F"/>
    <w:rsid w:val="0006055A"/>
    <w:rsid w:val="00065C53"/>
    <w:rsid w:val="00066441"/>
    <w:rsid w:val="00066583"/>
    <w:rsid w:val="000667C1"/>
    <w:rsid w:val="0007020F"/>
    <w:rsid w:val="00070DC7"/>
    <w:rsid w:val="00070F0A"/>
    <w:rsid w:val="000716D4"/>
    <w:rsid w:val="000774F2"/>
    <w:rsid w:val="00080B5E"/>
    <w:rsid w:val="00081175"/>
    <w:rsid w:val="000819A3"/>
    <w:rsid w:val="00083DFA"/>
    <w:rsid w:val="00085E3F"/>
    <w:rsid w:val="00087D92"/>
    <w:rsid w:val="00087F42"/>
    <w:rsid w:val="0009319D"/>
    <w:rsid w:val="000933AE"/>
    <w:rsid w:val="00094479"/>
    <w:rsid w:val="00094B8E"/>
    <w:rsid w:val="000960BE"/>
    <w:rsid w:val="00096894"/>
    <w:rsid w:val="000968A9"/>
    <w:rsid w:val="000976BF"/>
    <w:rsid w:val="0009778F"/>
    <w:rsid w:val="000A1315"/>
    <w:rsid w:val="000A31F8"/>
    <w:rsid w:val="000A3663"/>
    <w:rsid w:val="000A387C"/>
    <w:rsid w:val="000A5005"/>
    <w:rsid w:val="000A57C1"/>
    <w:rsid w:val="000A649C"/>
    <w:rsid w:val="000B1E2F"/>
    <w:rsid w:val="000B4953"/>
    <w:rsid w:val="000B5806"/>
    <w:rsid w:val="000B5F77"/>
    <w:rsid w:val="000B6607"/>
    <w:rsid w:val="000C0356"/>
    <w:rsid w:val="000C03E3"/>
    <w:rsid w:val="000C05BE"/>
    <w:rsid w:val="000C35BE"/>
    <w:rsid w:val="000C3706"/>
    <w:rsid w:val="000C3E19"/>
    <w:rsid w:val="000C5121"/>
    <w:rsid w:val="000C7AC8"/>
    <w:rsid w:val="000D26E7"/>
    <w:rsid w:val="000D2CE1"/>
    <w:rsid w:val="000D4B6E"/>
    <w:rsid w:val="000D641A"/>
    <w:rsid w:val="000D6B77"/>
    <w:rsid w:val="000D7AE0"/>
    <w:rsid w:val="000D7B55"/>
    <w:rsid w:val="000E1026"/>
    <w:rsid w:val="000E12A9"/>
    <w:rsid w:val="000E37D8"/>
    <w:rsid w:val="000E490E"/>
    <w:rsid w:val="000E4DD3"/>
    <w:rsid w:val="000E62D8"/>
    <w:rsid w:val="000E794A"/>
    <w:rsid w:val="000E7B1F"/>
    <w:rsid w:val="000E7E73"/>
    <w:rsid w:val="000F0A5B"/>
    <w:rsid w:val="000F1E4F"/>
    <w:rsid w:val="000F2EDC"/>
    <w:rsid w:val="000F33C3"/>
    <w:rsid w:val="000F7C08"/>
    <w:rsid w:val="001007BA"/>
    <w:rsid w:val="00100F2E"/>
    <w:rsid w:val="00101774"/>
    <w:rsid w:val="0010216E"/>
    <w:rsid w:val="001028D1"/>
    <w:rsid w:val="001031DE"/>
    <w:rsid w:val="001032F0"/>
    <w:rsid w:val="00103CBC"/>
    <w:rsid w:val="00104554"/>
    <w:rsid w:val="0010485E"/>
    <w:rsid w:val="00104CAE"/>
    <w:rsid w:val="00106DC3"/>
    <w:rsid w:val="00107357"/>
    <w:rsid w:val="00107759"/>
    <w:rsid w:val="001105C0"/>
    <w:rsid w:val="00110C58"/>
    <w:rsid w:val="00111060"/>
    <w:rsid w:val="00111C55"/>
    <w:rsid w:val="00111E38"/>
    <w:rsid w:val="00112955"/>
    <w:rsid w:val="00112D27"/>
    <w:rsid w:val="001135BC"/>
    <w:rsid w:val="00113E79"/>
    <w:rsid w:val="00116930"/>
    <w:rsid w:val="00121365"/>
    <w:rsid w:val="00122E50"/>
    <w:rsid w:val="001238AF"/>
    <w:rsid w:val="001246CA"/>
    <w:rsid w:val="00124A77"/>
    <w:rsid w:val="00124B44"/>
    <w:rsid w:val="00124CA1"/>
    <w:rsid w:val="00125991"/>
    <w:rsid w:val="00125C94"/>
    <w:rsid w:val="00126E86"/>
    <w:rsid w:val="001272EE"/>
    <w:rsid w:val="00127BC3"/>
    <w:rsid w:val="00130B50"/>
    <w:rsid w:val="001320B9"/>
    <w:rsid w:val="0013492F"/>
    <w:rsid w:val="00136DE7"/>
    <w:rsid w:val="00137542"/>
    <w:rsid w:val="00143684"/>
    <w:rsid w:val="001448F3"/>
    <w:rsid w:val="0014591D"/>
    <w:rsid w:val="00146508"/>
    <w:rsid w:val="00147BB6"/>
    <w:rsid w:val="001502CF"/>
    <w:rsid w:val="00151817"/>
    <w:rsid w:val="0015214C"/>
    <w:rsid w:val="0015225B"/>
    <w:rsid w:val="00152BCB"/>
    <w:rsid w:val="00153196"/>
    <w:rsid w:val="0015430F"/>
    <w:rsid w:val="001559FB"/>
    <w:rsid w:val="0016003D"/>
    <w:rsid w:val="0016077E"/>
    <w:rsid w:val="0016145E"/>
    <w:rsid w:val="0016395E"/>
    <w:rsid w:val="00163CFF"/>
    <w:rsid w:val="0016465F"/>
    <w:rsid w:val="0016658A"/>
    <w:rsid w:val="00166DEB"/>
    <w:rsid w:val="001679D2"/>
    <w:rsid w:val="00170356"/>
    <w:rsid w:val="00171002"/>
    <w:rsid w:val="00171C84"/>
    <w:rsid w:val="0017451F"/>
    <w:rsid w:val="00175E61"/>
    <w:rsid w:val="00175F6E"/>
    <w:rsid w:val="00176B5A"/>
    <w:rsid w:val="001770B9"/>
    <w:rsid w:val="0018161B"/>
    <w:rsid w:val="00181FC1"/>
    <w:rsid w:val="00183C53"/>
    <w:rsid w:val="00184165"/>
    <w:rsid w:val="001847AB"/>
    <w:rsid w:val="001863B0"/>
    <w:rsid w:val="001908D8"/>
    <w:rsid w:val="00191C82"/>
    <w:rsid w:val="00191DB6"/>
    <w:rsid w:val="00191E7A"/>
    <w:rsid w:val="00192A7F"/>
    <w:rsid w:val="0019347E"/>
    <w:rsid w:val="00193B07"/>
    <w:rsid w:val="0019510E"/>
    <w:rsid w:val="00195E66"/>
    <w:rsid w:val="00196607"/>
    <w:rsid w:val="00196DB1"/>
    <w:rsid w:val="001973B6"/>
    <w:rsid w:val="001A1969"/>
    <w:rsid w:val="001A200D"/>
    <w:rsid w:val="001A4524"/>
    <w:rsid w:val="001B0715"/>
    <w:rsid w:val="001B2A65"/>
    <w:rsid w:val="001B5895"/>
    <w:rsid w:val="001B6E3C"/>
    <w:rsid w:val="001C0244"/>
    <w:rsid w:val="001C0588"/>
    <w:rsid w:val="001C12A6"/>
    <w:rsid w:val="001C1966"/>
    <w:rsid w:val="001C2414"/>
    <w:rsid w:val="001C6C16"/>
    <w:rsid w:val="001D10DD"/>
    <w:rsid w:val="001D237E"/>
    <w:rsid w:val="001D2D6F"/>
    <w:rsid w:val="001D30BA"/>
    <w:rsid w:val="001D3FC2"/>
    <w:rsid w:val="001D7657"/>
    <w:rsid w:val="001D76D4"/>
    <w:rsid w:val="001E2C9F"/>
    <w:rsid w:val="001E47A8"/>
    <w:rsid w:val="001E4E6B"/>
    <w:rsid w:val="001E611D"/>
    <w:rsid w:val="001E672D"/>
    <w:rsid w:val="001F09A0"/>
    <w:rsid w:val="001F11F5"/>
    <w:rsid w:val="001F1F69"/>
    <w:rsid w:val="001F2B01"/>
    <w:rsid w:val="001F314F"/>
    <w:rsid w:val="001F328C"/>
    <w:rsid w:val="001F4242"/>
    <w:rsid w:val="001F52B7"/>
    <w:rsid w:val="001F5384"/>
    <w:rsid w:val="001F6E39"/>
    <w:rsid w:val="001F7923"/>
    <w:rsid w:val="00200A99"/>
    <w:rsid w:val="00201076"/>
    <w:rsid w:val="002023F0"/>
    <w:rsid w:val="00204A89"/>
    <w:rsid w:val="00205651"/>
    <w:rsid w:val="00205E83"/>
    <w:rsid w:val="0021174A"/>
    <w:rsid w:val="002122A3"/>
    <w:rsid w:val="00213000"/>
    <w:rsid w:val="00213651"/>
    <w:rsid w:val="002144B5"/>
    <w:rsid w:val="00214EF4"/>
    <w:rsid w:val="00217A6D"/>
    <w:rsid w:val="00221DE6"/>
    <w:rsid w:val="002228CD"/>
    <w:rsid w:val="002238C0"/>
    <w:rsid w:val="0022420E"/>
    <w:rsid w:val="00225151"/>
    <w:rsid w:val="00226609"/>
    <w:rsid w:val="002270A5"/>
    <w:rsid w:val="002274A2"/>
    <w:rsid w:val="00230145"/>
    <w:rsid w:val="00230940"/>
    <w:rsid w:val="0023249E"/>
    <w:rsid w:val="002346F4"/>
    <w:rsid w:val="00235A05"/>
    <w:rsid w:val="00237A59"/>
    <w:rsid w:val="002408A3"/>
    <w:rsid w:val="00240E59"/>
    <w:rsid w:val="00241921"/>
    <w:rsid w:val="002423F2"/>
    <w:rsid w:val="002430D7"/>
    <w:rsid w:val="00243632"/>
    <w:rsid w:val="00243E27"/>
    <w:rsid w:val="0024517A"/>
    <w:rsid w:val="00247603"/>
    <w:rsid w:val="00250805"/>
    <w:rsid w:val="00250B49"/>
    <w:rsid w:val="00250C11"/>
    <w:rsid w:val="00251A77"/>
    <w:rsid w:val="0025266B"/>
    <w:rsid w:val="002526D9"/>
    <w:rsid w:val="0025396A"/>
    <w:rsid w:val="002540DE"/>
    <w:rsid w:val="00255B7B"/>
    <w:rsid w:val="00256A61"/>
    <w:rsid w:val="00257FB1"/>
    <w:rsid w:val="00262153"/>
    <w:rsid w:val="00263046"/>
    <w:rsid w:val="00263444"/>
    <w:rsid w:val="0026451A"/>
    <w:rsid w:val="00264F91"/>
    <w:rsid w:val="00270488"/>
    <w:rsid w:val="00271C38"/>
    <w:rsid w:val="00281343"/>
    <w:rsid w:val="0028272C"/>
    <w:rsid w:val="002832EA"/>
    <w:rsid w:val="002838CB"/>
    <w:rsid w:val="00283C8F"/>
    <w:rsid w:val="00285A3E"/>
    <w:rsid w:val="00291A34"/>
    <w:rsid w:val="00292A1F"/>
    <w:rsid w:val="00294451"/>
    <w:rsid w:val="00294E71"/>
    <w:rsid w:val="00296169"/>
    <w:rsid w:val="00297351"/>
    <w:rsid w:val="00297829"/>
    <w:rsid w:val="00297C60"/>
    <w:rsid w:val="00297CA2"/>
    <w:rsid w:val="002A1998"/>
    <w:rsid w:val="002A1B13"/>
    <w:rsid w:val="002A1C37"/>
    <w:rsid w:val="002A2377"/>
    <w:rsid w:val="002A23A5"/>
    <w:rsid w:val="002B0435"/>
    <w:rsid w:val="002B0445"/>
    <w:rsid w:val="002B0C9E"/>
    <w:rsid w:val="002B0F18"/>
    <w:rsid w:val="002B13F6"/>
    <w:rsid w:val="002B247E"/>
    <w:rsid w:val="002B3108"/>
    <w:rsid w:val="002B3512"/>
    <w:rsid w:val="002B5309"/>
    <w:rsid w:val="002B5FF1"/>
    <w:rsid w:val="002B656C"/>
    <w:rsid w:val="002B6969"/>
    <w:rsid w:val="002C016C"/>
    <w:rsid w:val="002C0D56"/>
    <w:rsid w:val="002C3038"/>
    <w:rsid w:val="002C3D8F"/>
    <w:rsid w:val="002C6A0C"/>
    <w:rsid w:val="002C6B1B"/>
    <w:rsid w:val="002C724E"/>
    <w:rsid w:val="002D0833"/>
    <w:rsid w:val="002D16E8"/>
    <w:rsid w:val="002D247C"/>
    <w:rsid w:val="002D608B"/>
    <w:rsid w:val="002E28AA"/>
    <w:rsid w:val="002E569D"/>
    <w:rsid w:val="002E6CB0"/>
    <w:rsid w:val="002E6E80"/>
    <w:rsid w:val="002E70DE"/>
    <w:rsid w:val="002E7D9A"/>
    <w:rsid w:val="002F0D2A"/>
    <w:rsid w:val="002F160A"/>
    <w:rsid w:val="002F1CF2"/>
    <w:rsid w:val="002F2B00"/>
    <w:rsid w:val="002F36B1"/>
    <w:rsid w:val="002F44D8"/>
    <w:rsid w:val="002F4FFA"/>
    <w:rsid w:val="002F6BAD"/>
    <w:rsid w:val="002F7098"/>
    <w:rsid w:val="00300D50"/>
    <w:rsid w:val="00302F70"/>
    <w:rsid w:val="003034BA"/>
    <w:rsid w:val="00303EFB"/>
    <w:rsid w:val="003048F1"/>
    <w:rsid w:val="0030541B"/>
    <w:rsid w:val="003072D4"/>
    <w:rsid w:val="003076E5"/>
    <w:rsid w:val="00307F8E"/>
    <w:rsid w:val="00310DA0"/>
    <w:rsid w:val="00311CFE"/>
    <w:rsid w:val="00312896"/>
    <w:rsid w:val="00312CD2"/>
    <w:rsid w:val="00313155"/>
    <w:rsid w:val="003147BD"/>
    <w:rsid w:val="003163EE"/>
    <w:rsid w:val="00316AC1"/>
    <w:rsid w:val="00316C54"/>
    <w:rsid w:val="0032353A"/>
    <w:rsid w:val="00323939"/>
    <w:rsid w:val="00324588"/>
    <w:rsid w:val="00325728"/>
    <w:rsid w:val="00326B86"/>
    <w:rsid w:val="00327C2C"/>
    <w:rsid w:val="00330268"/>
    <w:rsid w:val="00331A66"/>
    <w:rsid w:val="00331B2F"/>
    <w:rsid w:val="00334E11"/>
    <w:rsid w:val="0033568A"/>
    <w:rsid w:val="00335D4D"/>
    <w:rsid w:val="0033689B"/>
    <w:rsid w:val="0034221F"/>
    <w:rsid w:val="00343F9F"/>
    <w:rsid w:val="00344EF7"/>
    <w:rsid w:val="00345610"/>
    <w:rsid w:val="00345928"/>
    <w:rsid w:val="00347496"/>
    <w:rsid w:val="00347889"/>
    <w:rsid w:val="00347F4C"/>
    <w:rsid w:val="00347F6E"/>
    <w:rsid w:val="00351ABC"/>
    <w:rsid w:val="003523E6"/>
    <w:rsid w:val="00355610"/>
    <w:rsid w:val="00355701"/>
    <w:rsid w:val="003569D7"/>
    <w:rsid w:val="003601DE"/>
    <w:rsid w:val="0036296D"/>
    <w:rsid w:val="00362A6A"/>
    <w:rsid w:val="003649D6"/>
    <w:rsid w:val="00367F0F"/>
    <w:rsid w:val="00371A15"/>
    <w:rsid w:val="00372A01"/>
    <w:rsid w:val="00372D67"/>
    <w:rsid w:val="00373E38"/>
    <w:rsid w:val="003746B8"/>
    <w:rsid w:val="00376287"/>
    <w:rsid w:val="00377164"/>
    <w:rsid w:val="0038309B"/>
    <w:rsid w:val="00383BCB"/>
    <w:rsid w:val="00384882"/>
    <w:rsid w:val="003849F5"/>
    <w:rsid w:val="00387358"/>
    <w:rsid w:val="00387B63"/>
    <w:rsid w:val="00392E35"/>
    <w:rsid w:val="00392F4B"/>
    <w:rsid w:val="0039371E"/>
    <w:rsid w:val="00395091"/>
    <w:rsid w:val="003A0680"/>
    <w:rsid w:val="003A0A8F"/>
    <w:rsid w:val="003A1264"/>
    <w:rsid w:val="003A2009"/>
    <w:rsid w:val="003A2540"/>
    <w:rsid w:val="003A3723"/>
    <w:rsid w:val="003A3848"/>
    <w:rsid w:val="003A4023"/>
    <w:rsid w:val="003A4F53"/>
    <w:rsid w:val="003A6141"/>
    <w:rsid w:val="003A70D6"/>
    <w:rsid w:val="003A72CD"/>
    <w:rsid w:val="003B0471"/>
    <w:rsid w:val="003B0E4C"/>
    <w:rsid w:val="003B198E"/>
    <w:rsid w:val="003B4063"/>
    <w:rsid w:val="003B42A6"/>
    <w:rsid w:val="003B46FC"/>
    <w:rsid w:val="003C22BA"/>
    <w:rsid w:val="003C2407"/>
    <w:rsid w:val="003C3744"/>
    <w:rsid w:val="003C3DF2"/>
    <w:rsid w:val="003C4913"/>
    <w:rsid w:val="003C4BFF"/>
    <w:rsid w:val="003C4ECC"/>
    <w:rsid w:val="003C60AD"/>
    <w:rsid w:val="003C69C4"/>
    <w:rsid w:val="003D02DE"/>
    <w:rsid w:val="003D20EB"/>
    <w:rsid w:val="003D282D"/>
    <w:rsid w:val="003D6222"/>
    <w:rsid w:val="003D6FB8"/>
    <w:rsid w:val="003E1368"/>
    <w:rsid w:val="003E1A52"/>
    <w:rsid w:val="003E2217"/>
    <w:rsid w:val="003E4227"/>
    <w:rsid w:val="003E51F3"/>
    <w:rsid w:val="003E572A"/>
    <w:rsid w:val="003F073B"/>
    <w:rsid w:val="003F1151"/>
    <w:rsid w:val="003F16B6"/>
    <w:rsid w:val="003F1F76"/>
    <w:rsid w:val="003F24C4"/>
    <w:rsid w:val="003F2F23"/>
    <w:rsid w:val="003F3D76"/>
    <w:rsid w:val="003F413C"/>
    <w:rsid w:val="003F4609"/>
    <w:rsid w:val="003F49E1"/>
    <w:rsid w:val="003F6253"/>
    <w:rsid w:val="003F6DE8"/>
    <w:rsid w:val="003F79B2"/>
    <w:rsid w:val="00401623"/>
    <w:rsid w:val="004017C3"/>
    <w:rsid w:val="00402663"/>
    <w:rsid w:val="0040306E"/>
    <w:rsid w:val="0040333F"/>
    <w:rsid w:val="0040342F"/>
    <w:rsid w:val="00404C4A"/>
    <w:rsid w:val="0040541A"/>
    <w:rsid w:val="004057C2"/>
    <w:rsid w:val="00406376"/>
    <w:rsid w:val="00406A37"/>
    <w:rsid w:val="0041074E"/>
    <w:rsid w:val="0041179E"/>
    <w:rsid w:val="00411BAF"/>
    <w:rsid w:val="004129E0"/>
    <w:rsid w:val="0041308C"/>
    <w:rsid w:val="004140AB"/>
    <w:rsid w:val="00415750"/>
    <w:rsid w:val="00415AAB"/>
    <w:rsid w:val="00415E30"/>
    <w:rsid w:val="00417661"/>
    <w:rsid w:val="004201A3"/>
    <w:rsid w:val="00420C3D"/>
    <w:rsid w:val="004220ED"/>
    <w:rsid w:val="00422573"/>
    <w:rsid w:val="00422B6A"/>
    <w:rsid w:val="004255E2"/>
    <w:rsid w:val="00425843"/>
    <w:rsid w:val="00425C30"/>
    <w:rsid w:val="0043026A"/>
    <w:rsid w:val="004311A5"/>
    <w:rsid w:val="004356B0"/>
    <w:rsid w:val="00435B13"/>
    <w:rsid w:val="00437796"/>
    <w:rsid w:val="00437C24"/>
    <w:rsid w:val="00437F7A"/>
    <w:rsid w:val="00441696"/>
    <w:rsid w:val="00441B79"/>
    <w:rsid w:val="00442423"/>
    <w:rsid w:val="00442E8D"/>
    <w:rsid w:val="00443437"/>
    <w:rsid w:val="00444741"/>
    <w:rsid w:val="0044640C"/>
    <w:rsid w:val="004472FA"/>
    <w:rsid w:val="00447C24"/>
    <w:rsid w:val="00450900"/>
    <w:rsid w:val="00452C84"/>
    <w:rsid w:val="00454BFD"/>
    <w:rsid w:val="004551EC"/>
    <w:rsid w:val="004578F1"/>
    <w:rsid w:val="00460A25"/>
    <w:rsid w:val="00461656"/>
    <w:rsid w:val="00463313"/>
    <w:rsid w:val="00463944"/>
    <w:rsid w:val="00464599"/>
    <w:rsid w:val="00465389"/>
    <w:rsid w:val="00466713"/>
    <w:rsid w:val="00467161"/>
    <w:rsid w:val="004703D3"/>
    <w:rsid w:val="00472664"/>
    <w:rsid w:val="004734A1"/>
    <w:rsid w:val="00474262"/>
    <w:rsid w:val="00477371"/>
    <w:rsid w:val="00477570"/>
    <w:rsid w:val="00477798"/>
    <w:rsid w:val="0048022E"/>
    <w:rsid w:val="00480665"/>
    <w:rsid w:val="00480DDA"/>
    <w:rsid w:val="00480FA7"/>
    <w:rsid w:val="00481A9A"/>
    <w:rsid w:val="00482645"/>
    <w:rsid w:val="00482DAC"/>
    <w:rsid w:val="00483286"/>
    <w:rsid w:val="004839B1"/>
    <w:rsid w:val="0048492E"/>
    <w:rsid w:val="0048551E"/>
    <w:rsid w:val="00485675"/>
    <w:rsid w:val="00485B5B"/>
    <w:rsid w:val="0048782A"/>
    <w:rsid w:val="004926E0"/>
    <w:rsid w:val="00493785"/>
    <w:rsid w:val="0049614E"/>
    <w:rsid w:val="0049785A"/>
    <w:rsid w:val="00497D4E"/>
    <w:rsid w:val="004A5555"/>
    <w:rsid w:val="004A5C8B"/>
    <w:rsid w:val="004A7B18"/>
    <w:rsid w:val="004A7D2B"/>
    <w:rsid w:val="004A7E23"/>
    <w:rsid w:val="004A7F50"/>
    <w:rsid w:val="004B001D"/>
    <w:rsid w:val="004B1B72"/>
    <w:rsid w:val="004B4A76"/>
    <w:rsid w:val="004B67DB"/>
    <w:rsid w:val="004B6A11"/>
    <w:rsid w:val="004B747F"/>
    <w:rsid w:val="004B7B1E"/>
    <w:rsid w:val="004C10BB"/>
    <w:rsid w:val="004C2E0A"/>
    <w:rsid w:val="004C3D0A"/>
    <w:rsid w:val="004C41F7"/>
    <w:rsid w:val="004C5241"/>
    <w:rsid w:val="004D0748"/>
    <w:rsid w:val="004D0EAC"/>
    <w:rsid w:val="004D1E93"/>
    <w:rsid w:val="004D64A5"/>
    <w:rsid w:val="004D65DA"/>
    <w:rsid w:val="004D6DBF"/>
    <w:rsid w:val="004D7557"/>
    <w:rsid w:val="004D765A"/>
    <w:rsid w:val="004E1C93"/>
    <w:rsid w:val="004E2588"/>
    <w:rsid w:val="004E390B"/>
    <w:rsid w:val="004E448F"/>
    <w:rsid w:val="004E608C"/>
    <w:rsid w:val="004E779C"/>
    <w:rsid w:val="004F0339"/>
    <w:rsid w:val="004F373E"/>
    <w:rsid w:val="004F4420"/>
    <w:rsid w:val="004F6B4B"/>
    <w:rsid w:val="004F763C"/>
    <w:rsid w:val="004F7A31"/>
    <w:rsid w:val="004F7D5E"/>
    <w:rsid w:val="00500476"/>
    <w:rsid w:val="0050066E"/>
    <w:rsid w:val="00500A8B"/>
    <w:rsid w:val="00501CD3"/>
    <w:rsid w:val="005038DC"/>
    <w:rsid w:val="00504207"/>
    <w:rsid w:val="00504E7D"/>
    <w:rsid w:val="0050554A"/>
    <w:rsid w:val="00505622"/>
    <w:rsid w:val="00507394"/>
    <w:rsid w:val="00507451"/>
    <w:rsid w:val="0051169E"/>
    <w:rsid w:val="005119C9"/>
    <w:rsid w:val="00511A0E"/>
    <w:rsid w:val="005143CD"/>
    <w:rsid w:val="00514476"/>
    <w:rsid w:val="0051635A"/>
    <w:rsid w:val="00517953"/>
    <w:rsid w:val="00520E29"/>
    <w:rsid w:val="0052262E"/>
    <w:rsid w:val="00522BF5"/>
    <w:rsid w:val="00522C1C"/>
    <w:rsid w:val="00523679"/>
    <w:rsid w:val="0053025C"/>
    <w:rsid w:val="005308B5"/>
    <w:rsid w:val="00531000"/>
    <w:rsid w:val="0053114F"/>
    <w:rsid w:val="00533377"/>
    <w:rsid w:val="00533F15"/>
    <w:rsid w:val="00537018"/>
    <w:rsid w:val="00540A3F"/>
    <w:rsid w:val="00541B97"/>
    <w:rsid w:val="00544BF1"/>
    <w:rsid w:val="00545F0F"/>
    <w:rsid w:val="00546198"/>
    <w:rsid w:val="00551573"/>
    <w:rsid w:val="00552143"/>
    <w:rsid w:val="00552355"/>
    <w:rsid w:val="005526FE"/>
    <w:rsid w:val="00552BE2"/>
    <w:rsid w:val="00552BF3"/>
    <w:rsid w:val="005554FE"/>
    <w:rsid w:val="00556203"/>
    <w:rsid w:val="0055742D"/>
    <w:rsid w:val="00557D90"/>
    <w:rsid w:val="005629FF"/>
    <w:rsid w:val="00562AF1"/>
    <w:rsid w:val="00564725"/>
    <w:rsid w:val="00565862"/>
    <w:rsid w:val="00566142"/>
    <w:rsid w:val="005662B0"/>
    <w:rsid w:val="00566710"/>
    <w:rsid w:val="00571649"/>
    <w:rsid w:val="00572CF3"/>
    <w:rsid w:val="00576728"/>
    <w:rsid w:val="00581C3E"/>
    <w:rsid w:val="00584C3B"/>
    <w:rsid w:val="00585BC1"/>
    <w:rsid w:val="00585C5F"/>
    <w:rsid w:val="00587E68"/>
    <w:rsid w:val="00592237"/>
    <w:rsid w:val="0059325E"/>
    <w:rsid w:val="005947A6"/>
    <w:rsid w:val="00595AEA"/>
    <w:rsid w:val="0059609E"/>
    <w:rsid w:val="00596240"/>
    <w:rsid w:val="00596D34"/>
    <w:rsid w:val="005A2886"/>
    <w:rsid w:val="005A5A31"/>
    <w:rsid w:val="005A6067"/>
    <w:rsid w:val="005A7D4D"/>
    <w:rsid w:val="005B023B"/>
    <w:rsid w:val="005B1DD8"/>
    <w:rsid w:val="005B2D13"/>
    <w:rsid w:val="005B3222"/>
    <w:rsid w:val="005B379E"/>
    <w:rsid w:val="005B4619"/>
    <w:rsid w:val="005B4CA2"/>
    <w:rsid w:val="005B4E50"/>
    <w:rsid w:val="005C241F"/>
    <w:rsid w:val="005C3B35"/>
    <w:rsid w:val="005C56AC"/>
    <w:rsid w:val="005D0548"/>
    <w:rsid w:val="005D1477"/>
    <w:rsid w:val="005D1562"/>
    <w:rsid w:val="005D2C46"/>
    <w:rsid w:val="005D2FC1"/>
    <w:rsid w:val="005D315A"/>
    <w:rsid w:val="005D3973"/>
    <w:rsid w:val="005D43FF"/>
    <w:rsid w:val="005D449E"/>
    <w:rsid w:val="005D6939"/>
    <w:rsid w:val="005D7650"/>
    <w:rsid w:val="005D7782"/>
    <w:rsid w:val="005E08D4"/>
    <w:rsid w:val="005E4524"/>
    <w:rsid w:val="005E576B"/>
    <w:rsid w:val="005E5CD4"/>
    <w:rsid w:val="005E7AEF"/>
    <w:rsid w:val="005F0057"/>
    <w:rsid w:val="005F31EF"/>
    <w:rsid w:val="005F3300"/>
    <w:rsid w:val="005F3568"/>
    <w:rsid w:val="005F392C"/>
    <w:rsid w:val="005F48D7"/>
    <w:rsid w:val="005F5A2C"/>
    <w:rsid w:val="005F624D"/>
    <w:rsid w:val="005F6275"/>
    <w:rsid w:val="005F75FC"/>
    <w:rsid w:val="00600132"/>
    <w:rsid w:val="006006F8"/>
    <w:rsid w:val="00603569"/>
    <w:rsid w:val="006040E9"/>
    <w:rsid w:val="00607DCF"/>
    <w:rsid w:val="00610391"/>
    <w:rsid w:val="006105EE"/>
    <w:rsid w:val="00610DA9"/>
    <w:rsid w:val="00613CC6"/>
    <w:rsid w:val="00613E75"/>
    <w:rsid w:val="006164F1"/>
    <w:rsid w:val="00616D46"/>
    <w:rsid w:val="00616F1D"/>
    <w:rsid w:val="00620509"/>
    <w:rsid w:val="00620D7E"/>
    <w:rsid w:val="00621A53"/>
    <w:rsid w:val="00621E49"/>
    <w:rsid w:val="00621E60"/>
    <w:rsid w:val="0062201F"/>
    <w:rsid w:val="00622CED"/>
    <w:rsid w:val="0062527C"/>
    <w:rsid w:val="00625A6F"/>
    <w:rsid w:val="00626542"/>
    <w:rsid w:val="00626C15"/>
    <w:rsid w:val="00627105"/>
    <w:rsid w:val="006277A3"/>
    <w:rsid w:val="00631332"/>
    <w:rsid w:val="006332B6"/>
    <w:rsid w:val="006340FC"/>
    <w:rsid w:val="00636729"/>
    <w:rsid w:val="00637990"/>
    <w:rsid w:val="00637BFF"/>
    <w:rsid w:val="00637FE2"/>
    <w:rsid w:val="00641CAF"/>
    <w:rsid w:val="00646947"/>
    <w:rsid w:val="00650D24"/>
    <w:rsid w:val="006519C1"/>
    <w:rsid w:val="0065591F"/>
    <w:rsid w:val="0065630D"/>
    <w:rsid w:val="0066030C"/>
    <w:rsid w:val="0066287E"/>
    <w:rsid w:val="00662ACF"/>
    <w:rsid w:val="006634D8"/>
    <w:rsid w:val="00665444"/>
    <w:rsid w:val="00666762"/>
    <w:rsid w:val="00667840"/>
    <w:rsid w:val="00670DA9"/>
    <w:rsid w:val="006712CE"/>
    <w:rsid w:val="006721F1"/>
    <w:rsid w:val="00672B76"/>
    <w:rsid w:val="00674154"/>
    <w:rsid w:val="006744F7"/>
    <w:rsid w:val="0067581D"/>
    <w:rsid w:val="006817D5"/>
    <w:rsid w:val="006818DB"/>
    <w:rsid w:val="0068228D"/>
    <w:rsid w:val="006831B6"/>
    <w:rsid w:val="00683CA6"/>
    <w:rsid w:val="00683F59"/>
    <w:rsid w:val="00684A9B"/>
    <w:rsid w:val="00690B98"/>
    <w:rsid w:val="00691A38"/>
    <w:rsid w:val="00692892"/>
    <w:rsid w:val="006928FF"/>
    <w:rsid w:val="00692C36"/>
    <w:rsid w:val="006947DF"/>
    <w:rsid w:val="006951B5"/>
    <w:rsid w:val="0069524B"/>
    <w:rsid w:val="00696030"/>
    <w:rsid w:val="00697C03"/>
    <w:rsid w:val="006A00DA"/>
    <w:rsid w:val="006A1F85"/>
    <w:rsid w:val="006A210C"/>
    <w:rsid w:val="006A2AE2"/>
    <w:rsid w:val="006A2B28"/>
    <w:rsid w:val="006A4D56"/>
    <w:rsid w:val="006A59A2"/>
    <w:rsid w:val="006A5ECF"/>
    <w:rsid w:val="006A669E"/>
    <w:rsid w:val="006B0715"/>
    <w:rsid w:val="006B12E8"/>
    <w:rsid w:val="006B1B75"/>
    <w:rsid w:val="006B2014"/>
    <w:rsid w:val="006B2340"/>
    <w:rsid w:val="006B324C"/>
    <w:rsid w:val="006B3D85"/>
    <w:rsid w:val="006B449D"/>
    <w:rsid w:val="006B5088"/>
    <w:rsid w:val="006B5A78"/>
    <w:rsid w:val="006B7503"/>
    <w:rsid w:val="006B79D8"/>
    <w:rsid w:val="006C0C1E"/>
    <w:rsid w:val="006C18D2"/>
    <w:rsid w:val="006C1C3C"/>
    <w:rsid w:val="006C22D3"/>
    <w:rsid w:val="006C3882"/>
    <w:rsid w:val="006C5128"/>
    <w:rsid w:val="006C5A98"/>
    <w:rsid w:val="006C7A10"/>
    <w:rsid w:val="006D167B"/>
    <w:rsid w:val="006D358F"/>
    <w:rsid w:val="006D3851"/>
    <w:rsid w:val="006D46AA"/>
    <w:rsid w:val="006D4BE8"/>
    <w:rsid w:val="006D4C79"/>
    <w:rsid w:val="006D52A9"/>
    <w:rsid w:val="006D5989"/>
    <w:rsid w:val="006D662E"/>
    <w:rsid w:val="006D6C7B"/>
    <w:rsid w:val="006E079B"/>
    <w:rsid w:val="006E1220"/>
    <w:rsid w:val="006E1F92"/>
    <w:rsid w:val="006E2598"/>
    <w:rsid w:val="006E6356"/>
    <w:rsid w:val="006E67FB"/>
    <w:rsid w:val="006E6C8E"/>
    <w:rsid w:val="006F132D"/>
    <w:rsid w:val="006F1C19"/>
    <w:rsid w:val="006F3003"/>
    <w:rsid w:val="006F3A48"/>
    <w:rsid w:val="006F3DB1"/>
    <w:rsid w:val="006F4515"/>
    <w:rsid w:val="006F49B6"/>
    <w:rsid w:val="006F542E"/>
    <w:rsid w:val="006F5A99"/>
    <w:rsid w:val="006F6972"/>
    <w:rsid w:val="007002AA"/>
    <w:rsid w:val="00700921"/>
    <w:rsid w:val="00700E1F"/>
    <w:rsid w:val="00705D43"/>
    <w:rsid w:val="0070628E"/>
    <w:rsid w:val="00707A12"/>
    <w:rsid w:val="0071054C"/>
    <w:rsid w:val="0071116F"/>
    <w:rsid w:val="00711489"/>
    <w:rsid w:val="00711E10"/>
    <w:rsid w:val="00712BFA"/>
    <w:rsid w:val="00712F7B"/>
    <w:rsid w:val="00713DFB"/>
    <w:rsid w:val="00714916"/>
    <w:rsid w:val="00714D2D"/>
    <w:rsid w:val="00715EC6"/>
    <w:rsid w:val="00717CEF"/>
    <w:rsid w:val="0072021A"/>
    <w:rsid w:val="0072195A"/>
    <w:rsid w:val="00722284"/>
    <w:rsid w:val="0072296C"/>
    <w:rsid w:val="00722E81"/>
    <w:rsid w:val="00723FB7"/>
    <w:rsid w:val="00730ACA"/>
    <w:rsid w:val="00730C03"/>
    <w:rsid w:val="00732152"/>
    <w:rsid w:val="00733E6E"/>
    <w:rsid w:val="007344A9"/>
    <w:rsid w:val="00734575"/>
    <w:rsid w:val="00735CFC"/>
    <w:rsid w:val="00735D71"/>
    <w:rsid w:val="00736148"/>
    <w:rsid w:val="00736A76"/>
    <w:rsid w:val="00736B32"/>
    <w:rsid w:val="007401E7"/>
    <w:rsid w:val="00743156"/>
    <w:rsid w:val="00743564"/>
    <w:rsid w:val="007449D5"/>
    <w:rsid w:val="00745E15"/>
    <w:rsid w:val="007475EE"/>
    <w:rsid w:val="007478D2"/>
    <w:rsid w:val="00750F8A"/>
    <w:rsid w:val="00751019"/>
    <w:rsid w:val="007559EB"/>
    <w:rsid w:val="00757520"/>
    <w:rsid w:val="007577E7"/>
    <w:rsid w:val="007605A9"/>
    <w:rsid w:val="0076167D"/>
    <w:rsid w:val="0076289B"/>
    <w:rsid w:val="00762912"/>
    <w:rsid w:val="00763E0D"/>
    <w:rsid w:val="0076475D"/>
    <w:rsid w:val="007649AC"/>
    <w:rsid w:val="00766EBB"/>
    <w:rsid w:val="007722FA"/>
    <w:rsid w:val="00772B3D"/>
    <w:rsid w:val="0077380F"/>
    <w:rsid w:val="007743CA"/>
    <w:rsid w:val="00776403"/>
    <w:rsid w:val="00777B4C"/>
    <w:rsid w:val="00781923"/>
    <w:rsid w:val="00784009"/>
    <w:rsid w:val="00784CB0"/>
    <w:rsid w:val="0078524F"/>
    <w:rsid w:val="00785558"/>
    <w:rsid w:val="007868B0"/>
    <w:rsid w:val="00786F12"/>
    <w:rsid w:val="0078751B"/>
    <w:rsid w:val="007902F5"/>
    <w:rsid w:val="00790968"/>
    <w:rsid w:val="00790CF3"/>
    <w:rsid w:val="00793ECD"/>
    <w:rsid w:val="0079464C"/>
    <w:rsid w:val="00794717"/>
    <w:rsid w:val="00795A02"/>
    <w:rsid w:val="0079648C"/>
    <w:rsid w:val="00797105"/>
    <w:rsid w:val="007978CE"/>
    <w:rsid w:val="00797D07"/>
    <w:rsid w:val="007A0729"/>
    <w:rsid w:val="007A3193"/>
    <w:rsid w:val="007A3C25"/>
    <w:rsid w:val="007A4717"/>
    <w:rsid w:val="007A5A52"/>
    <w:rsid w:val="007A7508"/>
    <w:rsid w:val="007C1C1A"/>
    <w:rsid w:val="007C1EAE"/>
    <w:rsid w:val="007C2E80"/>
    <w:rsid w:val="007C3DF3"/>
    <w:rsid w:val="007C47D1"/>
    <w:rsid w:val="007C5873"/>
    <w:rsid w:val="007C5CBD"/>
    <w:rsid w:val="007C671F"/>
    <w:rsid w:val="007C6FAB"/>
    <w:rsid w:val="007C7398"/>
    <w:rsid w:val="007D0A59"/>
    <w:rsid w:val="007D0D89"/>
    <w:rsid w:val="007D2503"/>
    <w:rsid w:val="007D2EE1"/>
    <w:rsid w:val="007D52A8"/>
    <w:rsid w:val="007D52CD"/>
    <w:rsid w:val="007D5FAC"/>
    <w:rsid w:val="007D6479"/>
    <w:rsid w:val="007D7BC7"/>
    <w:rsid w:val="007E2EBE"/>
    <w:rsid w:val="007E2F82"/>
    <w:rsid w:val="007E3568"/>
    <w:rsid w:val="007E543F"/>
    <w:rsid w:val="007E552C"/>
    <w:rsid w:val="007F0464"/>
    <w:rsid w:val="007F1325"/>
    <w:rsid w:val="007F141A"/>
    <w:rsid w:val="007F3D00"/>
    <w:rsid w:val="007F3D98"/>
    <w:rsid w:val="007F4654"/>
    <w:rsid w:val="007F794E"/>
    <w:rsid w:val="00801FBF"/>
    <w:rsid w:val="00803D3C"/>
    <w:rsid w:val="00805272"/>
    <w:rsid w:val="0081037F"/>
    <w:rsid w:val="008109D2"/>
    <w:rsid w:val="008111F7"/>
    <w:rsid w:val="00813477"/>
    <w:rsid w:val="00814876"/>
    <w:rsid w:val="00814B12"/>
    <w:rsid w:val="00814FD0"/>
    <w:rsid w:val="008152E2"/>
    <w:rsid w:val="008169FD"/>
    <w:rsid w:val="00821CB7"/>
    <w:rsid w:val="00821FFD"/>
    <w:rsid w:val="008220BA"/>
    <w:rsid w:val="0082252B"/>
    <w:rsid w:val="008236DB"/>
    <w:rsid w:val="00823E33"/>
    <w:rsid w:val="008248B3"/>
    <w:rsid w:val="00827A4C"/>
    <w:rsid w:val="00830E6E"/>
    <w:rsid w:val="0083138A"/>
    <w:rsid w:val="00833FFC"/>
    <w:rsid w:val="00834277"/>
    <w:rsid w:val="008346FE"/>
    <w:rsid w:val="00837C07"/>
    <w:rsid w:val="00840686"/>
    <w:rsid w:val="00842E41"/>
    <w:rsid w:val="00846030"/>
    <w:rsid w:val="008465C2"/>
    <w:rsid w:val="00847371"/>
    <w:rsid w:val="00847915"/>
    <w:rsid w:val="008508A7"/>
    <w:rsid w:val="008509FE"/>
    <w:rsid w:val="0085211F"/>
    <w:rsid w:val="00853C48"/>
    <w:rsid w:val="00853DFF"/>
    <w:rsid w:val="008551D9"/>
    <w:rsid w:val="0085573E"/>
    <w:rsid w:val="00861129"/>
    <w:rsid w:val="00865DB7"/>
    <w:rsid w:val="008661E8"/>
    <w:rsid w:val="0086668C"/>
    <w:rsid w:val="008709E1"/>
    <w:rsid w:val="00871AEF"/>
    <w:rsid w:val="00872F1F"/>
    <w:rsid w:val="00873183"/>
    <w:rsid w:val="008738A6"/>
    <w:rsid w:val="00873AB9"/>
    <w:rsid w:val="00873FFC"/>
    <w:rsid w:val="008744DC"/>
    <w:rsid w:val="00874CED"/>
    <w:rsid w:val="008754B1"/>
    <w:rsid w:val="00877C5C"/>
    <w:rsid w:val="00881142"/>
    <w:rsid w:val="00881AB0"/>
    <w:rsid w:val="00881FB4"/>
    <w:rsid w:val="00882020"/>
    <w:rsid w:val="00882D35"/>
    <w:rsid w:val="00884B22"/>
    <w:rsid w:val="00884C1F"/>
    <w:rsid w:val="00884D9A"/>
    <w:rsid w:val="008900A0"/>
    <w:rsid w:val="00890AA9"/>
    <w:rsid w:val="0089106B"/>
    <w:rsid w:val="008926F5"/>
    <w:rsid w:val="00893F4F"/>
    <w:rsid w:val="00894645"/>
    <w:rsid w:val="00894D7F"/>
    <w:rsid w:val="0089500F"/>
    <w:rsid w:val="00896BB7"/>
    <w:rsid w:val="008972FD"/>
    <w:rsid w:val="008A02F5"/>
    <w:rsid w:val="008A14AB"/>
    <w:rsid w:val="008A321F"/>
    <w:rsid w:val="008A39DF"/>
    <w:rsid w:val="008A41EB"/>
    <w:rsid w:val="008A6840"/>
    <w:rsid w:val="008B0B83"/>
    <w:rsid w:val="008B2EA8"/>
    <w:rsid w:val="008B3077"/>
    <w:rsid w:val="008B3765"/>
    <w:rsid w:val="008B62E2"/>
    <w:rsid w:val="008C0020"/>
    <w:rsid w:val="008C10D8"/>
    <w:rsid w:val="008C144B"/>
    <w:rsid w:val="008C4388"/>
    <w:rsid w:val="008C4B4E"/>
    <w:rsid w:val="008C4EC6"/>
    <w:rsid w:val="008C5BDB"/>
    <w:rsid w:val="008C5BDF"/>
    <w:rsid w:val="008C6088"/>
    <w:rsid w:val="008C67F8"/>
    <w:rsid w:val="008C77DF"/>
    <w:rsid w:val="008D01A0"/>
    <w:rsid w:val="008D12CF"/>
    <w:rsid w:val="008D1981"/>
    <w:rsid w:val="008D1F63"/>
    <w:rsid w:val="008D282B"/>
    <w:rsid w:val="008D2C83"/>
    <w:rsid w:val="008D45DF"/>
    <w:rsid w:val="008D501E"/>
    <w:rsid w:val="008D526F"/>
    <w:rsid w:val="008D626F"/>
    <w:rsid w:val="008D68E6"/>
    <w:rsid w:val="008D6996"/>
    <w:rsid w:val="008D6B7B"/>
    <w:rsid w:val="008D6C88"/>
    <w:rsid w:val="008D7010"/>
    <w:rsid w:val="008D7B86"/>
    <w:rsid w:val="008E0503"/>
    <w:rsid w:val="008E113E"/>
    <w:rsid w:val="008E1CA2"/>
    <w:rsid w:val="008E2DEA"/>
    <w:rsid w:val="008E3001"/>
    <w:rsid w:val="008E3B98"/>
    <w:rsid w:val="008E4CE6"/>
    <w:rsid w:val="008E4DF6"/>
    <w:rsid w:val="008E71D5"/>
    <w:rsid w:val="008E7FC4"/>
    <w:rsid w:val="008F00C5"/>
    <w:rsid w:val="008F18F6"/>
    <w:rsid w:val="008F27E6"/>
    <w:rsid w:val="008F3832"/>
    <w:rsid w:val="008F3E40"/>
    <w:rsid w:val="008F5028"/>
    <w:rsid w:val="008F5C5E"/>
    <w:rsid w:val="008F69C7"/>
    <w:rsid w:val="008F6BF4"/>
    <w:rsid w:val="00903200"/>
    <w:rsid w:val="00903978"/>
    <w:rsid w:val="00903B9A"/>
    <w:rsid w:val="00903E7B"/>
    <w:rsid w:val="009048A7"/>
    <w:rsid w:val="00904C79"/>
    <w:rsid w:val="00905847"/>
    <w:rsid w:val="009073FE"/>
    <w:rsid w:val="009104BD"/>
    <w:rsid w:val="00910F33"/>
    <w:rsid w:val="00912F81"/>
    <w:rsid w:val="00914405"/>
    <w:rsid w:val="00915964"/>
    <w:rsid w:val="00916E45"/>
    <w:rsid w:val="00917880"/>
    <w:rsid w:val="00920199"/>
    <w:rsid w:val="009201B5"/>
    <w:rsid w:val="00920BA8"/>
    <w:rsid w:val="00923965"/>
    <w:rsid w:val="009243AC"/>
    <w:rsid w:val="0092721C"/>
    <w:rsid w:val="009302BC"/>
    <w:rsid w:val="009302E2"/>
    <w:rsid w:val="009305D2"/>
    <w:rsid w:val="00930F17"/>
    <w:rsid w:val="00932637"/>
    <w:rsid w:val="00934021"/>
    <w:rsid w:val="00934830"/>
    <w:rsid w:val="00935252"/>
    <w:rsid w:val="00935CDC"/>
    <w:rsid w:val="00936E3B"/>
    <w:rsid w:val="0093715C"/>
    <w:rsid w:val="00942FE6"/>
    <w:rsid w:val="00943762"/>
    <w:rsid w:val="00943D55"/>
    <w:rsid w:val="009441C5"/>
    <w:rsid w:val="00944B21"/>
    <w:rsid w:val="00944F62"/>
    <w:rsid w:val="00945FA3"/>
    <w:rsid w:val="009473FE"/>
    <w:rsid w:val="00951C1B"/>
    <w:rsid w:val="0095244B"/>
    <w:rsid w:val="00952BB4"/>
    <w:rsid w:val="00952BCA"/>
    <w:rsid w:val="0095445C"/>
    <w:rsid w:val="00954550"/>
    <w:rsid w:val="00956513"/>
    <w:rsid w:val="00956EF4"/>
    <w:rsid w:val="009573D2"/>
    <w:rsid w:val="00957B12"/>
    <w:rsid w:val="00960E03"/>
    <w:rsid w:val="00963E09"/>
    <w:rsid w:val="00966797"/>
    <w:rsid w:val="00967F78"/>
    <w:rsid w:val="00970C17"/>
    <w:rsid w:val="00971732"/>
    <w:rsid w:val="00972A26"/>
    <w:rsid w:val="009772D5"/>
    <w:rsid w:val="00980230"/>
    <w:rsid w:val="0098055C"/>
    <w:rsid w:val="00980AE6"/>
    <w:rsid w:val="0098171A"/>
    <w:rsid w:val="00981C34"/>
    <w:rsid w:val="00982C89"/>
    <w:rsid w:val="009832FF"/>
    <w:rsid w:val="0098526D"/>
    <w:rsid w:val="00987CEF"/>
    <w:rsid w:val="00990A91"/>
    <w:rsid w:val="00990BFB"/>
    <w:rsid w:val="00992262"/>
    <w:rsid w:val="00992EF0"/>
    <w:rsid w:val="00993A92"/>
    <w:rsid w:val="009948F7"/>
    <w:rsid w:val="0099682B"/>
    <w:rsid w:val="00996975"/>
    <w:rsid w:val="009A0CB9"/>
    <w:rsid w:val="009A4472"/>
    <w:rsid w:val="009A50F2"/>
    <w:rsid w:val="009A5C09"/>
    <w:rsid w:val="009A723F"/>
    <w:rsid w:val="009B2876"/>
    <w:rsid w:val="009B3202"/>
    <w:rsid w:val="009B4732"/>
    <w:rsid w:val="009B5355"/>
    <w:rsid w:val="009B5A13"/>
    <w:rsid w:val="009B5D2C"/>
    <w:rsid w:val="009B5E85"/>
    <w:rsid w:val="009B7C1E"/>
    <w:rsid w:val="009B7FB8"/>
    <w:rsid w:val="009C018C"/>
    <w:rsid w:val="009C2509"/>
    <w:rsid w:val="009C4FC6"/>
    <w:rsid w:val="009C6CAB"/>
    <w:rsid w:val="009D0A67"/>
    <w:rsid w:val="009D0BDD"/>
    <w:rsid w:val="009D0FFD"/>
    <w:rsid w:val="009D30D9"/>
    <w:rsid w:val="009D34F1"/>
    <w:rsid w:val="009D4CB2"/>
    <w:rsid w:val="009D4DA2"/>
    <w:rsid w:val="009D6922"/>
    <w:rsid w:val="009E1A9A"/>
    <w:rsid w:val="009E375D"/>
    <w:rsid w:val="009E45D0"/>
    <w:rsid w:val="009E6F30"/>
    <w:rsid w:val="009F25A3"/>
    <w:rsid w:val="009F2F54"/>
    <w:rsid w:val="009F3D7E"/>
    <w:rsid w:val="009F3F56"/>
    <w:rsid w:val="009F5F09"/>
    <w:rsid w:val="009F612D"/>
    <w:rsid w:val="009F68F9"/>
    <w:rsid w:val="009F6D13"/>
    <w:rsid w:val="00A01DFD"/>
    <w:rsid w:val="00A04DA3"/>
    <w:rsid w:val="00A05C2D"/>
    <w:rsid w:val="00A06278"/>
    <w:rsid w:val="00A06EF1"/>
    <w:rsid w:val="00A0716D"/>
    <w:rsid w:val="00A07274"/>
    <w:rsid w:val="00A0733D"/>
    <w:rsid w:val="00A10A7C"/>
    <w:rsid w:val="00A13AEC"/>
    <w:rsid w:val="00A14EA1"/>
    <w:rsid w:val="00A17335"/>
    <w:rsid w:val="00A2064C"/>
    <w:rsid w:val="00A233D2"/>
    <w:rsid w:val="00A23AE3"/>
    <w:rsid w:val="00A240CA"/>
    <w:rsid w:val="00A24485"/>
    <w:rsid w:val="00A2538D"/>
    <w:rsid w:val="00A257F7"/>
    <w:rsid w:val="00A2623E"/>
    <w:rsid w:val="00A27277"/>
    <w:rsid w:val="00A27722"/>
    <w:rsid w:val="00A27FB2"/>
    <w:rsid w:val="00A309D6"/>
    <w:rsid w:val="00A31753"/>
    <w:rsid w:val="00A31C4C"/>
    <w:rsid w:val="00A332A0"/>
    <w:rsid w:val="00A33CC4"/>
    <w:rsid w:val="00A346EC"/>
    <w:rsid w:val="00A346FD"/>
    <w:rsid w:val="00A3529C"/>
    <w:rsid w:val="00A35A4E"/>
    <w:rsid w:val="00A3632A"/>
    <w:rsid w:val="00A36D07"/>
    <w:rsid w:val="00A36D9A"/>
    <w:rsid w:val="00A40A2B"/>
    <w:rsid w:val="00A42BC4"/>
    <w:rsid w:val="00A4334E"/>
    <w:rsid w:val="00A43640"/>
    <w:rsid w:val="00A43F31"/>
    <w:rsid w:val="00A441CE"/>
    <w:rsid w:val="00A44750"/>
    <w:rsid w:val="00A4535D"/>
    <w:rsid w:val="00A46220"/>
    <w:rsid w:val="00A46DA5"/>
    <w:rsid w:val="00A47583"/>
    <w:rsid w:val="00A512D9"/>
    <w:rsid w:val="00A513FD"/>
    <w:rsid w:val="00A51D42"/>
    <w:rsid w:val="00A54A51"/>
    <w:rsid w:val="00A54C2B"/>
    <w:rsid w:val="00A55E7A"/>
    <w:rsid w:val="00A560A6"/>
    <w:rsid w:val="00A56335"/>
    <w:rsid w:val="00A56B4D"/>
    <w:rsid w:val="00A6110E"/>
    <w:rsid w:val="00A61E93"/>
    <w:rsid w:val="00A6304F"/>
    <w:rsid w:val="00A63D13"/>
    <w:rsid w:val="00A66067"/>
    <w:rsid w:val="00A669C1"/>
    <w:rsid w:val="00A66F4B"/>
    <w:rsid w:val="00A72112"/>
    <w:rsid w:val="00A725AD"/>
    <w:rsid w:val="00A72F6A"/>
    <w:rsid w:val="00A73A48"/>
    <w:rsid w:val="00A75943"/>
    <w:rsid w:val="00A7625D"/>
    <w:rsid w:val="00A76D06"/>
    <w:rsid w:val="00A77FD7"/>
    <w:rsid w:val="00A81FBB"/>
    <w:rsid w:val="00A821D0"/>
    <w:rsid w:val="00A82AD6"/>
    <w:rsid w:val="00A82EAB"/>
    <w:rsid w:val="00A834B1"/>
    <w:rsid w:val="00A84F36"/>
    <w:rsid w:val="00A84F44"/>
    <w:rsid w:val="00A8501D"/>
    <w:rsid w:val="00A8670C"/>
    <w:rsid w:val="00A867CB"/>
    <w:rsid w:val="00A87F97"/>
    <w:rsid w:val="00A91007"/>
    <w:rsid w:val="00A9196D"/>
    <w:rsid w:val="00A92E86"/>
    <w:rsid w:val="00A93A0C"/>
    <w:rsid w:val="00A96138"/>
    <w:rsid w:val="00A962FD"/>
    <w:rsid w:val="00A96858"/>
    <w:rsid w:val="00A969FF"/>
    <w:rsid w:val="00AA0CDA"/>
    <w:rsid w:val="00AA1F6E"/>
    <w:rsid w:val="00AA370E"/>
    <w:rsid w:val="00AA37F8"/>
    <w:rsid w:val="00AA48B5"/>
    <w:rsid w:val="00AA5193"/>
    <w:rsid w:val="00AA59B3"/>
    <w:rsid w:val="00AA606B"/>
    <w:rsid w:val="00AA7571"/>
    <w:rsid w:val="00AB0E30"/>
    <w:rsid w:val="00AB212C"/>
    <w:rsid w:val="00AB3919"/>
    <w:rsid w:val="00AB3E66"/>
    <w:rsid w:val="00AB477D"/>
    <w:rsid w:val="00AB5229"/>
    <w:rsid w:val="00AB5DE7"/>
    <w:rsid w:val="00AB6D04"/>
    <w:rsid w:val="00AB6D78"/>
    <w:rsid w:val="00AB72A6"/>
    <w:rsid w:val="00AB7DAA"/>
    <w:rsid w:val="00AC0403"/>
    <w:rsid w:val="00AC1D1B"/>
    <w:rsid w:val="00AC2218"/>
    <w:rsid w:val="00AC6326"/>
    <w:rsid w:val="00AC67C7"/>
    <w:rsid w:val="00AD029D"/>
    <w:rsid w:val="00AD3AEE"/>
    <w:rsid w:val="00AD44F9"/>
    <w:rsid w:val="00AE013B"/>
    <w:rsid w:val="00AE0219"/>
    <w:rsid w:val="00AE1233"/>
    <w:rsid w:val="00AE1850"/>
    <w:rsid w:val="00AE1E9B"/>
    <w:rsid w:val="00AE23FD"/>
    <w:rsid w:val="00AE3990"/>
    <w:rsid w:val="00AE3B88"/>
    <w:rsid w:val="00AE52DE"/>
    <w:rsid w:val="00AE6369"/>
    <w:rsid w:val="00AE63DE"/>
    <w:rsid w:val="00AF0F7C"/>
    <w:rsid w:val="00AF1F50"/>
    <w:rsid w:val="00AF26B3"/>
    <w:rsid w:val="00AF65A2"/>
    <w:rsid w:val="00AF6936"/>
    <w:rsid w:val="00AF771D"/>
    <w:rsid w:val="00B00AB4"/>
    <w:rsid w:val="00B00CD9"/>
    <w:rsid w:val="00B014A0"/>
    <w:rsid w:val="00B0153F"/>
    <w:rsid w:val="00B02808"/>
    <w:rsid w:val="00B03135"/>
    <w:rsid w:val="00B04178"/>
    <w:rsid w:val="00B048CC"/>
    <w:rsid w:val="00B04A34"/>
    <w:rsid w:val="00B04AD7"/>
    <w:rsid w:val="00B06FE2"/>
    <w:rsid w:val="00B074F2"/>
    <w:rsid w:val="00B11259"/>
    <w:rsid w:val="00B112C8"/>
    <w:rsid w:val="00B11E90"/>
    <w:rsid w:val="00B123F1"/>
    <w:rsid w:val="00B127DF"/>
    <w:rsid w:val="00B13A9C"/>
    <w:rsid w:val="00B14184"/>
    <w:rsid w:val="00B151D8"/>
    <w:rsid w:val="00B154ED"/>
    <w:rsid w:val="00B1613E"/>
    <w:rsid w:val="00B16AC2"/>
    <w:rsid w:val="00B16B19"/>
    <w:rsid w:val="00B17AE7"/>
    <w:rsid w:val="00B20BE1"/>
    <w:rsid w:val="00B2139C"/>
    <w:rsid w:val="00B25177"/>
    <w:rsid w:val="00B25A20"/>
    <w:rsid w:val="00B264F5"/>
    <w:rsid w:val="00B26902"/>
    <w:rsid w:val="00B26C68"/>
    <w:rsid w:val="00B27C2E"/>
    <w:rsid w:val="00B30171"/>
    <w:rsid w:val="00B302F5"/>
    <w:rsid w:val="00B30C99"/>
    <w:rsid w:val="00B3356F"/>
    <w:rsid w:val="00B33E5B"/>
    <w:rsid w:val="00B35420"/>
    <w:rsid w:val="00B355AB"/>
    <w:rsid w:val="00B36F20"/>
    <w:rsid w:val="00B37719"/>
    <w:rsid w:val="00B40729"/>
    <w:rsid w:val="00B408F2"/>
    <w:rsid w:val="00B41734"/>
    <w:rsid w:val="00B42B5E"/>
    <w:rsid w:val="00B43266"/>
    <w:rsid w:val="00B45827"/>
    <w:rsid w:val="00B461F9"/>
    <w:rsid w:val="00B474D0"/>
    <w:rsid w:val="00B5020D"/>
    <w:rsid w:val="00B52167"/>
    <w:rsid w:val="00B53218"/>
    <w:rsid w:val="00B54606"/>
    <w:rsid w:val="00B546E3"/>
    <w:rsid w:val="00B55087"/>
    <w:rsid w:val="00B55158"/>
    <w:rsid w:val="00B559EC"/>
    <w:rsid w:val="00B55E04"/>
    <w:rsid w:val="00B5600C"/>
    <w:rsid w:val="00B569DE"/>
    <w:rsid w:val="00B57069"/>
    <w:rsid w:val="00B57CE0"/>
    <w:rsid w:val="00B61596"/>
    <w:rsid w:val="00B62092"/>
    <w:rsid w:val="00B64BC3"/>
    <w:rsid w:val="00B65D4D"/>
    <w:rsid w:val="00B661C0"/>
    <w:rsid w:val="00B66FDF"/>
    <w:rsid w:val="00B70712"/>
    <w:rsid w:val="00B70BB7"/>
    <w:rsid w:val="00B717EC"/>
    <w:rsid w:val="00B72DB8"/>
    <w:rsid w:val="00B744CF"/>
    <w:rsid w:val="00B75363"/>
    <w:rsid w:val="00B766EE"/>
    <w:rsid w:val="00B8029F"/>
    <w:rsid w:val="00B81C16"/>
    <w:rsid w:val="00B8226C"/>
    <w:rsid w:val="00B851ED"/>
    <w:rsid w:val="00B856E6"/>
    <w:rsid w:val="00B86940"/>
    <w:rsid w:val="00B86DF8"/>
    <w:rsid w:val="00B8706D"/>
    <w:rsid w:val="00B90160"/>
    <w:rsid w:val="00B9134A"/>
    <w:rsid w:val="00B91CDD"/>
    <w:rsid w:val="00B92B28"/>
    <w:rsid w:val="00B930A6"/>
    <w:rsid w:val="00B96434"/>
    <w:rsid w:val="00B9722B"/>
    <w:rsid w:val="00B972CE"/>
    <w:rsid w:val="00BA0166"/>
    <w:rsid w:val="00BA1570"/>
    <w:rsid w:val="00BA2BDC"/>
    <w:rsid w:val="00BA3F55"/>
    <w:rsid w:val="00BA4270"/>
    <w:rsid w:val="00BA508D"/>
    <w:rsid w:val="00BA524D"/>
    <w:rsid w:val="00BB0F3A"/>
    <w:rsid w:val="00BB16D6"/>
    <w:rsid w:val="00BB1925"/>
    <w:rsid w:val="00BB1D52"/>
    <w:rsid w:val="00BB1F7B"/>
    <w:rsid w:val="00BB2086"/>
    <w:rsid w:val="00BB5974"/>
    <w:rsid w:val="00BC15E1"/>
    <w:rsid w:val="00BC1B9A"/>
    <w:rsid w:val="00BC47DD"/>
    <w:rsid w:val="00BC538C"/>
    <w:rsid w:val="00BC67EE"/>
    <w:rsid w:val="00BD1982"/>
    <w:rsid w:val="00BD222E"/>
    <w:rsid w:val="00BD2E20"/>
    <w:rsid w:val="00BD31B1"/>
    <w:rsid w:val="00BD6961"/>
    <w:rsid w:val="00BE0A11"/>
    <w:rsid w:val="00BE0C01"/>
    <w:rsid w:val="00BE0E84"/>
    <w:rsid w:val="00BE249A"/>
    <w:rsid w:val="00BE3F9A"/>
    <w:rsid w:val="00BE4F0A"/>
    <w:rsid w:val="00BE573B"/>
    <w:rsid w:val="00BE60AA"/>
    <w:rsid w:val="00BF0A32"/>
    <w:rsid w:val="00BF1B0B"/>
    <w:rsid w:val="00BF35F6"/>
    <w:rsid w:val="00BF5E90"/>
    <w:rsid w:val="00BF6FE2"/>
    <w:rsid w:val="00BF7470"/>
    <w:rsid w:val="00BF7C3D"/>
    <w:rsid w:val="00C006F0"/>
    <w:rsid w:val="00C015AA"/>
    <w:rsid w:val="00C04E41"/>
    <w:rsid w:val="00C062D0"/>
    <w:rsid w:val="00C11731"/>
    <w:rsid w:val="00C1294A"/>
    <w:rsid w:val="00C16B79"/>
    <w:rsid w:val="00C17D57"/>
    <w:rsid w:val="00C214AD"/>
    <w:rsid w:val="00C21BD8"/>
    <w:rsid w:val="00C24629"/>
    <w:rsid w:val="00C31819"/>
    <w:rsid w:val="00C31A61"/>
    <w:rsid w:val="00C32017"/>
    <w:rsid w:val="00C331F4"/>
    <w:rsid w:val="00C33BE7"/>
    <w:rsid w:val="00C35694"/>
    <w:rsid w:val="00C41CF2"/>
    <w:rsid w:val="00C433ED"/>
    <w:rsid w:val="00C44819"/>
    <w:rsid w:val="00C44E07"/>
    <w:rsid w:val="00C452A5"/>
    <w:rsid w:val="00C45B94"/>
    <w:rsid w:val="00C45BF6"/>
    <w:rsid w:val="00C45F59"/>
    <w:rsid w:val="00C50414"/>
    <w:rsid w:val="00C50808"/>
    <w:rsid w:val="00C513F6"/>
    <w:rsid w:val="00C51AFF"/>
    <w:rsid w:val="00C53120"/>
    <w:rsid w:val="00C536DE"/>
    <w:rsid w:val="00C55064"/>
    <w:rsid w:val="00C55A0E"/>
    <w:rsid w:val="00C56D72"/>
    <w:rsid w:val="00C5794A"/>
    <w:rsid w:val="00C61197"/>
    <w:rsid w:val="00C62EF1"/>
    <w:rsid w:val="00C65F8F"/>
    <w:rsid w:val="00C666CE"/>
    <w:rsid w:val="00C6714F"/>
    <w:rsid w:val="00C674FD"/>
    <w:rsid w:val="00C7077B"/>
    <w:rsid w:val="00C729CD"/>
    <w:rsid w:val="00C73CBE"/>
    <w:rsid w:val="00C7631A"/>
    <w:rsid w:val="00C8251B"/>
    <w:rsid w:val="00C82AFE"/>
    <w:rsid w:val="00C8350E"/>
    <w:rsid w:val="00C86370"/>
    <w:rsid w:val="00C866C5"/>
    <w:rsid w:val="00C8703B"/>
    <w:rsid w:val="00C905CD"/>
    <w:rsid w:val="00C90997"/>
    <w:rsid w:val="00C926CE"/>
    <w:rsid w:val="00C92D00"/>
    <w:rsid w:val="00C93612"/>
    <w:rsid w:val="00C938A2"/>
    <w:rsid w:val="00C96DDA"/>
    <w:rsid w:val="00CA1556"/>
    <w:rsid w:val="00CA2A36"/>
    <w:rsid w:val="00CA3091"/>
    <w:rsid w:val="00CA526E"/>
    <w:rsid w:val="00CA5861"/>
    <w:rsid w:val="00CA63AF"/>
    <w:rsid w:val="00CA6EA9"/>
    <w:rsid w:val="00CA7DF1"/>
    <w:rsid w:val="00CB063E"/>
    <w:rsid w:val="00CB46CA"/>
    <w:rsid w:val="00CB4B84"/>
    <w:rsid w:val="00CB4EC5"/>
    <w:rsid w:val="00CB52A4"/>
    <w:rsid w:val="00CB6349"/>
    <w:rsid w:val="00CB7BA1"/>
    <w:rsid w:val="00CC0C69"/>
    <w:rsid w:val="00CC0DD7"/>
    <w:rsid w:val="00CC4AC7"/>
    <w:rsid w:val="00CC6087"/>
    <w:rsid w:val="00CC65A4"/>
    <w:rsid w:val="00CC7630"/>
    <w:rsid w:val="00CC7C8D"/>
    <w:rsid w:val="00CD0071"/>
    <w:rsid w:val="00CD0B53"/>
    <w:rsid w:val="00CD1EC5"/>
    <w:rsid w:val="00CD2FD4"/>
    <w:rsid w:val="00CD346D"/>
    <w:rsid w:val="00CD4000"/>
    <w:rsid w:val="00CD4CB5"/>
    <w:rsid w:val="00CD609D"/>
    <w:rsid w:val="00CD65F7"/>
    <w:rsid w:val="00CD6EF8"/>
    <w:rsid w:val="00CD7375"/>
    <w:rsid w:val="00CE2071"/>
    <w:rsid w:val="00CE5E68"/>
    <w:rsid w:val="00CE656F"/>
    <w:rsid w:val="00CE68FC"/>
    <w:rsid w:val="00CE7222"/>
    <w:rsid w:val="00CF109F"/>
    <w:rsid w:val="00CF1C41"/>
    <w:rsid w:val="00CF447A"/>
    <w:rsid w:val="00CF4BE7"/>
    <w:rsid w:val="00CF4F00"/>
    <w:rsid w:val="00CF5A1E"/>
    <w:rsid w:val="00CF6285"/>
    <w:rsid w:val="00CF6C78"/>
    <w:rsid w:val="00D018C9"/>
    <w:rsid w:val="00D01F8B"/>
    <w:rsid w:val="00D0286D"/>
    <w:rsid w:val="00D0390E"/>
    <w:rsid w:val="00D049D3"/>
    <w:rsid w:val="00D04E98"/>
    <w:rsid w:val="00D05476"/>
    <w:rsid w:val="00D06517"/>
    <w:rsid w:val="00D06A73"/>
    <w:rsid w:val="00D07EA6"/>
    <w:rsid w:val="00D118B2"/>
    <w:rsid w:val="00D11C4A"/>
    <w:rsid w:val="00D13768"/>
    <w:rsid w:val="00D14795"/>
    <w:rsid w:val="00D16B57"/>
    <w:rsid w:val="00D21726"/>
    <w:rsid w:val="00D21DC1"/>
    <w:rsid w:val="00D22A42"/>
    <w:rsid w:val="00D22D88"/>
    <w:rsid w:val="00D243D3"/>
    <w:rsid w:val="00D26C2F"/>
    <w:rsid w:val="00D336D3"/>
    <w:rsid w:val="00D34FD3"/>
    <w:rsid w:val="00D35E01"/>
    <w:rsid w:val="00D36556"/>
    <w:rsid w:val="00D377DE"/>
    <w:rsid w:val="00D417FD"/>
    <w:rsid w:val="00D41D0F"/>
    <w:rsid w:val="00D42D9F"/>
    <w:rsid w:val="00D43E03"/>
    <w:rsid w:val="00D44C57"/>
    <w:rsid w:val="00D44D36"/>
    <w:rsid w:val="00D45438"/>
    <w:rsid w:val="00D46B14"/>
    <w:rsid w:val="00D46CB7"/>
    <w:rsid w:val="00D46EC5"/>
    <w:rsid w:val="00D47B2F"/>
    <w:rsid w:val="00D47F12"/>
    <w:rsid w:val="00D519C5"/>
    <w:rsid w:val="00D51ECF"/>
    <w:rsid w:val="00D52A58"/>
    <w:rsid w:val="00D53ED9"/>
    <w:rsid w:val="00D564CA"/>
    <w:rsid w:val="00D6024C"/>
    <w:rsid w:val="00D616B8"/>
    <w:rsid w:val="00D61761"/>
    <w:rsid w:val="00D63C15"/>
    <w:rsid w:val="00D64928"/>
    <w:rsid w:val="00D70444"/>
    <w:rsid w:val="00D75CED"/>
    <w:rsid w:val="00D80D4D"/>
    <w:rsid w:val="00D81F1F"/>
    <w:rsid w:val="00D8279E"/>
    <w:rsid w:val="00D83ED0"/>
    <w:rsid w:val="00D84206"/>
    <w:rsid w:val="00D848A7"/>
    <w:rsid w:val="00D850DA"/>
    <w:rsid w:val="00D85520"/>
    <w:rsid w:val="00D860C3"/>
    <w:rsid w:val="00D86291"/>
    <w:rsid w:val="00D86770"/>
    <w:rsid w:val="00D87F19"/>
    <w:rsid w:val="00D90A28"/>
    <w:rsid w:val="00D96690"/>
    <w:rsid w:val="00D96E4A"/>
    <w:rsid w:val="00D974D3"/>
    <w:rsid w:val="00D975E7"/>
    <w:rsid w:val="00DA0916"/>
    <w:rsid w:val="00DA2723"/>
    <w:rsid w:val="00DA5080"/>
    <w:rsid w:val="00DA6452"/>
    <w:rsid w:val="00DA695E"/>
    <w:rsid w:val="00DA6ADA"/>
    <w:rsid w:val="00DA6C53"/>
    <w:rsid w:val="00DA7DC5"/>
    <w:rsid w:val="00DB00DB"/>
    <w:rsid w:val="00DB02AD"/>
    <w:rsid w:val="00DB071D"/>
    <w:rsid w:val="00DB2081"/>
    <w:rsid w:val="00DB3635"/>
    <w:rsid w:val="00DB4AD1"/>
    <w:rsid w:val="00DC0B85"/>
    <w:rsid w:val="00DC18B4"/>
    <w:rsid w:val="00DC23C5"/>
    <w:rsid w:val="00DC2D2C"/>
    <w:rsid w:val="00DC414F"/>
    <w:rsid w:val="00DC43B5"/>
    <w:rsid w:val="00DC6751"/>
    <w:rsid w:val="00DC7051"/>
    <w:rsid w:val="00DD0DB2"/>
    <w:rsid w:val="00DD1196"/>
    <w:rsid w:val="00DD1D64"/>
    <w:rsid w:val="00DD6B1F"/>
    <w:rsid w:val="00DD759C"/>
    <w:rsid w:val="00DD799E"/>
    <w:rsid w:val="00DE0AE4"/>
    <w:rsid w:val="00DE0BB8"/>
    <w:rsid w:val="00DE3399"/>
    <w:rsid w:val="00DE41DB"/>
    <w:rsid w:val="00DF27E2"/>
    <w:rsid w:val="00DF2896"/>
    <w:rsid w:val="00DF2A4F"/>
    <w:rsid w:val="00DF507B"/>
    <w:rsid w:val="00DF637A"/>
    <w:rsid w:val="00DF74C6"/>
    <w:rsid w:val="00E00B59"/>
    <w:rsid w:val="00E01E62"/>
    <w:rsid w:val="00E029A1"/>
    <w:rsid w:val="00E02D97"/>
    <w:rsid w:val="00E054EA"/>
    <w:rsid w:val="00E0577E"/>
    <w:rsid w:val="00E07816"/>
    <w:rsid w:val="00E117CD"/>
    <w:rsid w:val="00E11D84"/>
    <w:rsid w:val="00E124AF"/>
    <w:rsid w:val="00E1286F"/>
    <w:rsid w:val="00E12AFA"/>
    <w:rsid w:val="00E12B6B"/>
    <w:rsid w:val="00E13523"/>
    <w:rsid w:val="00E14A6F"/>
    <w:rsid w:val="00E15E5F"/>
    <w:rsid w:val="00E167EC"/>
    <w:rsid w:val="00E17747"/>
    <w:rsid w:val="00E22DAB"/>
    <w:rsid w:val="00E2565F"/>
    <w:rsid w:val="00E25FE0"/>
    <w:rsid w:val="00E305D4"/>
    <w:rsid w:val="00E31B1C"/>
    <w:rsid w:val="00E33C22"/>
    <w:rsid w:val="00E33D18"/>
    <w:rsid w:val="00E34A48"/>
    <w:rsid w:val="00E3574E"/>
    <w:rsid w:val="00E363D5"/>
    <w:rsid w:val="00E36957"/>
    <w:rsid w:val="00E373F8"/>
    <w:rsid w:val="00E37982"/>
    <w:rsid w:val="00E379D9"/>
    <w:rsid w:val="00E41376"/>
    <w:rsid w:val="00E42FC6"/>
    <w:rsid w:val="00E43F1F"/>
    <w:rsid w:val="00E4494C"/>
    <w:rsid w:val="00E45B25"/>
    <w:rsid w:val="00E502BA"/>
    <w:rsid w:val="00E520E3"/>
    <w:rsid w:val="00E5360E"/>
    <w:rsid w:val="00E617B0"/>
    <w:rsid w:val="00E6205C"/>
    <w:rsid w:val="00E6252B"/>
    <w:rsid w:val="00E64653"/>
    <w:rsid w:val="00E65BBF"/>
    <w:rsid w:val="00E65EDF"/>
    <w:rsid w:val="00E66246"/>
    <w:rsid w:val="00E66729"/>
    <w:rsid w:val="00E67A36"/>
    <w:rsid w:val="00E71A92"/>
    <w:rsid w:val="00E71C71"/>
    <w:rsid w:val="00E71CC7"/>
    <w:rsid w:val="00E7204A"/>
    <w:rsid w:val="00E746D4"/>
    <w:rsid w:val="00E749A3"/>
    <w:rsid w:val="00E749A5"/>
    <w:rsid w:val="00E74D1E"/>
    <w:rsid w:val="00E75779"/>
    <w:rsid w:val="00E7641F"/>
    <w:rsid w:val="00E811D2"/>
    <w:rsid w:val="00E837A9"/>
    <w:rsid w:val="00E867B8"/>
    <w:rsid w:val="00E87DB5"/>
    <w:rsid w:val="00E94C27"/>
    <w:rsid w:val="00E95454"/>
    <w:rsid w:val="00E9548A"/>
    <w:rsid w:val="00EA185B"/>
    <w:rsid w:val="00EA384C"/>
    <w:rsid w:val="00EA3A97"/>
    <w:rsid w:val="00EA4049"/>
    <w:rsid w:val="00EA41DB"/>
    <w:rsid w:val="00EA6C34"/>
    <w:rsid w:val="00EA78A8"/>
    <w:rsid w:val="00EA7D16"/>
    <w:rsid w:val="00EA7EA9"/>
    <w:rsid w:val="00EB0E3E"/>
    <w:rsid w:val="00EB1064"/>
    <w:rsid w:val="00EB12A4"/>
    <w:rsid w:val="00EB16BB"/>
    <w:rsid w:val="00EB1980"/>
    <w:rsid w:val="00EB2A53"/>
    <w:rsid w:val="00EB3AD6"/>
    <w:rsid w:val="00EB51AA"/>
    <w:rsid w:val="00EB6291"/>
    <w:rsid w:val="00EB7344"/>
    <w:rsid w:val="00EB7898"/>
    <w:rsid w:val="00EB795C"/>
    <w:rsid w:val="00EC402D"/>
    <w:rsid w:val="00EC4EF1"/>
    <w:rsid w:val="00EC6BAE"/>
    <w:rsid w:val="00ED041C"/>
    <w:rsid w:val="00ED0447"/>
    <w:rsid w:val="00ED287D"/>
    <w:rsid w:val="00ED3295"/>
    <w:rsid w:val="00ED7113"/>
    <w:rsid w:val="00ED7B5A"/>
    <w:rsid w:val="00EE1004"/>
    <w:rsid w:val="00EE2E38"/>
    <w:rsid w:val="00EE45E5"/>
    <w:rsid w:val="00EE4733"/>
    <w:rsid w:val="00EE4C5E"/>
    <w:rsid w:val="00EE547A"/>
    <w:rsid w:val="00EE582B"/>
    <w:rsid w:val="00EE7894"/>
    <w:rsid w:val="00EF0969"/>
    <w:rsid w:val="00EF11E0"/>
    <w:rsid w:val="00EF22DD"/>
    <w:rsid w:val="00EF62FC"/>
    <w:rsid w:val="00EF7252"/>
    <w:rsid w:val="00F00EF4"/>
    <w:rsid w:val="00F021F4"/>
    <w:rsid w:val="00F02FB9"/>
    <w:rsid w:val="00F0301E"/>
    <w:rsid w:val="00F037D9"/>
    <w:rsid w:val="00F06DB3"/>
    <w:rsid w:val="00F07799"/>
    <w:rsid w:val="00F078B8"/>
    <w:rsid w:val="00F1100E"/>
    <w:rsid w:val="00F115D6"/>
    <w:rsid w:val="00F146EC"/>
    <w:rsid w:val="00F14A31"/>
    <w:rsid w:val="00F14F56"/>
    <w:rsid w:val="00F1617E"/>
    <w:rsid w:val="00F16303"/>
    <w:rsid w:val="00F16D9D"/>
    <w:rsid w:val="00F176B6"/>
    <w:rsid w:val="00F20002"/>
    <w:rsid w:val="00F232A6"/>
    <w:rsid w:val="00F23F40"/>
    <w:rsid w:val="00F251AF"/>
    <w:rsid w:val="00F25526"/>
    <w:rsid w:val="00F26B20"/>
    <w:rsid w:val="00F270E6"/>
    <w:rsid w:val="00F30DB5"/>
    <w:rsid w:val="00F32107"/>
    <w:rsid w:val="00F3271C"/>
    <w:rsid w:val="00F32826"/>
    <w:rsid w:val="00F337DD"/>
    <w:rsid w:val="00F33E31"/>
    <w:rsid w:val="00F415FB"/>
    <w:rsid w:val="00F43740"/>
    <w:rsid w:val="00F43D0D"/>
    <w:rsid w:val="00F43EAE"/>
    <w:rsid w:val="00F45AC0"/>
    <w:rsid w:val="00F4702D"/>
    <w:rsid w:val="00F476C6"/>
    <w:rsid w:val="00F47BFB"/>
    <w:rsid w:val="00F501FE"/>
    <w:rsid w:val="00F50E8F"/>
    <w:rsid w:val="00F53BE1"/>
    <w:rsid w:val="00F56293"/>
    <w:rsid w:val="00F57EC5"/>
    <w:rsid w:val="00F60FAB"/>
    <w:rsid w:val="00F611D4"/>
    <w:rsid w:val="00F61782"/>
    <w:rsid w:val="00F63F55"/>
    <w:rsid w:val="00F6535B"/>
    <w:rsid w:val="00F66669"/>
    <w:rsid w:val="00F70717"/>
    <w:rsid w:val="00F71552"/>
    <w:rsid w:val="00F7340B"/>
    <w:rsid w:val="00F745D4"/>
    <w:rsid w:val="00F74814"/>
    <w:rsid w:val="00F74AFD"/>
    <w:rsid w:val="00F76B94"/>
    <w:rsid w:val="00F80C33"/>
    <w:rsid w:val="00F81941"/>
    <w:rsid w:val="00F8226F"/>
    <w:rsid w:val="00F905AB"/>
    <w:rsid w:val="00F969CF"/>
    <w:rsid w:val="00FA0486"/>
    <w:rsid w:val="00FA27FD"/>
    <w:rsid w:val="00FA3E55"/>
    <w:rsid w:val="00FA5295"/>
    <w:rsid w:val="00FA5FDC"/>
    <w:rsid w:val="00FA660A"/>
    <w:rsid w:val="00FA6CDD"/>
    <w:rsid w:val="00FB0C6B"/>
    <w:rsid w:val="00FB1117"/>
    <w:rsid w:val="00FB3B75"/>
    <w:rsid w:val="00FB4D67"/>
    <w:rsid w:val="00FB51BB"/>
    <w:rsid w:val="00FB63CD"/>
    <w:rsid w:val="00FB6AF9"/>
    <w:rsid w:val="00FB6CA7"/>
    <w:rsid w:val="00FC2280"/>
    <w:rsid w:val="00FC2322"/>
    <w:rsid w:val="00FC2877"/>
    <w:rsid w:val="00FC2DC3"/>
    <w:rsid w:val="00FC4F3C"/>
    <w:rsid w:val="00FC558C"/>
    <w:rsid w:val="00FC5BEC"/>
    <w:rsid w:val="00FC624B"/>
    <w:rsid w:val="00FC6C4A"/>
    <w:rsid w:val="00FD013C"/>
    <w:rsid w:val="00FD14D6"/>
    <w:rsid w:val="00FD43B7"/>
    <w:rsid w:val="00FD5ACD"/>
    <w:rsid w:val="00FD5D53"/>
    <w:rsid w:val="00FD5E28"/>
    <w:rsid w:val="00FD7B2F"/>
    <w:rsid w:val="00FE0BAC"/>
    <w:rsid w:val="00FE1C74"/>
    <w:rsid w:val="00FE2591"/>
    <w:rsid w:val="00FE2F3E"/>
    <w:rsid w:val="00FE307B"/>
    <w:rsid w:val="00FE353A"/>
    <w:rsid w:val="00FE4EBA"/>
    <w:rsid w:val="00FE53A8"/>
    <w:rsid w:val="00FE55B9"/>
    <w:rsid w:val="00FE5976"/>
    <w:rsid w:val="00FE5B68"/>
    <w:rsid w:val="00FE5C60"/>
    <w:rsid w:val="00FE7480"/>
    <w:rsid w:val="00FF0C63"/>
    <w:rsid w:val="00FF0EC6"/>
    <w:rsid w:val="00FF1DAB"/>
    <w:rsid w:val="00FF394A"/>
    <w:rsid w:val="00FF3DF8"/>
    <w:rsid w:val="00FF3E96"/>
    <w:rsid w:val="018204A8"/>
    <w:rsid w:val="036159EE"/>
    <w:rsid w:val="03DF364B"/>
    <w:rsid w:val="04926F71"/>
    <w:rsid w:val="05B517B2"/>
    <w:rsid w:val="0666393D"/>
    <w:rsid w:val="06CC4290"/>
    <w:rsid w:val="070E7A21"/>
    <w:rsid w:val="076A079F"/>
    <w:rsid w:val="078D73D6"/>
    <w:rsid w:val="07D33D16"/>
    <w:rsid w:val="07D505B7"/>
    <w:rsid w:val="09637941"/>
    <w:rsid w:val="0B675B31"/>
    <w:rsid w:val="0BDF51D7"/>
    <w:rsid w:val="0C3615C8"/>
    <w:rsid w:val="0C4861BD"/>
    <w:rsid w:val="0C7E7AA1"/>
    <w:rsid w:val="0CFE3A2E"/>
    <w:rsid w:val="0D0F05D3"/>
    <w:rsid w:val="0D5C668E"/>
    <w:rsid w:val="0D873213"/>
    <w:rsid w:val="0D9425DE"/>
    <w:rsid w:val="0D99361C"/>
    <w:rsid w:val="107D340A"/>
    <w:rsid w:val="10EB4170"/>
    <w:rsid w:val="10F05838"/>
    <w:rsid w:val="113C24CA"/>
    <w:rsid w:val="119D0D41"/>
    <w:rsid w:val="11D57EAE"/>
    <w:rsid w:val="12162C3B"/>
    <w:rsid w:val="130F1D58"/>
    <w:rsid w:val="145263CB"/>
    <w:rsid w:val="146723C1"/>
    <w:rsid w:val="14896182"/>
    <w:rsid w:val="155010AB"/>
    <w:rsid w:val="15572C10"/>
    <w:rsid w:val="15737A45"/>
    <w:rsid w:val="1584594C"/>
    <w:rsid w:val="15907301"/>
    <w:rsid w:val="15A069B5"/>
    <w:rsid w:val="15A90346"/>
    <w:rsid w:val="15B24E31"/>
    <w:rsid w:val="16AA09BD"/>
    <w:rsid w:val="17652C65"/>
    <w:rsid w:val="17833DE3"/>
    <w:rsid w:val="19775424"/>
    <w:rsid w:val="1A241EC0"/>
    <w:rsid w:val="1AE96A89"/>
    <w:rsid w:val="1B7E7DF7"/>
    <w:rsid w:val="1C121D57"/>
    <w:rsid w:val="1C4A137C"/>
    <w:rsid w:val="1C8F1DE9"/>
    <w:rsid w:val="1DA871CA"/>
    <w:rsid w:val="1F11313D"/>
    <w:rsid w:val="1F956998"/>
    <w:rsid w:val="1FA31BDA"/>
    <w:rsid w:val="20DC5C02"/>
    <w:rsid w:val="20DE7ECC"/>
    <w:rsid w:val="20FE711F"/>
    <w:rsid w:val="21241474"/>
    <w:rsid w:val="21A70E96"/>
    <w:rsid w:val="225E4DAF"/>
    <w:rsid w:val="22891E2D"/>
    <w:rsid w:val="22A743B8"/>
    <w:rsid w:val="22D33607"/>
    <w:rsid w:val="23FD2509"/>
    <w:rsid w:val="243943F8"/>
    <w:rsid w:val="24E05430"/>
    <w:rsid w:val="25CA29E7"/>
    <w:rsid w:val="267A7579"/>
    <w:rsid w:val="272231F7"/>
    <w:rsid w:val="27961F1E"/>
    <w:rsid w:val="27AD7C03"/>
    <w:rsid w:val="28C46277"/>
    <w:rsid w:val="29062B05"/>
    <w:rsid w:val="29127A38"/>
    <w:rsid w:val="29B9620C"/>
    <w:rsid w:val="2AA66A22"/>
    <w:rsid w:val="2AAA7342"/>
    <w:rsid w:val="2AB43BC5"/>
    <w:rsid w:val="2B243F83"/>
    <w:rsid w:val="2B556F15"/>
    <w:rsid w:val="2B7F4BC3"/>
    <w:rsid w:val="2CE81BAF"/>
    <w:rsid w:val="2D3C187A"/>
    <w:rsid w:val="2DAC05D8"/>
    <w:rsid w:val="2DE728EA"/>
    <w:rsid w:val="2E726843"/>
    <w:rsid w:val="2EDC02FF"/>
    <w:rsid w:val="2EE87C86"/>
    <w:rsid w:val="2EEC5388"/>
    <w:rsid w:val="3073392F"/>
    <w:rsid w:val="307621D0"/>
    <w:rsid w:val="3172033E"/>
    <w:rsid w:val="3227588C"/>
    <w:rsid w:val="325F6558"/>
    <w:rsid w:val="331653E5"/>
    <w:rsid w:val="341C30A3"/>
    <w:rsid w:val="351529A9"/>
    <w:rsid w:val="35396A06"/>
    <w:rsid w:val="355A74E9"/>
    <w:rsid w:val="35FD1F7A"/>
    <w:rsid w:val="36616918"/>
    <w:rsid w:val="366D672C"/>
    <w:rsid w:val="3676129B"/>
    <w:rsid w:val="36E3150F"/>
    <w:rsid w:val="38310C0D"/>
    <w:rsid w:val="3836614A"/>
    <w:rsid w:val="384A4707"/>
    <w:rsid w:val="385D644E"/>
    <w:rsid w:val="38F33167"/>
    <w:rsid w:val="39C83C69"/>
    <w:rsid w:val="39CE5E1D"/>
    <w:rsid w:val="3A9701E9"/>
    <w:rsid w:val="3B4244C5"/>
    <w:rsid w:val="3BD53EDD"/>
    <w:rsid w:val="3BFD5007"/>
    <w:rsid w:val="3C003247"/>
    <w:rsid w:val="3C8E6F2D"/>
    <w:rsid w:val="3D29758D"/>
    <w:rsid w:val="3D6145DC"/>
    <w:rsid w:val="3E495BEB"/>
    <w:rsid w:val="3E5E0082"/>
    <w:rsid w:val="3EDB4EA4"/>
    <w:rsid w:val="3F9F3463"/>
    <w:rsid w:val="3FC31914"/>
    <w:rsid w:val="405D6728"/>
    <w:rsid w:val="40FD6FDA"/>
    <w:rsid w:val="41110191"/>
    <w:rsid w:val="414A37BB"/>
    <w:rsid w:val="41B45A04"/>
    <w:rsid w:val="42643A73"/>
    <w:rsid w:val="42AA1012"/>
    <w:rsid w:val="43FB66E3"/>
    <w:rsid w:val="44842A36"/>
    <w:rsid w:val="44A458E2"/>
    <w:rsid w:val="44DC7F4B"/>
    <w:rsid w:val="45651876"/>
    <w:rsid w:val="45CC523B"/>
    <w:rsid w:val="466F6CEB"/>
    <w:rsid w:val="46AA377D"/>
    <w:rsid w:val="49363676"/>
    <w:rsid w:val="49713AA7"/>
    <w:rsid w:val="499A2688"/>
    <w:rsid w:val="49D47D5A"/>
    <w:rsid w:val="49F62026"/>
    <w:rsid w:val="4A4B48E3"/>
    <w:rsid w:val="4B1A7369"/>
    <w:rsid w:val="4B5137BF"/>
    <w:rsid w:val="4D774E55"/>
    <w:rsid w:val="4D7B6445"/>
    <w:rsid w:val="4DA86B45"/>
    <w:rsid w:val="4E3720DD"/>
    <w:rsid w:val="4F510F39"/>
    <w:rsid w:val="4F5A0990"/>
    <w:rsid w:val="4FAF38AA"/>
    <w:rsid w:val="51286055"/>
    <w:rsid w:val="51497070"/>
    <w:rsid w:val="51E025FE"/>
    <w:rsid w:val="52922F88"/>
    <w:rsid w:val="52AA4A52"/>
    <w:rsid w:val="52FD675A"/>
    <w:rsid w:val="532B7AD5"/>
    <w:rsid w:val="53D80FA7"/>
    <w:rsid w:val="542D758B"/>
    <w:rsid w:val="5448002A"/>
    <w:rsid w:val="5473349C"/>
    <w:rsid w:val="549E05E7"/>
    <w:rsid w:val="54A3797A"/>
    <w:rsid w:val="54B6223B"/>
    <w:rsid w:val="54E15A0F"/>
    <w:rsid w:val="55344B23"/>
    <w:rsid w:val="56732DC5"/>
    <w:rsid w:val="56C21B98"/>
    <w:rsid w:val="57360F05"/>
    <w:rsid w:val="581F495D"/>
    <w:rsid w:val="58484116"/>
    <w:rsid w:val="58DA78C0"/>
    <w:rsid w:val="58E017CC"/>
    <w:rsid w:val="59F73FC6"/>
    <w:rsid w:val="5A770570"/>
    <w:rsid w:val="5AC859BF"/>
    <w:rsid w:val="5B4C17F1"/>
    <w:rsid w:val="5B9F7FBE"/>
    <w:rsid w:val="5C0F2072"/>
    <w:rsid w:val="5CFC1D50"/>
    <w:rsid w:val="5D4F0A1F"/>
    <w:rsid w:val="5E6C25B6"/>
    <w:rsid w:val="5E84123F"/>
    <w:rsid w:val="5F0028BB"/>
    <w:rsid w:val="5F2528F6"/>
    <w:rsid w:val="5F9764C2"/>
    <w:rsid w:val="603300A7"/>
    <w:rsid w:val="607E0927"/>
    <w:rsid w:val="60D968DA"/>
    <w:rsid w:val="60F41422"/>
    <w:rsid w:val="619D5BCC"/>
    <w:rsid w:val="62107539"/>
    <w:rsid w:val="6233128F"/>
    <w:rsid w:val="62635DDC"/>
    <w:rsid w:val="62FE3555"/>
    <w:rsid w:val="63D7368B"/>
    <w:rsid w:val="63EA24F1"/>
    <w:rsid w:val="657A0549"/>
    <w:rsid w:val="665A104A"/>
    <w:rsid w:val="66ED444E"/>
    <w:rsid w:val="67484273"/>
    <w:rsid w:val="68A603CF"/>
    <w:rsid w:val="69362162"/>
    <w:rsid w:val="69D32689"/>
    <w:rsid w:val="69E27B06"/>
    <w:rsid w:val="69EA623B"/>
    <w:rsid w:val="6A0F3694"/>
    <w:rsid w:val="6A5445FC"/>
    <w:rsid w:val="6A5C1E75"/>
    <w:rsid w:val="6AB76CFB"/>
    <w:rsid w:val="6ABA08C1"/>
    <w:rsid w:val="6BC1702A"/>
    <w:rsid w:val="6C282248"/>
    <w:rsid w:val="6CA07FE2"/>
    <w:rsid w:val="6CBD55AC"/>
    <w:rsid w:val="6CC149BE"/>
    <w:rsid w:val="6DE636A7"/>
    <w:rsid w:val="6DE86594"/>
    <w:rsid w:val="6E5C2511"/>
    <w:rsid w:val="708C6892"/>
    <w:rsid w:val="718764FD"/>
    <w:rsid w:val="725831A5"/>
    <w:rsid w:val="73607DE9"/>
    <w:rsid w:val="73711235"/>
    <w:rsid w:val="73F74CCC"/>
    <w:rsid w:val="74A47C6A"/>
    <w:rsid w:val="753E278B"/>
    <w:rsid w:val="75BE6EB5"/>
    <w:rsid w:val="75DE03EB"/>
    <w:rsid w:val="7815375E"/>
    <w:rsid w:val="78423357"/>
    <w:rsid w:val="790D6252"/>
    <w:rsid w:val="79B750A1"/>
    <w:rsid w:val="7AD8769F"/>
    <w:rsid w:val="7AE40810"/>
    <w:rsid w:val="7B0749C7"/>
    <w:rsid w:val="7BBB6C68"/>
    <w:rsid w:val="7C574749"/>
    <w:rsid w:val="7C8E2CF6"/>
    <w:rsid w:val="7C967B8B"/>
    <w:rsid w:val="7CD015B7"/>
    <w:rsid w:val="7E3F60E7"/>
    <w:rsid w:val="7E4931C0"/>
    <w:rsid w:val="7E7248EE"/>
    <w:rsid w:val="7EEF6C2A"/>
    <w:rsid w:val="7F074C20"/>
    <w:rsid w:val="7F363A3A"/>
    <w:rsid w:val="7FDF1E5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qFormat="1" w:unhideWhenUsed="0" w:uiPriority="99" w:semiHidden="0" w:name="index 4"/>
    <w:lsdException w:uiPriority="99" w:name="index 5" w:locked="1"/>
    <w:lsdException w:uiPriority="99" w:name="index 6" w:locked="1"/>
    <w:lsdException w:uiPriority="99" w:name="index 7" w:locked="1"/>
    <w:lsdException w:uiPriority="99" w:name="index 8" w:locked="1"/>
    <w:lsdException w:uiPriority="99" w:name="index 9" w:locked="1"/>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qFormat="1" w:uiPriority="99" w:semiHidden="0"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2"/>
    <w:qFormat/>
    <w:uiPriority w:val="99"/>
    <w:pPr>
      <w:keepNext/>
      <w:keepLines/>
      <w:spacing w:before="340" w:after="330" w:line="578" w:lineRule="auto"/>
      <w:outlineLvl w:val="0"/>
    </w:pPr>
    <w:rPr>
      <w:b/>
      <w:kern w:val="44"/>
      <w:sz w:val="44"/>
      <w:szCs w:val="20"/>
    </w:rPr>
  </w:style>
  <w:style w:type="paragraph" w:styleId="4">
    <w:name w:val="heading 2"/>
    <w:basedOn w:val="1"/>
    <w:next w:val="1"/>
    <w:qFormat/>
    <w:uiPriority w:val="0"/>
    <w:pPr>
      <w:keepNext/>
      <w:keepLines/>
      <w:spacing w:before="260" w:after="260" w:line="413" w:lineRule="auto"/>
      <w:outlineLvl w:val="1"/>
    </w:pPr>
    <w:rPr>
      <w:rFonts w:ascii="Arial" w:hAnsi="Arial" w:eastAsia="黑体"/>
      <w:b/>
      <w:kern w:val="0"/>
      <w:sz w:val="32"/>
      <w:szCs w:val="20"/>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locked/>
    <w:uiPriority w:val="0"/>
    <w:pPr>
      <w:ind w:firstLine="420"/>
    </w:pPr>
  </w:style>
  <w:style w:type="paragraph" w:styleId="5">
    <w:name w:val="annotation text"/>
    <w:basedOn w:val="1"/>
    <w:link w:val="23"/>
    <w:qFormat/>
    <w:uiPriority w:val="99"/>
    <w:pPr>
      <w:jc w:val="left"/>
    </w:pPr>
    <w:rPr>
      <w:sz w:val="24"/>
      <w:szCs w:val="20"/>
    </w:rPr>
  </w:style>
  <w:style w:type="paragraph" w:styleId="6">
    <w:name w:val="Body Text"/>
    <w:basedOn w:val="1"/>
    <w:link w:val="41"/>
    <w:unhideWhenUsed/>
    <w:qFormat/>
    <w:locked/>
    <w:uiPriority w:val="99"/>
    <w:pPr>
      <w:spacing w:after="120"/>
    </w:pPr>
  </w:style>
  <w:style w:type="paragraph" w:styleId="7">
    <w:name w:val="Body Text Indent"/>
    <w:basedOn w:val="1"/>
    <w:link w:val="24"/>
    <w:qFormat/>
    <w:uiPriority w:val="99"/>
    <w:pPr>
      <w:ind w:firstLine="575" w:firstLineChars="274"/>
    </w:pPr>
    <w:rPr>
      <w:rFonts w:ascii="等线" w:eastAsia="等线"/>
      <w:sz w:val="22"/>
      <w:szCs w:val="20"/>
    </w:rPr>
  </w:style>
  <w:style w:type="paragraph" w:styleId="8">
    <w:name w:val="Block Text"/>
    <w:basedOn w:val="1"/>
    <w:unhideWhenUsed/>
    <w:qFormat/>
    <w:locked/>
    <w:uiPriority w:val="99"/>
    <w:pPr>
      <w:spacing w:after="120"/>
      <w:ind w:left="1440" w:leftChars="700" w:right="1440" w:rightChars="700"/>
    </w:pPr>
  </w:style>
  <w:style w:type="paragraph" w:styleId="9">
    <w:name w:val="index 4"/>
    <w:basedOn w:val="1"/>
    <w:next w:val="1"/>
    <w:qFormat/>
    <w:uiPriority w:val="99"/>
    <w:pPr>
      <w:ind w:left="600" w:leftChars="600"/>
    </w:pPr>
    <w:rPr>
      <w:rFonts w:ascii="Verdana" w:hAnsi="Verdana"/>
    </w:rPr>
  </w:style>
  <w:style w:type="paragraph" w:styleId="10">
    <w:name w:val="Plain Text"/>
    <w:basedOn w:val="1"/>
    <w:link w:val="25"/>
    <w:qFormat/>
    <w:uiPriority w:val="0"/>
    <w:rPr>
      <w:rFonts w:ascii="宋体" w:hAnsi="Courier New"/>
      <w:szCs w:val="20"/>
    </w:rPr>
  </w:style>
  <w:style w:type="paragraph" w:styleId="11">
    <w:name w:val="Date"/>
    <w:basedOn w:val="1"/>
    <w:next w:val="1"/>
    <w:link w:val="26"/>
    <w:qFormat/>
    <w:uiPriority w:val="99"/>
    <w:pPr>
      <w:ind w:left="100" w:leftChars="2500"/>
    </w:pPr>
    <w:rPr>
      <w:sz w:val="24"/>
      <w:szCs w:val="20"/>
    </w:rPr>
  </w:style>
  <w:style w:type="paragraph" w:styleId="12">
    <w:name w:val="footer"/>
    <w:basedOn w:val="1"/>
    <w:link w:val="27"/>
    <w:qFormat/>
    <w:uiPriority w:val="99"/>
    <w:pPr>
      <w:tabs>
        <w:tab w:val="center" w:pos="4153"/>
        <w:tab w:val="right" w:pos="8306"/>
      </w:tabs>
      <w:snapToGrid w:val="0"/>
      <w:jc w:val="left"/>
    </w:pPr>
    <w:rPr>
      <w:kern w:val="0"/>
      <w:sz w:val="18"/>
      <w:szCs w:val="18"/>
    </w:rPr>
  </w:style>
  <w:style w:type="paragraph" w:styleId="13">
    <w:name w:val="header"/>
    <w:basedOn w:val="1"/>
    <w:link w:val="28"/>
    <w:qFormat/>
    <w:uiPriority w:val="99"/>
    <w:pPr>
      <w:pBdr>
        <w:bottom w:val="single" w:color="auto" w:sz="6" w:space="1"/>
      </w:pBdr>
      <w:tabs>
        <w:tab w:val="center" w:pos="4153"/>
        <w:tab w:val="right" w:pos="8306"/>
      </w:tabs>
      <w:snapToGrid w:val="0"/>
      <w:jc w:val="center"/>
    </w:pPr>
    <w:rPr>
      <w:sz w:val="18"/>
      <w:szCs w:val="20"/>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5">
    <w:name w:val="annotation subject"/>
    <w:basedOn w:val="5"/>
    <w:next w:val="5"/>
    <w:link w:val="29"/>
    <w:qFormat/>
    <w:uiPriority w:val="99"/>
    <w:rPr>
      <w:b/>
    </w:rPr>
  </w:style>
  <w:style w:type="table" w:styleId="17">
    <w:name w:val="Table Grid"/>
    <w:basedOn w:val="1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locked/>
    <w:uiPriority w:val="0"/>
  </w:style>
  <w:style w:type="character" w:styleId="20">
    <w:name w:val="Hyperlink"/>
    <w:qFormat/>
    <w:uiPriority w:val="99"/>
    <w:rPr>
      <w:rFonts w:cs="Times New Roman"/>
      <w:color w:val="0563C1"/>
      <w:u w:val="single"/>
    </w:rPr>
  </w:style>
  <w:style w:type="character" w:styleId="21">
    <w:name w:val="annotation reference"/>
    <w:basedOn w:val="18"/>
    <w:qFormat/>
    <w:uiPriority w:val="99"/>
    <w:rPr>
      <w:rFonts w:cs="Times New Roman"/>
      <w:sz w:val="21"/>
    </w:rPr>
  </w:style>
  <w:style w:type="character" w:customStyle="1" w:styleId="22">
    <w:name w:val="标题 1 字符"/>
    <w:link w:val="3"/>
    <w:qFormat/>
    <w:locked/>
    <w:uiPriority w:val="99"/>
    <w:rPr>
      <w:rFonts w:cs="Times New Roman"/>
      <w:b/>
      <w:kern w:val="44"/>
      <w:sz w:val="44"/>
    </w:rPr>
  </w:style>
  <w:style w:type="character" w:customStyle="1" w:styleId="23">
    <w:name w:val="批注文字 字符"/>
    <w:link w:val="5"/>
    <w:qFormat/>
    <w:locked/>
    <w:uiPriority w:val="99"/>
    <w:rPr>
      <w:rFonts w:cs="Times New Roman"/>
      <w:kern w:val="2"/>
      <w:sz w:val="24"/>
    </w:rPr>
  </w:style>
  <w:style w:type="character" w:customStyle="1" w:styleId="24">
    <w:name w:val="正文文本缩进 字符"/>
    <w:link w:val="7"/>
    <w:qFormat/>
    <w:locked/>
    <w:uiPriority w:val="99"/>
    <w:rPr>
      <w:rFonts w:ascii="等线" w:eastAsia="等线" w:cs="Times New Roman"/>
      <w:kern w:val="2"/>
      <w:sz w:val="22"/>
    </w:rPr>
  </w:style>
  <w:style w:type="character" w:customStyle="1" w:styleId="25">
    <w:name w:val="纯文本 字符"/>
    <w:link w:val="10"/>
    <w:qFormat/>
    <w:locked/>
    <w:uiPriority w:val="0"/>
    <w:rPr>
      <w:rFonts w:ascii="宋体" w:hAnsi="Courier New" w:cs="Times New Roman"/>
      <w:kern w:val="2"/>
      <w:sz w:val="21"/>
    </w:rPr>
  </w:style>
  <w:style w:type="character" w:customStyle="1" w:styleId="26">
    <w:name w:val="日期 字符"/>
    <w:link w:val="11"/>
    <w:qFormat/>
    <w:locked/>
    <w:uiPriority w:val="99"/>
    <w:rPr>
      <w:rFonts w:cs="Times New Roman"/>
      <w:kern w:val="2"/>
      <w:sz w:val="24"/>
    </w:rPr>
  </w:style>
  <w:style w:type="character" w:customStyle="1" w:styleId="27">
    <w:name w:val="页脚 字符"/>
    <w:link w:val="12"/>
    <w:semiHidden/>
    <w:qFormat/>
    <w:locked/>
    <w:uiPriority w:val="99"/>
    <w:rPr>
      <w:rFonts w:cs="Times New Roman"/>
      <w:sz w:val="18"/>
      <w:szCs w:val="18"/>
    </w:rPr>
  </w:style>
  <w:style w:type="character" w:customStyle="1" w:styleId="28">
    <w:name w:val="页眉 字符"/>
    <w:link w:val="13"/>
    <w:qFormat/>
    <w:locked/>
    <w:uiPriority w:val="99"/>
    <w:rPr>
      <w:rFonts w:cs="Times New Roman"/>
      <w:kern w:val="2"/>
      <w:sz w:val="18"/>
    </w:rPr>
  </w:style>
  <w:style w:type="character" w:customStyle="1" w:styleId="29">
    <w:name w:val="批注主题 字符"/>
    <w:link w:val="15"/>
    <w:qFormat/>
    <w:locked/>
    <w:uiPriority w:val="99"/>
    <w:rPr>
      <w:rFonts w:cs="Times New Roman"/>
      <w:b/>
      <w:kern w:val="2"/>
      <w:sz w:val="24"/>
    </w:rPr>
  </w:style>
  <w:style w:type="paragraph" w:customStyle="1" w:styleId="30">
    <w:name w:val="Char"/>
    <w:basedOn w:val="1"/>
    <w:qFormat/>
    <w:uiPriority w:val="99"/>
    <w:pPr>
      <w:tabs>
        <w:tab w:val="left" w:pos="360"/>
      </w:tabs>
    </w:pPr>
    <w:rPr>
      <w:sz w:val="24"/>
    </w:rPr>
  </w:style>
  <w:style w:type="character" w:customStyle="1" w:styleId="31">
    <w:name w:val="列表段落 字符"/>
    <w:link w:val="32"/>
    <w:qFormat/>
    <w:locked/>
    <w:uiPriority w:val="0"/>
  </w:style>
  <w:style w:type="paragraph" w:styleId="32">
    <w:name w:val="List Paragraph"/>
    <w:basedOn w:val="1"/>
    <w:link w:val="31"/>
    <w:qFormat/>
    <w:uiPriority w:val="34"/>
    <w:pPr>
      <w:widowControl/>
      <w:ind w:firstLine="420" w:firstLineChars="200"/>
      <w:jc w:val="left"/>
    </w:pPr>
    <w:rPr>
      <w:kern w:val="0"/>
      <w:sz w:val="20"/>
      <w:szCs w:val="20"/>
    </w:rPr>
  </w:style>
  <w:style w:type="table" w:customStyle="1" w:styleId="33">
    <w:name w:val="网格型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Placeholder Text"/>
    <w:semiHidden/>
    <w:qFormat/>
    <w:uiPriority w:val="99"/>
    <w:rPr>
      <w:rFonts w:cs="Times New Roman"/>
      <w:color w:val="808080"/>
    </w:rPr>
  </w:style>
  <w:style w:type="paragraph" w:customStyle="1" w:styleId="35">
    <w:name w:val="列出段落1"/>
    <w:qFormat/>
    <w:uiPriority w:val="99"/>
    <w:pPr>
      <w:widowControl w:val="0"/>
      <w:ind w:firstLine="420"/>
      <w:jc w:val="both"/>
    </w:pPr>
    <w:rPr>
      <w:rFonts w:ascii="Calibri" w:hAnsi="Calibri" w:eastAsia="宋体" w:cs="Calibri"/>
      <w:color w:val="000000"/>
      <w:kern w:val="2"/>
      <w:sz w:val="21"/>
      <w:szCs w:val="21"/>
      <w:u w:color="000000"/>
      <w:lang w:val="en-US" w:eastAsia="zh-CN" w:bidi="ar-SA"/>
    </w:rPr>
  </w:style>
  <w:style w:type="paragraph" w:customStyle="1" w:styleId="36">
    <w:name w:val="正文 New New New New"/>
    <w:qFormat/>
    <w:uiPriority w:val="99"/>
    <w:pPr>
      <w:widowControl w:val="0"/>
      <w:jc w:val="both"/>
    </w:pPr>
    <w:rPr>
      <w:rFonts w:ascii="Times New Roman" w:hAnsi="Times New Roman" w:eastAsia="宋体" w:cs="Arial Unicode MS"/>
      <w:color w:val="000000"/>
      <w:u w:color="000000"/>
      <w:lang w:val="en-US" w:eastAsia="zh-CN" w:bidi="ar-SA"/>
    </w:rPr>
  </w:style>
  <w:style w:type="table" w:customStyle="1" w:styleId="37">
    <w:name w:val="网格型1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8">
    <w:name w:val="列出段落2"/>
    <w:basedOn w:val="1"/>
    <w:qFormat/>
    <w:uiPriority w:val="99"/>
    <w:pPr>
      <w:ind w:firstLine="420" w:firstLineChars="200"/>
    </w:pPr>
    <w:rPr>
      <w:rFonts w:ascii="Calibri" w:hAnsi="Calibri"/>
      <w:szCs w:val="22"/>
    </w:rPr>
  </w:style>
  <w:style w:type="character" w:customStyle="1" w:styleId="39">
    <w:name w:val="标题 2 Char Char Char"/>
    <w:qFormat/>
    <w:uiPriority w:val="99"/>
    <w:rPr>
      <w:rFonts w:ascii="Arial" w:hAnsi="Arial" w:eastAsia="黑体"/>
      <w:b/>
      <w:kern w:val="2"/>
      <w:sz w:val="32"/>
      <w:lang w:val="en-US" w:eastAsia="zh-CN"/>
    </w:rPr>
  </w:style>
  <w:style w:type="paragraph" w:customStyle="1" w:styleId="40">
    <w:name w:val="pp"/>
    <w:basedOn w:val="1"/>
    <w:qFormat/>
    <w:uiPriority w:val="99"/>
    <w:pPr>
      <w:widowControl/>
      <w:spacing w:before="100" w:beforeAutospacing="1" w:after="100" w:afterAutospacing="1" w:line="360" w:lineRule="atLeast"/>
      <w:ind w:firstLine="420"/>
      <w:jc w:val="left"/>
    </w:pPr>
    <w:rPr>
      <w:rFonts w:ascii="宋体" w:hAnsi="宋体" w:cs="宋体"/>
      <w:color w:val="000000"/>
      <w:kern w:val="0"/>
      <w:sz w:val="24"/>
    </w:rPr>
  </w:style>
  <w:style w:type="character" w:customStyle="1" w:styleId="41">
    <w:name w:val="正文文本 字符"/>
    <w:link w:val="6"/>
    <w:qFormat/>
    <w:uiPriority w:val="99"/>
    <w:rPr>
      <w:kern w:val="2"/>
      <w:sz w:val="21"/>
      <w:szCs w:val="24"/>
    </w:rPr>
  </w:style>
  <w:style w:type="paragraph" w:customStyle="1" w:styleId="42">
    <w:name w:val="正文1"/>
    <w:basedOn w:val="1"/>
    <w:qFormat/>
    <w:uiPriority w:val="0"/>
    <w:pPr>
      <w:widowControl/>
      <w:spacing w:after="200" w:line="300" w:lineRule="atLeast"/>
      <w:jc w:val="left"/>
    </w:pPr>
    <w:rPr>
      <w:rFonts w:ascii="Calibri" w:hAnsi="Calibri" w:cs="宋体"/>
      <w:kern w:val="0"/>
      <w:sz w:val="22"/>
      <w:szCs w:val="22"/>
    </w:rPr>
  </w:style>
  <w:style w:type="paragraph" w:customStyle="1" w:styleId="43">
    <w:name w:val="正文2"/>
    <w:basedOn w:val="1"/>
    <w:qFormat/>
    <w:uiPriority w:val="0"/>
    <w:pPr>
      <w:spacing w:before="156" w:line="360" w:lineRule="auto"/>
      <w:ind w:firstLine="510" w:firstLineChars="200"/>
    </w:pPr>
    <w:rPr>
      <w:sz w:val="24"/>
    </w:rPr>
  </w:style>
  <w:style w:type="paragraph" w:customStyle="1" w:styleId="44">
    <w:name w:val="Pa13"/>
    <w:basedOn w:val="1"/>
    <w:next w:val="1"/>
    <w:qFormat/>
    <w:uiPriority w:val="0"/>
    <w:pPr>
      <w:autoSpaceDE w:val="0"/>
      <w:autoSpaceDN w:val="0"/>
      <w:adjustRightInd w:val="0"/>
      <w:spacing w:line="241" w:lineRule="atLeast"/>
      <w:jc w:val="left"/>
    </w:pPr>
    <w:rPr>
      <w:rFonts w:ascii="MPBMSN+StoneSans-Semibold" w:eastAsia="MPBMSN+StoneSans-Semibold"/>
      <w:kern w:val="0"/>
      <w:sz w:val="24"/>
    </w:rPr>
  </w:style>
  <w:style w:type="character" w:customStyle="1" w:styleId="45">
    <w:name w:val="A9"/>
    <w:qFormat/>
    <w:uiPriority w:val="0"/>
    <w:rPr>
      <w:rFonts w:cs="PSFEIH+StoneSans"/>
      <w:color w:val="262424"/>
      <w:sz w:val="20"/>
      <w:szCs w:val="20"/>
    </w:rPr>
  </w:style>
  <w:style w:type="paragraph" w:customStyle="1" w:styleId="46">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47">
    <w:name w:val="A14"/>
    <w:qFormat/>
    <w:uiPriority w:val="99"/>
    <w:rPr>
      <w:rFonts w:cs="Open Sans Light"/>
      <w:color w:val="FFFFFF"/>
      <w:sz w:val="13"/>
      <w:szCs w:val="13"/>
    </w:rPr>
  </w:style>
  <w:style w:type="paragraph" w:customStyle="1" w:styleId="48">
    <w:name w:val="表格文字"/>
    <w:basedOn w:val="1"/>
    <w:next w:val="6"/>
    <w:qFormat/>
    <w:uiPriority w:val="0"/>
    <w:rPr>
      <w:sz w:val="24"/>
    </w:rPr>
  </w:style>
  <w:style w:type="paragraph" w:customStyle="1" w:styleId="49">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FB1F6-A00B-4BEF-B17B-0F168849D80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25</Pages>
  <Words>15220</Words>
  <Characters>16863</Characters>
  <Lines>127</Lines>
  <Paragraphs>35</Paragraphs>
  <TotalTime>16</TotalTime>
  <ScaleCrop>false</ScaleCrop>
  <LinksUpToDate>false</LinksUpToDate>
  <CharactersWithSpaces>17019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2020-07-15T09:22:00Z</dcterms:created>
  <dc:creator>微软用户</dc:creator>
  <cp:lastModifiedBy>Administrator</cp:lastModifiedBy>
  <cp:lastPrinted>2019-11-22T01:53:00Z</cp:lastPrinted>
  <dcterms:modified xsi:type="dcterms:W3CDTF">2022-12-02T07:46:04Z</dcterms:modified>
  <dc:title>淮海工学院A8-10号楼学生宿舍家具招标书</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7FBDF63D27554338BB8BC1E9614956A8</vt:lpwstr>
  </property>
</Properties>
</file>