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b/>
          <w:color w:val="auto"/>
          <w:sz w:val="44"/>
          <w:szCs w:val="44"/>
          <w:highlight w:val="none"/>
        </w:rPr>
      </w:pPr>
      <w:bookmarkStart w:id="0" w:name="OLE_LINK2"/>
      <w:bookmarkStart w:id="1" w:name="OLE_LINK1"/>
      <w:r>
        <w:rPr>
          <w:b/>
          <w:color w:val="auto"/>
          <w:sz w:val="44"/>
          <w:szCs w:val="44"/>
          <w:highlight w:val="none"/>
        </w:rPr>
        <w:t>南京信息工程大学</w:t>
      </w:r>
      <w:bookmarkEnd w:id="0"/>
      <w:bookmarkEnd w:id="1"/>
      <w:r>
        <w:rPr>
          <w:rFonts w:hint="eastAsia"/>
          <w:b/>
          <w:color w:val="auto"/>
          <w:sz w:val="44"/>
          <w:szCs w:val="44"/>
          <w:highlight w:val="none"/>
        </w:rPr>
        <w:t>遥感与测绘工程学院地理信息系统软件采购</w:t>
      </w:r>
      <w:r>
        <w:rPr>
          <w:b/>
          <w:color w:val="auto"/>
          <w:sz w:val="44"/>
          <w:szCs w:val="44"/>
          <w:highlight w:val="none"/>
        </w:rPr>
        <w:t>项目招标文件</w:t>
      </w:r>
    </w:p>
    <w:p>
      <w:pPr>
        <w:pStyle w:val="2"/>
        <w:ind w:left="1470" w:right="1470"/>
        <w:rPr>
          <w:color w:val="auto"/>
          <w:highlight w:val="none"/>
        </w:rPr>
      </w:pPr>
    </w:p>
    <w:p>
      <w:pPr>
        <w:adjustRightInd w:val="0"/>
        <w:snapToGrid w:val="0"/>
        <w:spacing w:line="360" w:lineRule="auto"/>
        <w:jc w:val="center"/>
        <w:rPr>
          <w:rFonts w:ascii="宋体" w:hAnsi="宋体" w:cs="仿宋"/>
          <w:color w:val="auto"/>
          <w:sz w:val="28"/>
          <w:szCs w:val="28"/>
          <w:highlight w:val="none"/>
        </w:rPr>
      </w:pPr>
      <w:r>
        <w:rPr>
          <w:rFonts w:hint="eastAsia" w:ascii="宋体" w:hAnsi="宋体" w:cs="仿宋"/>
          <w:color w:val="auto"/>
          <w:sz w:val="28"/>
          <w:szCs w:val="28"/>
          <w:highlight w:val="none"/>
        </w:rPr>
        <w:t>（招标编号：SBC202004</w:t>
      </w:r>
      <w:r>
        <w:rPr>
          <w:rFonts w:hint="eastAsia" w:ascii="宋体" w:hAnsi="宋体" w:cs="仿宋"/>
          <w:color w:val="auto"/>
          <w:sz w:val="28"/>
          <w:szCs w:val="28"/>
          <w:highlight w:val="none"/>
          <w:lang w:val="en-US" w:eastAsia="zh-CN"/>
        </w:rPr>
        <w:t>6</w:t>
      </w:r>
      <w:r>
        <w:rPr>
          <w:rFonts w:hint="eastAsia" w:ascii="宋体" w:hAnsi="宋体" w:cs="仿宋"/>
          <w:color w:val="auto"/>
          <w:sz w:val="28"/>
          <w:szCs w:val="28"/>
          <w:highlight w:val="none"/>
        </w:rPr>
        <w:t>）</w:t>
      </w:r>
    </w:p>
    <w:p>
      <w:pPr>
        <w:adjustRightInd w:val="0"/>
        <w:snapToGrid w:val="0"/>
        <w:spacing w:line="360" w:lineRule="auto"/>
        <w:jc w:val="center"/>
        <w:rPr>
          <w:rFonts w:ascii="宋体" w:cs="仿宋"/>
          <w:color w:val="auto"/>
          <w:sz w:val="28"/>
          <w:szCs w:val="28"/>
          <w:highlight w:val="none"/>
        </w:rPr>
      </w:pPr>
    </w:p>
    <w:p>
      <w:pPr>
        <w:adjustRightInd w:val="0"/>
        <w:snapToGrid w:val="0"/>
        <w:spacing w:line="360" w:lineRule="auto"/>
        <w:jc w:val="center"/>
        <w:rPr>
          <w:rFonts w:ascii="宋体" w:cs="仿宋"/>
          <w:color w:val="auto"/>
          <w:sz w:val="28"/>
          <w:szCs w:val="28"/>
          <w:highlight w:val="none"/>
        </w:rPr>
      </w:pPr>
      <w:r>
        <w:rPr>
          <w:rFonts w:ascii="宋体" w:hAnsi="宋体" w:cs="仿宋"/>
          <w:color w:val="auto"/>
          <w:sz w:val="28"/>
          <w:szCs w:val="28"/>
          <w:highlight w:val="none"/>
        </w:rPr>
        <w:t>(</w:t>
      </w:r>
      <w:r>
        <w:rPr>
          <w:rFonts w:ascii="宋体" w:hAnsi="宋体" w:cs="仿宋"/>
          <w:color w:val="auto"/>
          <w:sz w:val="28"/>
          <w:szCs w:val="28"/>
          <w:highlight w:val="none"/>
          <w:u w:val="single"/>
        </w:rPr>
        <w:t>20</w:t>
      </w:r>
      <w:r>
        <w:rPr>
          <w:rFonts w:hint="eastAsia" w:ascii="宋体" w:hAnsi="宋体" w:cs="仿宋"/>
          <w:color w:val="auto"/>
          <w:sz w:val="28"/>
          <w:szCs w:val="28"/>
          <w:highlight w:val="none"/>
          <w:u w:val="single"/>
        </w:rPr>
        <w:t>20年0</w:t>
      </w:r>
      <w:r>
        <w:rPr>
          <w:rFonts w:hint="eastAsia" w:ascii="宋体" w:hAnsi="宋体" w:cs="仿宋"/>
          <w:color w:val="auto"/>
          <w:sz w:val="28"/>
          <w:szCs w:val="28"/>
          <w:highlight w:val="none"/>
          <w:u w:val="single"/>
          <w:lang w:val="en-US" w:eastAsia="zh-CN"/>
        </w:rPr>
        <w:t>7</w:t>
      </w:r>
      <w:r>
        <w:rPr>
          <w:rFonts w:hint="eastAsia" w:ascii="宋体" w:hAnsi="宋体" w:cs="仿宋"/>
          <w:color w:val="auto"/>
          <w:sz w:val="28"/>
          <w:szCs w:val="28"/>
          <w:highlight w:val="none"/>
          <w:u w:val="single"/>
        </w:rPr>
        <w:t>月</w:t>
      </w:r>
      <w:r>
        <w:rPr>
          <w:rFonts w:hint="eastAsia" w:ascii="宋体" w:hAnsi="宋体" w:cs="仿宋"/>
          <w:color w:val="auto"/>
          <w:sz w:val="28"/>
          <w:szCs w:val="28"/>
          <w:highlight w:val="none"/>
          <w:u w:val="single"/>
          <w:lang w:val="en-US" w:eastAsia="zh-CN"/>
        </w:rPr>
        <w:t>02</w:t>
      </w:r>
      <w:r>
        <w:rPr>
          <w:rFonts w:hint="eastAsia" w:ascii="宋体" w:hAnsi="宋体" w:cs="仿宋"/>
          <w:color w:val="auto"/>
          <w:sz w:val="28"/>
          <w:szCs w:val="28"/>
          <w:highlight w:val="none"/>
          <w:u w:val="single"/>
        </w:rPr>
        <w:t>日</w:t>
      </w:r>
      <w:r>
        <w:rPr>
          <w:rFonts w:hint="eastAsia" w:ascii="宋体" w:hAnsi="宋体" w:cs="仿宋"/>
          <w:color w:val="auto"/>
          <w:sz w:val="28"/>
          <w:szCs w:val="28"/>
          <w:highlight w:val="none"/>
          <w:u w:val="single"/>
          <w:lang w:val="en-US" w:eastAsia="zh-CN"/>
        </w:rPr>
        <w:t>19</w:t>
      </w:r>
      <w:r>
        <w:rPr>
          <w:rFonts w:hint="eastAsia" w:ascii="宋体" w:hAnsi="宋体" w:cs="仿宋"/>
          <w:color w:val="auto"/>
          <w:sz w:val="28"/>
          <w:szCs w:val="28"/>
          <w:highlight w:val="none"/>
          <w:u w:val="single"/>
        </w:rPr>
        <w:t>：</w:t>
      </w:r>
      <w:r>
        <w:rPr>
          <w:rFonts w:ascii="宋体" w:cs="仿宋"/>
          <w:color w:val="auto"/>
          <w:sz w:val="28"/>
          <w:szCs w:val="28"/>
          <w:highlight w:val="none"/>
          <w:u w:val="single"/>
        </w:rPr>
        <w:t>00</w:t>
      </w:r>
      <w:r>
        <w:rPr>
          <w:rFonts w:hint="eastAsia" w:ascii="宋体" w:hAnsi="宋体" w:cs="仿宋"/>
          <w:color w:val="auto"/>
          <w:sz w:val="28"/>
          <w:szCs w:val="28"/>
          <w:highlight w:val="none"/>
          <w:u w:val="single"/>
        </w:rPr>
        <w:t>定标发标版</w:t>
      </w:r>
      <w:r>
        <w:rPr>
          <w:rFonts w:ascii="宋体" w:hAnsi="宋体" w:cs="仿宋"/>
          <w:color w:val="auto"/>
          <w:sz w:val="28"/>
          <w:szCs w:val="28"/>
          <w:highlight w:val="none"/>
        </w:rPr>
        <w:t>)</w:t>
      </w:r>
      <w:bookmarkStart w:id="18" w:name="_GoBack"/>
      <w:bookmarkEnd w:id="18"/>
    </w:p>
    <w:p>
      <w:pPr>
        <w:jc w:val="center"/>
        <w:rPr>
          <w:b/>
          <w:color w:val="auto"/>
          <w:sz w:val="28"/>
          <w:szCs w:val="28"/>
          <w:highlight w:val="none"/>
        </w:rPr>
      </w:pPr>
    </w:p>
    <w:p>
      <w:pPr>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为满足学校相关</w:t>
      </w:r>
      <w:r>
        <w:rPr>
          <w:rFonts w:hint="eastAsia" w:ascii="宋体" w:hAnsi="宋体"/>
          <w:color w:val="auto"/>
          <w:sz w:val="28"/>
          <w:szCs w:val="28"/>
          <w:highlight w:val="none"/>
        </w:rPr>
        <w:t>教学</w:t>
      </w:r>
      <w:r>
        <w:rPr>
          <w:rFonts w:ascii="宋体" w:hAnsi="宋体"/>
          <w:color w:val="auto"/>
          <w:sz w:val="28"/>
          <w:szCs w:val="28"/>
          <w:highlight w:val="none"/>
        </w:rPr>
        <w:t>科研工作需要，受校实验室与设备管理处委托，就</w:t>
      </w:r>
      <w:r>
        <w:rPr>
          <w:rFonts w:hint="eastAsia" w:ascii="宋体" w:hAnsi="宋体"/>
          <w:color w:val="auto"/>
          <w:sz w:val="28"/>
          <w:szCs w:val="28"/>
          <w:highlight w:val="none"/>
        </w:rPr>
        <w:t>遥感与测绘工程学院地理信息系统软件采购</w:t>
      </w:r>
      <w:r>
        <w:rPr>
          <w:rFonts w:ascii="宋体" w:hAnsi="宋体"/>
          <w:color w:val="auto"/>
          <w:sz w:val="28"/>
          <w:szCs w:val="28"/>
          <w:highlight w:val="none"/>
        </w:rPr>
        <w:t>项目进行公开招标，欢迎符合条件的供应商报名投标，现将有关情况说明如下：</w:t>
      </w:r>
    </w:p>
    <w:p>
      <w:pPr>
        <w:spacing w:line="360" w:lineRule="auto"/>
        <w:ind w:firstLine="480" w:firstLineChars="200"/>
        <w:rPr>
          <w:color w:val="auto"/>
          <w:sz w:val="24"/>
          <w:highlight w:val="none"/>
        </w:rPr>
      </w:pPr>
    </w:p>
    <w:p>
      <w:pPr>
        <w:pStyle w:val="31"/>
        <w:spacing w:line="360" w:lineRule="auto"/>
        <w:ind w:firstLine="0" w:firstLineChars="0"/>
        <w:jc w:val="center"/>
        <w:rPr>
          <w:rFonts w:ascii="宋体" w:hAnsi="宋体" w:cs="仿宋"/>
          <w:b/>
          <w:bCs/>
          <w:color w:val="auto"/>
          <w:kern w:val="2"/>
          <w:sz w:val="28"/>
          <w:szCs w:val="28"/>
          <w:highlight w:val="none"/>
        </w:rPr>
      </w:pPr>
      <w:r>
        <w:rPr>
          <w:rFonts w:hint="eastAsia" w:ascii="宋体" w:hAnsi="宋体" w:cs="仿宋"/>
          <w:b/>
          <w:bCs/>
          <w:color w:val="auto"/>
          <w:kern w:val="2"/>
          <w:sz w:val="28"/>
          <w:szCs w:val="28"/>
          <w:highlight w:val="none"/>
        </w:rPr>
        <w:t>一、招标项目名称及简要说明</w:t>
      </w:r>
    </w:p>
    <w:p>
      <w:pPr>
        <w:pStyle w:val="31"/>
        <w:spacing w:line="360" w:lineRule="auto"/>
        <w:ind w:firstLine="560"/>
        <w:rPr>
          <w:rFonts w:ascii="宋体" w:hAnsi="宋体"/>
          <w:color w:val="auto"/>
          <w:kern w:val="2"/>
          <w:sz w:val="28"/>
          <w:szCs w:val="28"/>
          <w:highlight w:val="none"/>
        </w:rPr>
      </w:pPr>
      <w:r>
        <w:rPr>
          <w:rFonts w:ascii="宋体" w:hAnsi="宋体"/>
          <w:color w:val="auto"/>
          <w:kern w:val="2"/>
          <w:sz w:val="28"/>
          <w:szCs w:val="28"/>
          <w:highlight w:val="none"/>
        </w:rPr>
        <w:t>1. 项目名称：南京信息工程大学</w:t>
      </w:r>
      <w:r>
        <w:rPr>
          <w:rFonts w:hint="eastAsia" w:ascii="宋体" w:hAnsi="宋体"/>
          <w:color w:val="auto"/>
          <w:kern w:val="2"/>
          <w:sz w:val="28"/>
          <w:szCs w:val="28"/>
          <w:highlight w:val="none"/>
        </w:rPr>
        <w:t>遥感与测绘工程学院</w:t>
      </w:r>
      <w:r>
        <w:rPr>
          <w:rFonts w:hint="eastAsia" w:ascii="宋体" w:hAnsi="宋体"/>
          <w:color w:val="auto"/>
          <w:sz w:val="28"/>
          <w:szCs w:val="28"/>
          <w:highlight w:val="none"/>
        </w:rPr>
        <w:t>地理信息系统软件</w:t>
      </w:r>
      <w:r>
        <w:rPr>
          <w:rFonts w:ascii="宋体" w:hAnsi="宋体"/>
          <w:color w:val="auto"/>
          <w:sz w:val="28"/>
          <w:szCs w:val="28"/>
          <w:highlight w:val="none"/>
        </w:rPr>
        <w:t>采购</w:t>
      </w:r>
      <w:r>
        <w:rPr>
          <w:rFonts w:hint="eastAsia" w:ascii="宋体" w:hAnsi="宋体"/>
          <w:color w:val="auto"/>
          <w:sz w:val="28"/>
          <w:szCs w:val="28"/>
          <w:highlight w:val="none"/>
        </w:rPr>
        <w:t>项目</w:t>
      </w:r>
      <w:r>
        <w:rPr>
          <w:rFonts w:ascii="宋体" w:hAnsi="宋体"/>
          <w:color w:val="auto"/>
          <w:kern w:val="2"/>
          <w:sz w:val="28"/>
          <w:szCs w:val="28"/>
          <w:highlight w:val="none"/>
        </w:rPr>
        <w:t>。</w:t>
      </w:r>
    </w:p>
    <w:p>
      <w:pPr>
        <w:spacing w:line="300" w:lineRule="auto"/>
        <w:ind w:firstLine="560" w:firstLineChars="200"/>
        <w:rPr>
          <w:rFonts w:ascii="宋体" w:hAnsi="宋体"/>
          <w:color w:val="auto"/>
          <w:sz w:val="28"/>
          <w:szCs w:val="28"/>
          <w:highlight w:val="none"/>
        </w:rPr>
      </w:pPr>
      <w:r>
        <w:rPr>
          <w:rFonts w:ascii="宋体" w:hAnsi="宋体"/>
          <w:color w:val="auto"/>
          <w:sz w:val="28"/>
          <w:szCs w:val="28"/>
          <w:highlight w:val="none"/>
        </w:rPr>
        <w:t xml:space="preserve">2. </w:t>
      </w:r>
      <w:r>
        <w:rPr>
          <w:rFonts w:hint="eastAsia" w:ascii="宋体" w:hAnsi="宋体" w:cs="仿宋"/>
          <w:color w:val="auto"/>
          <w:sz w:val="28"/>
          <w:szCs w:val="28"/>
          <w:highlight w:val="none"/>
        </w:rPr>
        <w:t>项目说明：</w:t>
      </w:r>
      <w:r>
        <w:rPr>
          <w:rFonts w:hint="eastAsia" w:ascii="宋体" w:hAnsi="宋体"/>
          <w:color w:val="auto"/>
          <w:sz w:val="28"/>
          <w:szCs w:val="28"/>
          <w:highlight w:val="none"/>
        </w:rPr>
        <w:t>南京信息工程大学校内，本次招标</w:t>
      </w:r>
      <w:r>
        <w:rPr>
          <w:rFonts w:hint="eastAsia" w:ascii="宋体" w:hAnsi="宋体" w:cs="仿宋"/>
          <w:color w:val="auto"/>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color w:val="auto"/>
          <w:sz w:val="28"/>
          <w:szCs w:val="28"/>
          <w:highlight w:val="none"/>
        </w:rPr>
      </w:pPr>
      <w:r>
        <w:rPr>
          <w:rFonts w:ascii="宋体" w:hAnsi="宋体"/>
          <w:color w:val="auto"/>
          <w:sz w:val="28"/>
          <w:szCs w:val="28"/>
          <w:highlight w:val="none"/>
        </w:rPr>
        <w:t>3</w:t>
      </w:r>
      <w:bookmarkStart w:id="2" w:name="_Hlk9865971"/>
      <w:r>
        <w:rPr>
          <w:rFonts w:hint="eastAsia" w:ascii="宋体" w:hAnsi="宋体"/>
          <w:color w:val="auto"/>
          <w:sz w:val="28"/>
          <w:szCs w:val="28"/>
          <w:highlight w:val="none"/>
        </w:rPr>
        <w:t>.本次招标采取公开招标方式，不承诺最低价（最高价）中标。招标公告和中标公示信息均在</w:t>
      </w:r>
      <w:r>
        <w:rPr>
          <w:color w:val="auto"/>
          <w:highlight w:val="none"/>
        </w:rPr>
        <w:fldChar w:fldCharType="begin"/>
      </w:r>
      <w:r>
        <w:rPr>
          <w:color w:val="auto"/>
          <w:highlight w:val="none"/>
        </w:rPr>
        <w:instrText xml:space="preserve"> HYPERLINK "https://bulletin.nuist.edu.cn/779/list.htm" </w:instrText>
      </w:r>
      <w:r>
        <w:rPr>
          <w:color w:val="auto"/>
          <w:highlight w:val="none"/>
        </w:rPr>
        <w:fldChar w:fldCharType="separate"/>
      </w:r>
      <w:r>
        <w:rPr>
          <w:rStyle w:val="18"/>
          <w:b/>
          <w:color w:val="auto"/>
          <w:sz w:val="24"/>
          <w:highlight w:val="none"/>
        </w:rPr>
        <w:t>https://bulletin.nuist.edu.cn/779/lis</w:t>
      </w:r>
      <w:r>
        <w:rPr>
          <w:rStyle w:val="18"/>
          <w:color w:val="auto"/>
          <w:sz w:val="24"/>
          <w:highlight w:val="none"/>
        </w:rPr>
        <w:t>t.htm</w:t>
      </w:r>
      <w:r>
        <w:rPr>
          <w:rStyle w:val="18"/>
          <w:color w:val="auto"/>
          <w:sz w:val="24"/>
          <w:highlight w:val="none"/>
        </w:rPr>
        <w:fldChar w:fldCharType="end"/>
      </w:r>
      <w:r>
        <w:rPr>
          <w:rFonts w:hint="eastAsia" w:ascii="宋体" w:hAnsi="宋体"/>
          <w:color w:val="auto"/>
          <w:sz w:val="28"/>
          <w:szCs w:val="28"/>
          <w:highlight w:val="none"/>
        </w:rPr>
        <w:t>和</w:t>
      </w:r>
      <w:r>
        <w:rPr>
          <w:color w:val="auto"/>
          <w:highlight w:val="none"/>
        </w:rPr>
        <w:fldChar w:fldCharType="begin"/>
      </w:r>
      <w:r>
        <w:rPr>
          <w:color w:val="auto"/>
          <w:highlight w:val="none"/>
        </w:rPr>
        <w:instrText xml:space="preserve"> HYPERLINK "http://zbc.nuist.edu.cn" </w:instrText>
      </w:r>
      <w:r>
        <w:rPr>
          <w:color w:val="auto"/>
          <w:highlight w:val="none"/>
        </w:rPr>
        <w:fldChar w:fldCharType="separate"/>
      </w:r>
      <w:r>
        <w:rPr>
          <w:rFonts w:ascii="宋体" w:hAnsi="宋体"/>
          <w:b/>
          <w:color w:val="auto"/>
          <w:sz w:val="24"/>
          <w:szCs w:val="28"/>
          <w:highlight w:val="none"/>
        </w:rPr>
        <w:t>zbc.nuist.edu.cn</w:t>
      </w:r>
      <w:r>
        <w:rPr>
          <w:rFonts w:ascii="宋体" w:hAnsi="宋体"/>
          <w:b/>
          <w:color w:val="auto"/>
          <w:sz w:val="24"/>
          <w:szCs w:val="28"/>
          <w:highlight w:val="none"/>
        </w:rPr>
        <w:fldChar w:fldCharType="end"/>
      </w:r>
      <w:r>
        <w:rPr>
          <w:rFonts w:hint="eastAsia" w:ascii="宋体" w:hAnsi="宋体"/>
          <w:color w:val="auto"/>
          <w:sz w:val="28"/>
          <w:szCs w:val="28"/>
          <w:highlight w:val="none"/>
        </w:rPr>
        <w:t>网页上公开发布</w:t>
      </w:r>
      <w:r>
        <w:rPr>
          <w:rFonts w:ascii="宋体"/>
          <w:color w:val="auto"/>
          <w:sz w:val="28"/>
          <w:szCs w:val="28"/>
          <w:highlight w:val="none"/>
        </w:rPr>
        <w:t>,</w:t>
      </w:r>
      <w:r>
        <w:rPr>
          <w:rFonts w:hint="eastAsia" w:ascii="宋体" w:hAnsi="宋体"/>
          <w:color w:val="auto"/>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cs="宋体"/>
          <w:color w:val="auto"/>
          <w:sz w:val="28"/>
          <w:szCs w:val="28"/>
          <w:highlight w:val="none"/>
        </w:rPr>
      </w:pPr>
      <w:r>
        <w:rPr>
          <w:rFonts w:ascii="宋体" w:hAnsi="宋体"/>
          <w:color w:val="auto"/>
          <w:sz w:val="28"/>
          <w:szCs w:val="28"/>
          <w:highlight w:val="none"/>
        </w:rPr>
        <w:t>4</w:t>
      </w:r>
      <w:bookmarkStart w:id="3" w:name="_Hlk9866054"/>
      <w:r>
        <w:rPr>
          <w:rFonts w:hint="eastAsia" w:ascii="宋体" w:hAnsi="宋体"/>
          <w:color w:val="auto"/>
          <w:sz w:val="28"/>
          <w:szCs w:val="28"/>
          <w:highlight w:val="none"/>
        </w:rPr>
        <w:t>.招标文件由我校采购人、项目归口管理部门和财务处联合起草；经学校相关职能部门会审通过形成正式招标文件。同时</w:t>
      </w:r>
      <w:r>
        <w:rPr>
          <w:rFonts w:hint="eastAsia" w:ascii="宋体" w:hAnsi="宋体" w:cs="宋体"/>
          <w:color w:val="auto"/>
          <w:sz w:val="28"/>
          <w:szCs w:val="28"/>
          <w:highlight w:val="none"/>
        </w:rPr>
        <w:t>打印</w:t>
      </w:r>
      <w:r>
        <w:rPr>
          <w:rFonts w:ascii="宋体" w:hAnsi="宋体" w:cs="宋体"/>
          <w:color w:val="auto"/>
          <w:sz w:val="28"/>
          <w:szCs w:val="28"/>
          <w:highlight w:val="none"/>
        </w:rPr>
        <w:t>3</w:t>
      </w:r>
      <w:r>
        <w:rPr>
          <w:rFonts w:hint="eastAsia" w:ascii="宋体" w:hAnsi="宋体" w:cs="宋体"/>
          <w:color w:val="auto"/>
          <w:sz w:val="28"/>
          <w:szCs w:val="28"/>
          <w:highlight w:val="none"/>
        </w:rPr>
        <w:t>份纸质的正式招标文件，由财务处负责人和招标科工作人员同时签字并加盖财务处骑缝章后，分别交财务处、项目归口管理部门（或采购人）、审计处各</w:t>
      </w:r>
      <w:r>
        <w:rPr>
          <w:rFonts w:ascii="宋体" w:hAnsi="宋体" w:cs="宋体"/>
          <w:color w:val="auto"/>
          <w:sz w:val="28"/>
          <w:szCs w:val="28"/>
          <w:highlight w:val="none"/>
        </w:rPr>
        <w:t>1</w:t>
      </w:r>
      <w:r>
        <w:rPr>
          <w:rFonts w:hint="eastAsia" w:ascii="宋体" w:hAnsi="宋体" w:cs="宋体"/>
          <w:color w:val="auto"/>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color w:val="auto"/>
          <w:sz w:val="28"/>
          <w:szCs w:val="28"/>
          <w:highlight w:val="none"/>
        </w:rPr>
      </w:pPr>
      <w:r>
        <w:rPr>
          <w:rFonts w:ascii="宋体" w:hAnsi="宋体"/>
          <w:color w:val="auto"/>
          <w:sz w:val="28"/>
          <w:szCs w:val="28"/>
          <w:highlight w:val="none"/>
        </w:rPr>
        <w:t>5.</w:t>
      </w:r>
      <w:r>
        <w:rPr>
          <w:rFonts w:hint="eastAsia" w:ascii="宋体" w:hAnsi="宋体"/>
          <w:color w:val="auto"/>
          <w:sz w:val="28"/>
          <w:szCs w:val="28"/>
          <w:highlight w:val="none"/>
        </w:rPr>
        <w:t>正式的答疑回复文件也按上述方式处理留存。</w:t>
      </w:r>
    </w:p>
    <w:p>
      <w:pPr>
        <w:pStyle w:val="39"/>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highlight w:val="none"/>
        </w:rPr>
        <w:t>6.</w:t>
      </w:r>
      <w:r>
        <w:rPr>
          <w:rFonts w:hint="eastAsia" w:cs="Times New Roman"/>
          <w:color w:val="auto"/>
          <w:kern w:val="2"/>
          <w:sz w:val="28"/>
          <w:szCs w:val="28"/>
          <w:highlight w:val="none"/>
        </w:rPr>
        <w:t>投标有效期：自开标之日起90天内投标有效。</w:t>
      </w:r>
    </w:p>
    <w:p>
      <w:pPr>
        <w:pStyle w:val="39"/>
        <w:adjustRightInd w:val="0"/>
        <w:snapToGrid w:val="0"/>
        <w:spacing w:before="0" w:beforeAutospacing="0" w:after="0"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7.</w:t>
      </w:r>
      <w:r>
        <w:rPr>
          <w:rFonts w:hint="eastAsia" w:cs="Times New Roman"/>
          <w:color w:val="auto"/>
          <w:sz w:val="28"/>
          <w:szCs w:val="28"/>
          <w:highlight w:val="none"/>
        </w:rPr>
        <w:t>招标过程接受学校纪检监察部门监督检查。</w:t>
      </w:r>
    </w:p>
    <w:p>
      <w:pPr>
        <w:adjustRightInd w:val="0"/>
        <w:snapToGrid w:val="0"/>
        <w:spacing w:beforeLines="100" w:afterLines="100" w:line="360" w:lineRule="auto"/>
        <w:jc w:val="center"/>
        <w:rPr>
          <w:rFonts w:ascii="宋体" w:cs="仿宋"/>
          <w:b/>
          <w:bCs/>
          <w:color w:val="auto"/>
          <w:sz w:val="28"/>
          <w:szCs w:val="28"/>
          <w:highlight w:val="none"/>
        </w:rPr>
      </w:pPr>
      <w:r>
        <w:rPr>
          <w:rFonts w:hint="eastAsia" w:ascii="宋体" w:hAnsi="宋体" w:cs="仿宋"/>
          <w:b/>
          <w:bCs/>
          <w:color w:val="auto"/>
          <w:sz w:val="28"/>
          <w:szCs w:val="28"/>
          <w:highlight w:val="none"/>
        </w:rPr>
        <w:t>二、对投标人及投标报价的要求</w:t>
      </w:r>
    </w:p>
    <w:p>
      <w:pPr>
        <w:snapToGrid w:val="0"/>
        <w:spacing w:line="360" w:lineRule="auto"/>
        <w:ind w:firstLine="540" w:firstLineChars="192"/>
        <w:rPr>
          <w:rFonts w:ascii="宋体" w:hAnsi="宋体"/>
          <w:b/>
          <w:color w:val="auto"/>
          <w:kern w:val="0"/>
          <w:sz w:val="28"/>
          <w:szCs w:val="28"/>
          <w:highlight w:val="none"/>
        </w:rPr>
      </w:pPr>
      <w:r>
        <w:rPr>
          <w:rFonts w:hint="eastAsia" w:ascii="宋体" w:hAnsi="宋体"/>
          <w:b/>
          <w:color w:val="auto"/>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color w:val="auto"/>
          <w:kern w:val="0"/>
          <w:sz w:val="28"/>
          <w:szCs w:val="28"/>
          <w:highlight w:val="none"/>
        </w:rPr>
      </w:pPr>
      <w:r>
        <w:rPr>
          <w:rFonts w:hint="eastAsia" w:ascii="宋体" w:hAnsi="宋体" w:cs="Arial"/>
          <w:color w:val="auto"/>
          <w:sz w:val="28"/>
          <w:szCs w:val="28"/>
          <w:highlight w:val="none"/>
        </w:rPr>
        <w:t>（一）参加政府采购的供应商应当具备政府采购法</w:t>
      </w:r>
      <w:r>
        <w:rPr>
          <w:rFonts w:ascii="宋体" w:hAnsi="宋体" w:cs="Arial"/>
          <w:color w:val="auto"/>
          <w:sz w:val="28"/>
          <w:szCs w:val="28"/>
          <w:highlight w:val="none"/>
        </w:rPr>
        <w:t>第二十二条</w:t>
      </w:r>
      <w:r>
        <w:rPr>
          <w:rFonts w:hint="eastAsia" w:ascii="宋体" w:hAnsi="宋体" w:cs="Arial"/>
          <w:color w:val="auto"/>
          <w:sz w:val="28"/>
          <w:szCs w:val="28"/>
          <w:highlight w:val="none"/>
        </w:rPr>
        <w:t>第一款</w:t>
      </w:r>
      <w:r>
        <w:rPr>
          <w:rFonts w:ascii="宋体" w:hAnsi="宋体" w:cs="Arial"/>
          <w:color w:val="auto"/>
          <w:sz w:val="28"/>
          <w:szCs w:val="28"/>
          <w:highlight w:val="none"/>
        </w:rPr>
        <w:t>规定</w:t>
      </w:r>
      <w:r>
        <w:rPr>
          <w:rFonts w:hint="eastAsia" w:ascii="宋体" w:hAnsi="宋体" w:cs="Arial"/>
          <w:color w:val="auto"/>
          <w:sz w:val="28"/>
          <w:szCs w:val="28"/>
          <w:highlight w:val="none"/>
        </w:rPr>
        <w:t>的条件，并依照政府采购法实施条例第十七条规定提供下列材料：</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Arial"/>
          <w:color w:val="auto"/>
          <w:sz w:val="28"/>
          <w:szCs w:val="28"/>
          <w:highlight w:val="none"/>
        </w:rPr>
        <w:t>1.具有独立承担民事责任的能力</w:t>
      </w:r>
      <w:r>
        <w:rPr>
          <w:rFonts w:hint="eastAsia" w:ascii="宋体" w:hAnsi="宋体"/>
          <w:color w:val="auto"/>
          <w:sz w:val="28"/>
          <w:szCs w:val="28"/>
          <w:highlight w:val="none"/>
        </w:rPr>
        <w:t>：须为独立法人企业，需提供企业法人营业执照；</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宋体"/>
          <w:color w:val="auto"/>
          <w:kern w:val="0"/>
          <w:sz w:val="28"/>
          <w:szCs w:val="28"/>
          <w:highlight w:val="none"/>
        </w:rPr>
        <w:t>2.具有良好的商业信誉和健全的财务会计制度</w:t>
      </w:r>
      <w:r>
        <w:rPr>
          <w:rFonts w:hint="eastAsia" w:ascii="宋体" w:hAnsi="宋体"/>
          <w:color w:val="auto"/>
          <w:sz w:val="28"/>
          <w:szCs w:val="28"/>
          <w:highlight w:val="none"/>
        </w:rPr>
        <w:t>：需提供参加本次投标活动前近六个月内（20</w:t>
      </w:r>
      <w:r>
        <w:rPr>
          <w:rFonts w:hint="eastAsia" w:ascii="宋体" w:hAnsi="宋体"/>
          <w:color w:val="auto"/>
          <w:sz w:val="28"/>
          <w:szCs w:val="28"/>
          <w:highlight w:val="none"/>
          <w:lang w:val="en-US" w:eastAsia="zh-CN"/>
        </w:rPr>
        <w:t>20</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01</w:t>
      </w:r>
      <w:r>
        <w:rPr>
          <w:rFonts w:hint="eastAsia" w:ascii="宋体" w:hAnsi="宋体"/>
          <w:color w:val="auto"/>
          <w:sz w:val="28"/>
          <w:szCs w:val="28"/>
          <w:highlight w:val="none"/>
        </w:rPr>
        <w:t>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宋体"/>
          <w:color w:val="auto"/>
          <w:kern w:val="0"/>
          <w:sz w:val="28"/>
          <w:szCs w:val="28"/>
          <w:highlight w:val="none"/>
        </w:rPr>
        <w:t>4.有依法缴纳税收和社会保障资金的良好记录</w:t>
      </w:r>
      <w:r>
        <w:rPr>
          <w:rFonts w:hint="eastAsia" w:ascii="宋体" w:hAnsi="宋体"/>
          <w:color w:val="auto"/>
          <w:sz w:val="28"/>
          <w:szCs w:val="28"/>
          <w:highlight w:val="none"/>
        </w:rPr>
        <w:t>：提供参加本次投标活动前近六个月内（20</w:t>
      </w:r>
      <w:r>
        <w:rPr>
          <w:rFonts w:hint="eastAsia" w:ascii="宋体" w:hAnsi="宋体"/>
          <w:color w:val="auto"/>
          <w:sz w:val="28"/>
          <w:szCs w:val="28"/>
          <w:highlight w:val="none"/>
          <w:lang w:val="en-US" w:eastAsia="zh-CN"/>
        </w:rPr>
        <w:t>20</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01</w:t>
      </w:r>
      <w:r>
        <w:rPr>
          <w:rFonts w:hint="eastAsia" w:ascii="宋体" w:hAnsi="宋体"/>
          <w:color w:val="auto"/>
          <w:sz w:val="28"/>
          <w:szCs w:val="28"/>
          <w:highlight w:val="none"/>
        </w:rPr>
        <w:t>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宋体"/>
          <w:color w:val="auto"/>
          <w:kern w:val="0"/>
          <w:sz w:val="28"/>
          <w:szCs w:val="28"/>
          <w:highlight w:val="none"/>
        </w:rPr>
        <w:t>5.参加政府采购活动前三年内，在经营活动中没有违法记录</w:t>
      </w:r>
      <w:r>
        <w:rPr>
          <w:rFonts w:hint="eastAsia" w:ascii="宋体" w:hAnsi="宋体"/>
          <w:color w:val="auto"/>
          <w:sz w:val="28"/>
          <w:szCs w:val="28"/>
          <w:highlight w:val="none"/>
        </w:rPr>
        <w:t>：需提供参加本次投标活动前3年内在经营活动中没有重大违法记录的书面声明；</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6.法律、行政法规规定的其他条件：无。</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（二）投标人不得存在下列情形之一</w:t>
      </w:r>
      <w:r>
        <w:rPr>
          <w:rFonts w:hint="eastAsia" w:ascii="宋体" w:hAnsi="宋体"/>
          <w:color w:val="auto"/>
          <w:sz w:val="28"/>
          <w:szCs w:val="28"/>
          <w:highlight w:val="none"/>
        </w:rPr>
        <w:t>（</w:t>
      </w:r>
      <w:r>
        <w:rPr>
          <w:rFonts w:hint="eastAsia" w:ascii="宋体" w:hAnsi="宋体"/>
          <w:b/>
          <w:color w:val="auto"/>
          <w:sz w:val="28"/>
          <w:szCs w:val="28"/>
          <w:highlight w:val="none"/>
        </w:rPr>
        <w:t>提供加盖投标人公章的承诺书）</w:t>
      </w:r>
      <w:r>
        <w:rPr>
          <w:rFonts w:hint="eastAsia" w:ascii="宋体" w:hAnsi="宋体" w:cs="宋体"/>
          <w:color w:val="auto"/>
          <w:kern w:val="0"/>
          <w:sz w:val="28"/>
          <w:szCs w:val="28"/>
          <w:highlight w:val="none"/>
        </w:rPr>
        <w:t>：</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（1）为招标人不具有独立法人资格的附属机构（单位）；</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（2）与招标人存在利害关系可能影响招标公正性的；</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（3）单位负责人为同一人或者存在控股、管理关系的不同单位；</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（三）</w:t>
      </w:r>
      <w:r>
        <w:rPr>
          <w:rFonts w:hint="eastAsia" w:ascii="宋体" w:hAnsi="宋体" w:cs="宋体"/>
          <w:bCs/>
          <w:color w:val="auto"/>
          <w:kern w:val="0"/>
          <w:sz w:val="28"/>
          <w:szCs w:val="28"/>
          <w:highlight w:val="non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color w:val="auto"/>
          <w:kern w:val="0"/>
          <w:sz w:val="28"/>
          <w:szCs w:val="28"/>
          <w:highlight w:val="none"/>
        </w:rPr>
      </w:pPr>
      <w:r>
        <w:rPr>
          <w:rFonts w:hint="eastAsia" w:ascii="宋体" w:hAnsi="宋体" w:cs="宋体"/>
          <w:color w:val="auto"/>
          <w:sz w:val="28"/>
          <w:szCs w:val="28"/>
          <w:highlight w:val="none"/>
        </w:rPr>
        <w:t>供应商被“信用中国”网站（www.creditchina.gov.cn）、“中国政府采购网”(www.ccgp.gov.cn)列入失信被执行人、重大税收违法案件当事人名单、政府采购严重违法失信行为记录名单</w:t>
      </w:r>
      <w:r>
        <w:rPr>
          <w:rFonts w:hint="eastAsia" w:ascii="宋体" w:hAnsi="宋体" w:cs="宋体"/>
          <w:b/>
          <w:color w:val="auto"/>
          <w:sz w:val="28"/>
          <w:szCs w:val="28"/>
          <w:highlight w:val="none"/>
        </w:rPr>
        <w:t>（提供本项目报名截止日后的网站截图并加盖单位公章）</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二、本项目采用资格后审法，唱标后，进行资格审定。</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三、投标人应按附件</w:t>
      </w:r>
      <w:r>
        <w:rPr>
          <w:rFonts w:ascii="宋体" w:hAnsi="宋体" w:cs="宋体"/>
          <w:color w:val="auto"/>
          <w:sz w:val="28"/>
          <w:szCs w:val="28"/>
          <w:highlight w:val="none"/>
        </w:rPr>
        <w:t>2</w:t>
      </w:r>
      <w:r>
        <w:rPr>
          <w:rFonts w:hint="eastAsia" w:ascii="宋体" w:hAnsi="宋体" w:cs="宋体"/>
          <w:color w:val="auto"/>
          <w:sz w:val="28"/>
          <w:szCs w:val="28"/>
          <w:highlight w:val="none"/>
        </w:rPr>
        <w:t>、附件</w:t>
      </w:r>
      <w:r>
        <w:rPr>
          <w:rFonts w:ascii="宋体" w:hAnsi="宋体" w:cs="宋体"/>
          <w:color w:val="auto"/>
          <w:sz w:val="28"/>
          <w:szCs w:val="28"/>
          <w:highlight w:val="none"/>
        </w:rPr>
        <w:t>3</w:t>
      </w:r>
      <w:r>
        <w:rPr>
          <w:rFonts w:hint="eastAsia" w:ascii="宋体" w:hAnsi="宋体" w:cs="宋体"/>
          <w:color w:val="auto"/>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pStyle w:val="39"/>
        <w:adjustRightInd w:val="0"/>
        <w:snapToGrid w:val="0"/>
        <w:spacing w:before="0" w:beforeAutospacing="0" w:after="0" w:afterAutospacing="0" w:line="360" w:lineRule="auto"/>
        <w:ind w:firstLine="560" w:firstLineChars="200"/>
        <w:rPr>
          <w:color w:val="auto"/>
          <w:kern w:val="2"/>
          <w:sz w:val="28"/>
          <w:szCs w:val="28"/>
          <w:highlight w:val="none"/>
        </w:rPr>
      </w:pPr>
      <w:r>
        <w:rPr>
          <w:rFonts w:hint="eastAsia"/>
          <w:color w:val="auto"/>
          <w:kern w:val="2"/>
          <w:sz w:val="28"/>
          <w:szCs w:val="28"/>
          <w:highlight w:val="none"/>
        </w:rPr>
        <w:t>六、本项目预算价为67.14万元，本项目只接受人民币报价。</w:t>
      </w:r>
    </w:p>
    <w:p>
      <w:pPr>
        <w:spacing w:line="360" w:lineRule="auto"/>
        <w:ind w:firstLine="548" w:firstLineChars="196"/>
        <w:rPr>
          <w:rFonts w:hint="eastAsia" w:ascii="宋体" w:hAnsi="宋体" w:cs="宋体"/>
          <w:color w:val="auto"/>
          <w:sz w:val="28"/>
          <w:szCs w:val="28"/>
          <w:highlight w:val="none"/>
        </w:rPr>
      </w:pPr>
      <w:r>
        <w:rPr>
          <w:rFonts w:hint="eastAsia" w:ascii="宋体" w:hAnsi="宋体" w:cs="宋体"/>
          <w:color w:val="auto"/>
          <w:sz w:val="28"/>
          <w:szCs w:val="28"/>
          <w:highlight w:val="none"/>
        </w:rPr>
        <w:t>七、进口货物的外贸代理公司由投标人（中标人）在我校确定的两家外贸代理公司中自行选择（江苏苏美达仪器设备有限公司，练经理：025-84531280，15205153042；江苏海外集团国际技术工程有限公司，方经理：025-84795955，15996350251），代理费由投标人与所选外贸公司协商确定并含在报价中。我校协助办理入关、免税等相关证明材料手续。</w:t>
      </w:r>
    </w:p>
    <w:p>
      <w:pPr>
        <w:spacing w:beforeLines="100" w:afterLines="100" w:line="360" w:lineRule="auto"/>
        <w:ind w:firstLine="548" w:firstLineChars="196"/>
        <w:jc w:val="center"/>
        <w:rPr>
          <w:rFonts w:ascii="黑体" w:hAnsi="黑体" w:eastAsia="黑体" w:cs="宋体"/>
          <w:color w:val="auto"/>
          <w:sz w:val="28"/>
          <w:szCs w:val="28"/>
          <w:highlight w:val="none"/>
        </w:rPr>
      </w:pPr>
      <w:bookmarkStart w:id="4" w:name="_Hlk9866140"/>
      <w:r>
        <w:rPr>
          <w:rFonts w:hint="eastAsia" w:ascii="黑体" w:hAnsi="黑体" w:eastAsia="黑体" w:cs="宋体"/>
          <w:color w:val="auto"/>
          <w:sz w:val="28"/>
          <w:szCs w:val="28"/>
          <w:highlight w:val="none"/>
        </w:rPr>
        <w:t>三、对投标文件的要求</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投标文件一正四副，正、副本均须列出目录，内容不得有插行、涂抹、粘贴等，并打印装订成册。</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为便于唱标和减少浪费，请将</w:t>
      </w:r>
      <w:r>
        <w:rPr>
          <w:rFonts w:ascii="宋体" w:hAnsi="宋体" w:cs="宋体"/>
          <w:color w:val="auto"/>
          <w:sz w:val="28"/>
          <w:szCs w:val="28"/>
          <w:highlight w:val="none"/>
        </w:rPr>
        <w:t>1</w:t>
      </w:r>
      <w:r>
        <w:rPr>
          <w:rFonts w:hint="eastAsia" w:ascii="宋体" w:hAnsi="宋体" w:cs="宋体"/>
          <w:color w:val="auto"/>
          <w:sz w:val="28"/>
          <w:szCs w:val="28"/>
          <w:highlight w:val="none"/>
        </w:rPr>
        <w:t>份正本单独封装，另外</w:t>
      </w:r>
      <w:r>
        <w:rPr>
          <w:rFonts w:ascii="宋体" w:hAnsi="宋体" w:cs="宋体"/>
          <w:color w:val="auto"/>
          <w:sz w:val="28"/>
          <w:szCs w:val="28"/>
          <w:highlight w:val="none"/>
        </w:rPr>
        <w:t>4</w:t>
      </w:r>
      <w:r>
        <w:rPr>
          <w:rFonts w:hint="eastAsia" w:ascii="宋体" w:hAnsi="宋体" w:cs="宋体"/>
          <w:color w:val="auto"/>
          <w:sz w:val="28"/>
          <w:szCs w:val="28"/>
          <w:highlight w:val="none"/>
        </w:rPr>
        <w:t>份副本可叠加封装在一个大的档案袋中（</w:t>
      </w:r>
      <w:r>
        <w:rPr>
          <w:rFonts w:ascii="宋体" w:hAnsi="宋体" w:cs="宋体"/>
          <w:color w:val="auto"/>
          <w:sz w:val="28"/>
          <w:szCs w:val="28"/>
          <w:highlight w:val="none"/>
        </w:rPr>
        <w:t>4</w:t>
      </w:r>
      <w:r>
        <w:rPr>
          <w:rFonts w:hint="eastAsia" w:ascii="宋体" w:hAnsi="宋体" w:cs="宋体"/>
          <w:color w:val="auto"/>
          <w:sz w:val="28"/>
          <w:szCs w:val="28"/>
          <w:highlight w:val="none"/>
        </w:rPr>
        <w:t>份副本无需分别封装在</w:t>
      </w:r>
      <w:r>
        <w:rPr>
          <w:rFonts w:ascii="宋体" w:hAnsi="宋体" w:cs="宋体"/>
          <w:color w:val="auto"/>
          <w:sz w:val="28"/>
          <w:szCs w:val="28"/>
          <w:highlight w:val="none"/>
        </w:rPr>
        <w:t>4</w:t>
      </w:r>
      <w:r>
        <w:rPr>
          <w:rFonts w:hint="eastAsia" w:ascii="宋体" w:hAnsi="宋体" w:cs="宋体"/>
          <w:color w:val="auto"/>
          <w:sz w:val="28"/>
          <w:szCs w:val="28"/>
          <w:highlight w:val="none"/>
        </w:rPr>
        <w:t>个档案袋中，一个大档案袋封装不下的除外）。每家投标人在送交投标文件时，只需交</w:t>
      </w:r>
      <w:r>
        <w:rPr>
          <w:rFonts w:ascii="宋体" w:hAnsi="宋体" w:cs="宋体"/>
          <w:color w:val="auto"/>
          <w:sz w:val="28"/>
          <w:szCs w:val="28"/>
          <w:highlight w:val="none"/>
        </w:rPr>
        <w:t>2</w:t>
      </w:r>
      <w:r>
        <w:rPr>
          <w:rFonts w:hint="eastAsia" w:ascii="宋体" w:hAnsi="宋体" w:cs="宋体"/>
          <w:color w:val="auto"/>
          <w:sz w:val="28"/>
          <w:szCs w:val="28"/>
          <w:highlight w:val="none"/>
        </w:rPr>
        <w:t>个档案袋即可，即</w:t>
      </w:r>
      <w:r>
        <w:rPr>
          <w:rFonts w:ascii="宋体" w:hAnsi="宋体" w:cs="宋体"/>
          <w:color w:val="auto"/>
          <w:sz w:val="28"/>
          <w:szCs w:val="28"/>
          <w:highlight w:val="none"/>
        </w:rPr>
        <w:t>1</w:t>
      </w:r>
      <w:r>
        <w:rPr>
          <w:rFonts w:hint="eastAsia" w:ascii="宋体" w:hAnsi="宋体" w:cs="宋体"/>
          <w:color w:val="auto"/>
          <w:sz w:val="28"/>
          <w:szCs w:val="28"/>
          <w:highlight w:val="none"/>
        </w:rPr>
        <w:t>个正本档案袋，</w:t>
      </w:r>
      <w:r>
        <w:rPr>
          <w:rFonts w:ascii="宋体" w:hAnsi="宋体" w:cs="宋体"/>
          <w:color w:val="auto"/>
          <w:sz w:val="28"/>
          <w:szCs w:val="28"/>
          <w:highlight w:val="none"/>
        </w:rPr>
        <w:t>1</w:t>
      </w:r>
      <w:r>
        <w:rPr>
          <w:rFonts w:hint="eastAsia" w:ascii="宋体" w:hAnsi="宋体" w:cs="宋体"/>
          <w:color w:val="auto"/>
          <w:sz w:val="28"/>
          <w:szCs w:val="28"/>
          <w:highlight w:val="none"/>
        </w:rPr>
        <w:t>个大的副本档案袋。</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投标文件应包含以下内容（所有材料必须加盖投标单位公章）：</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）经投标单位法人或委托代理人代表签字并加盖单位公章的投标函（附件</w:t>
      </w:r>
      <w:r>
        <w:rPr>
          <w:rFonts w:ascii="宋体" w:hAnsi="宋体" w:cs="宋体"/>
          <w:color w:val="auto"/>
          <w:sz w:val="28"/>
          <w:szCs w:val="28"/>
          <w:highlight w:val="none"/>
        </w:rPr>
        <w:t>2</w:t>
      </w:r>
      <w:r>
        <w:rPr>
          <w:rFonts w:hint="eastAsia" w:ascii="宋体" w:hAnsi="宋体" w:cs="宋体"/>
          <w:color w:val="auto"/>
          <w:sz w:val="28"/>
          <w:szCs w:val="28"/>
          <w:highlight w:val="none"/>
        </w:rPr>
        <w:t>格式，为便于唱标，此函件请务必放置在投标文件内页的第一页）；</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）投标价格明细表（附件</w:t>
      </w:r>
      <w:r>
        <w:rPr>
          <w:rFonts w:ascii="宋体" w:hAnsi="宋体" w:cs="宋体"/>
          <w:color w:val="auto"/>
          <w:sz w:val="28"/>
          <w:szCs w:val="28"/>
          <w:highlight w:val="none"/>
        </w:rPr>
        <w:t>3</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）授权委托书、被委托人身份证复印件；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）产品（或服务，下同）技术性能参数的详细描述一览表（投标文件在对投标标的物进行技术和商务描述时，必须完全按照招标文件附件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中的章节顺序依次逐条响应，不得颠倒顺序，不得有漏项，不得原封不动地引用招标文件附件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）产品技术和商务指标偏差表；</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）产品服务方案；</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9</w:t>
      </w:r>
      <w:r>
        <w:rPr>
          <w:rFonts w:hint="eastAsia" w:ascii="宋体" w:hAnsi="宋体" w:cs="宋体"/>
          <w:color w:val="auto"/>
          <w:sz w:val="28"/>
          <w:szCs w:val="28"/>
          <w:highlight w:val="none"/>
        </w:rPr>
        <w:t>）产品销售授权书或代理证书（如系代理公司的）；</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10)</w:t>
      </w:r>
      <w:r>
        <w:rPr>
          <w:rFonts w:hint="eastAsia" w:ascii="宋体" w:hAnsi="宋体" w:cs="宋体"/>
          <w:color w:val="auto"/>
          <w:sz w:val="28"/>
          <w:szCs w:val="28"/>
          <w:highlight w:val="none"/>
        </w:rPr>
        <w:t xml:space="preserve"> 产品质量、工期、安全、管理及售后服务承诺书；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11</w:t>
      </w:r>
      <w:r>
        <w:rPr>
          <w:rFonts w:hint="eastAsia" w:ascii="宋体" w:hAnsi="宋体" w:cs="宋体"/>
          <w:color w:val="auto"/>
          <w:sz w:val="28"/>
          <w:szCs w:val="28"/>
          <w:highlight w:val="none"/>
        </w:rPr>
        <w:t>）产品质量检测报告、质保、认证等证书；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12</w:t>
      </w:r>
      <w:r>
        <w:rPr>
          <w:rFonts w:hint="eastAsia" w:ascii="宋体" w:hAnsi="宋体" w:cs="宋体"/>
          <w:color w:val="auto"/>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13</w:t>
      </w:r>
      <w:r>
        <w:rPr>
          <w:rFonts w:hint="eastAsia" w:ascii="宋体" w:hAnsi="宋体" w:cs="宋体"/>
          <w:color w:val="auto"/>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14</w:t>
      </w:r>
      <w:r>
        <w:rPr>
          <w:rFonts w:hint="eastAsia" w:ascii="宋体" w:hAnsi="宋体" w:cs="宋体"/>
          <w:color w:val="auto"/>
          <w:sz w:val="28"/>
          <w:szCs w:val="28"/>
          <w:highlight w:val="none"/>
        </w:rPr>
        <w:t>）招标文件规定或投标人对照评标办法的得分因素以及附件</w:t>
      </w:r>
      <w:r>
        <w:rPr>
          <w:rFonts w:ascii="宋体" w:hAnsi="宋体" w:cs="宋体"/>
          <w:color w:val="auto"/>
          <w:sz w:val="28"/>
          <w:szCs w:val="28"/>
          <w:highlight w:val="none"/>
        </w:rPr>
        <w:t>1</w:t>
      </w:r>
      <w:r>
        <w:rPr>
          <w:rFonts w:hint="eastAsia" w:ascii="宋体" w:hAnsi="宋体" w:cs="宋体"/>
          <w:color w:val="auto"/>
          <w:sz w:val="28"/>
          <w:szCs w:val="28"/>
          <w:highlight w:val="none"/>
        </w:rPr>
        <w:t>相关要求认为应提交的其他资料和文件。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15</w:t>
      </w:r>
      <w:r>
        <w:rPr>
          <w:rFonts w:hint="eastAsia" w:ascii="宋体" w:hAnsi="宋体" w:cs="宋体"/>
          <w:color w:val="auto"/>
          <w:sz w:val="28"/>
          <w:szCs w:val="28"/>
          <w:highlight w:val="none"/>
        </w:rPr>
        <w:t>）</w:t>
      </w:r>
      <w:r>
        <w:rPr>
          <w:rFonts w:hint="eastAsia"/>
          <w:color w:val="auto"/>
          <w:sz w:val="28"/>
          <w:szCs w:val="28"/>
          <w:highlight w:val="none"/>
        </w:rPr>
        <w:t>投标人必须投本标书所有标段的设备，不允许分标段投标；标书中服务器标段必须满足所有参数要求，其余标段标</w:t>
      </w:r>
      <w:r>
        <w:rPr>
          <w:rFonts w:hint="eastAsia" w:ascii="宋体" w:hAnsi="宋体" w:cs="Arial"/>
          <w:color w:val="auto"/>
          <w:kern w:val="0"/>
          <w:sz w:val="18"/>
          <w:szCs w:val="18"/>
          <w:highlight w:val="none"/>
        </w:rPr>
        <w:t>★</w:t>
      </w:r>
      <w:r>
        <w:rPr>
          <w:rFonts w:hint="eastAsia"/>
          <w:color w:val="auto"/>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投标人在投标文件中应承诺对如下内容已完全理解，如不承诺，视为认可：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）在参与我校相关项目的招投标活动中，遵纪守法，诚信经营，公平竞争；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）不采取不正当手段诋毁、排挤其他投标人；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）未能中标单位，本校对其原因不作解释；</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）投标单位对本文件其他内容已充分理解，并承诺一经中标即严格按合同执行，合同附件与合同有同等法律效力。</w:t>
      </w:r>
    </w:p>
    <w:bookmarkEnd w:id="4"/>
    <w:p>
      <w:pPr>
        <w:spacing w:beforeLines="100" w:afterLines="100" w:line="360" w:lineRule="auto"/>
        <w:ind w:firstLine="548" w:firstLineChars="196"/>
        <w:jc w:val="center"/>
        <w:rPr>
          <w:rFonts w:ascii="黑体" w:hAnsi="黑体" w:eastAsia="黑体" w:cs="宋体"/>
          <w:color w:val="auto"/>
          <w:sz w:val="28"/>
          <w:szCs w:val="28"/>
          <w:highlight w:val="none"/>
        </w:rPr>
      </w:pPr>
      <w:bookmarkStart w:id="5" w:name="_Hlk9866206"/>
      <w:r>
        <w:rPr>
          <w:rFonts w:hint="eastAsia" w:ascii="黑体" w:hAnsi="黑体" w:eastAsia="黑体" w:cs="宋体"/>
          <w:color w:val="auto"/>
          <w:sz w:val="28"/>
          <w:szCs w:val="28"/>
          <w:highlight w:val="none"/>
        </w:rPr>
        <w:t>四、开标程序</w:t>
      </w:r>
    </w:p>
    <w:bookmarkEnd w:id="5"/>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招标文件给出评标办法（见附件</w:t>
      </w:r>
      <w:r>
        <w:rPr>
          <w:rFonts w:ascii="宋体" w:hAnsi="宋体" w:cs="宋体"/>
          <w:color w:val="auto"/>
          <w:sz w:val="28"/>
          <w:szCs w:val="28"/>
          <w:highlight w:val="none"/>
        </w:rPr>
        <w:t>5</w:t>
      </w:r>
      <w:r>
        <w:rPr>
          <w:rFonts w:hint="eastAsia" w:ascii="宋体" w:hAnsi="宋体" w:cs="宋体"/>
          <w:color w:val="auto"/>
          <w:sz w:val="28"/>
          <w:szCs w:val="28"/>
          <w:highlight w:val="none"/>
        </w:rPr>
        <w:t>）</w:t>
      </w:r>
      <w:r>
        <w:rPr>
          <w:rFonts w:ascii="宋体" w:cs="宋体"/>
          <w:color w:val="auto"/>
          <w:sz w:val="28"/>
          <w:szCs w:val="28"/>
          <w:highlight w:val="none"/>
        </w:rPr>
        <w:t>,</w:t>
      </w:r>
      <w:r>
        <w:rPr>
          <w:rFonts w:hint="eastAsia" w:ascii="宋体" w:hAnsi="宋体" w:cs="宋体"/>
          <w:color w:val="auto"/>
          <w:sz w:val="28"/>
          <w:szCs w:val="28"/>
          <w:highlight w:val="none"/>
        </w:rPr>
        <w:t>供投标人和评标专家组参考。</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由财务处招标科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财务处工作人员在投标人的见证下唱标。投标人或投标人代表在唱标结果上签名确认。如投标人均未参加唱标，则由财务处工作人员和评标专家组组长、采购人代表共同签名确认。重要项目另请纪检监察部门代表签字。</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color w:val="auto"/>
          <w:sz w:val="28"/>
          <w:szCs w:val="28"/>
          <w:highlight w:val="none"/>
        </w:rPr>
      </w:pPr>
      <w:r>
        <w:rPr>
          <w:rFonts w:hint="eastAsia" w:ascii="宋体" w:hAnsi="宋体" w:cs="宋体"/>
          <w:color w:val="auto"/>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财务处根据评标专家组综合排序，在学校网站和财务处招标科网站对拟中标单位进行公示。公示结束，无异议，确定中标单位。</w:t>
      </w:r>
    </w:p>
    <w:p>
      <w:pPr>
        <w:spacing w:beforeLines="100"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五、无效投标</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投标文件出现下列情形的，将作为无效投标文件，不得进入评标：</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投标文件未按照招标文件的要求予以密封的；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投标文件少项漏项，或关键内容字迹模糊、无法辨认的；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有</w:t>
      </w:r>
      <w:r>
        <w:rPr>
          <w:rFonts w:ascii="宋体" w:hAnsi="宋体" w:cs="宋体"/>
          <w:color w:val="auto"/>
          <w:sz w:val="28"/>
          <w:szCs w:val="28"/>
          <w:highlight w:val="none"/>
        </w:rPr>
        <w:t>1</w:t>
      </w:r>
      <w:r>
        <w:rPr>
          <w:rFonts w:hint="eastAsia" w:ascii="宋体" w:hAnsi="宋体" w:cs="宋体"/>
          <w:color w:val="auto"/>
          <w:sz w:val="28"/>
          <w:szCs w:val="28"/>
          <w:highlight w:val="none"/>
        </w:rPr>
        <w:t>个核心指标或有</w:t>
      </w:r>
      <w:r>
        <w:rPr>
          <w:rFonts w:ascii="宋体" w:hAnsi="宋体" w:cs="宋体"/>
          <w:color w:val="auto"/>
          <w:sz w:val="28"/>
          <w:szCs w:val="28"/>
          <w:highlight w:val="none"/>
        </w:rPr>
        <w:t>5</w:t>
      </w:r>
      <w:r>
        <w:rPr>
          <w:rFonts w:hint="eastAsia" w:ascii="宋体" w:hAnsi="宋体" w:cs="宋体"/>
          <w:color w:val="auto"/>
          <w:sz w:val="28"/>
          <w:szCs w:val="28"/>
          <w:highlight w:val="none"/>
        </w:rPr>
        <w:t>个及以上非核心指标未能满足的；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技术指标响应内容未按照招标文件附件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8.</w:t>
      </w:r>
      <w:r>
        <w:rPr>
          <w:rFonts w:hint="eastAsia" w:ascii="宋体" w:hAnsi="宋体" w:cs="宋体"/>
          <w:color w:val="auto"/>
          <w:sz w:val="28"/>
          <w:szCs w:val="28"/>
          <w:highlight w:val="none"/>
        </w:rPr>
        <w:t>报价超过预算金额，或以人民币之外的币种报价的；</w:t>
      </w:r>
    </w:p>
    <w:p>
      <w:pPr>
        <w:spacing w:line="360" w:lineRule="auto"/>
        <w:ind w:firstLine="548" w:firstLineChars="196"/>
        <w:rPr>
          <w:rFonts w:ascii="宋体" w:hAnsi="宋体" w:cs="宋体"/>
          <w:b/>
          <w:color w:val="auto"/>
          <w:sz w:val="28"/>
          <w:szCs w:val="28"/>
          <w:highlight w:val="none"/>
        </w:rPr>
      </w:pPr>
      <w:r>
        <w:rPr>
          <w:rFonts w:ascii="宋体" w:hAnsi="宋体" w:cs="宋体"/>
          <w:color w:val="auto"/>
          <w:sz w:val="28"/>
          <w:szCs w:val="28"/>
          <w:highlight w:val="none"/>
        </w:rPr>
        <w:t>9.</w:t>
      </w:r>
      <w:r>
        <w:rPr>
          <w:rFonts w:hint="eastAsia" w:ascii="宋体" w:hAnsi="宋体" w:cs="宋体"/>
          <w:color w:val="auto"/>
          <w:sz w:val="28"/>
          <w:szCs w:val="28"/>
          <w:highlight w:val="none"/>
        </w:rPr>
        <w:t>无</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元报名资料费银行转账回单复印件的，或报名资料费银行转账回单中无</w:t>
      </w:r>
      <w:r>
        <w:rPr>
          <w:rFonts w:hint="eastAsia" w:ascii="宋体" w:hAnsi="宋体" w:cs="宋体"/>
          <w:b/>
          <w:color w:val="auto"/>
          <w:sz w:val="28"/>
          <w:szCs w:val="28"/>
          <w:highlight w:val="none"/>
        </w:rPr>
        <w:t>“</w:t>
      </w:r>
      <w:r>
        <w:rPr>
          <w:rFonts w:ascii="宋体" w:hAnsi="宋体" w:cs="宋体"/>
          <w:b/>
          <w:color w:val="auto"/>
          <w:sz w:val="28"/>
          <w:szCs w:val="28"/>
          <w:highlight w:val="none"/>
        </w:rPr>
        <w:t>SBC20</w:t>
      </w:r>
      <w:r>
        <w:rPr>
          <w:rFonts w:hint="eastAsia" w:ascii="宋体" w:hAnsi="宋体" w:cs="宋体"/>
          <w:b/>
          <w:color w:val="auto"/>
          <w:sz w:val="28"/>
          <w:szCs w:val="28"/>
          <w:highlight w:val="none"/>
        </w:rPr>
        <w:t>2004</w:t>
      </w:r>
      <w:r>
        <w:rPr>
          <w:rFonts w:hint="eastAsia" w:ascii="宋体" w:hAnsi="宋体" w:cs="宋体"/>
          <w:b/>
          <w:color w:val="auto"/>
          <w:sz w:val="28"/>
          <w:szCs w:val="28"/>
          <w:highlight w:val="none"/>
          <w:lang w:val="en-US" w:eastAsia="zh-CN"/>
        </w:rPr>
        <w:t>6</w:t>
      </w:r>
      <w:r>
        <w:rPr>
          <w:rFonts w:hint="eastAsia" w:ascii="宋体" w:hAnsi="宋体" w:cs="宋体"/>
          <w:b/>
          <w:color w:val="auto"/>
          <w:sz w:val="28"/>
          <w:szCs w:val="28"/>
          <w:highlight w:val="none"/>
        </w:rPr>
        <w:t>资料费”</w:t>
      </w:r>
      <w:r>
        <w:rPr>
          <w:rFonts w:hint="eastAsia" w:ascii="宋体" w:hAnsi="宋体" w:cs="宋体"/>
          <w:color w:val="auto"/>
          <w:sz w:val="28"/>
          <w:szCs w:val="28"/>
          <w:highlight w:val="none"/>
        </w:rPr>
        <w:t>字样的；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10.</w:t>
      </w:r>
      <w:r>
        <w:rPr>
          <w:rFonts w:hint="eastAsia" w:ascii="宋体" w:hAnsi="宋体" w:cs="宋体"/>
          <w:color w:val="auto"/>
          <w:sz w:val="28"/>
          <w:szCs w:val="28"/>
          <w:highlight w:val="none"/>
        </w:rPr>
        <w:t>招标文件中虽没明确，但经评标专家组讨论通过的符合无效投标情形的其他条件。</w:t>
      </w:r>
    </w:p>
    <w:p>
      <w:pPr>
        <w:spacing w:beforeLines="100"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六、评标办法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本着“质量第一、价格合理、服务优异、保障有力”的原则，由采购人、项目归口管理部门和财务处从报价得分、技术得分、服务、业绩、信誉得分五个方面提出评标办法（见附件</w:t>
      </w:r>
      <w:r>
        <w:rPr>
          <w:rFonts w:ascii="宋体" w:hAnsi="宋体" w:cs="宋体"/>
          <w:color w:val="auto"/>
          <w:sz w:val="28"/>
          <w:szCs w:val="28"/>
          <w:highlight w:val="none"/>
        </w:rPr>
        <w:t>5</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为保证招标质量，在评标办法中设核心指标。每个分包的核心指标不超过</w:t>
      </w:r>
      <w:r>
        <w:rPr>
          <w:rFonts w:ascii="宋体" w:hAnsi="宋体" w:cs="宋体"/>
          <w:color w:val="auto"/>
          <w:sz w:val="28"/>
          <w:szCs w:val="28"/>
          <w:highlight w:val="none"/>
        </w:rPr>
        <w:t>5</w:t>
      </w:r>
      <w:r>
        <w:rPr>
          <w:rFonts w:hint="eastAsia" w:ascii="宋体" w:hAnsi="宋体" w:cs="宋体"/>
          <w:color w:val="auto"/>
          <w:sz w:val="28"/>
          <w:szCs w:val="28"/>
          <w:highlight w:val="none"/>
        </w:rPr>
        <w:t>个。</w:t>
      </w:r>
    </w:p>
    <w:p>
      <w:pPr>
        <w:spacing w:beforeLines="100"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七、合同、履约、验收及结算等事项</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合同：</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）中标公示结束无异议后</w:t>
      </w:r>
      <w:r>
        <w:rPr>
          <w:rFonts w:ascii="宋体" w:hAnsi="宋体" w:cs="宋体"/>
          <w:color w:val="auto"/>
          <w:sz w:val="28"/>
          <w:szCs w:val="28"/>
          <w:highlight w:val="none"/>
        </w:rPr>
        <w:t>5</w:t>
      </w:r>
      <w:r>
        <w:rPr>
          <w:rFonts w:hint="eastAsia" w:ascii="宋体" w:hAnsi="宋体" w:cs="宋体"/>
          <w:color w:val="auto"/>
          <w:sz w:val="28"/>
          <w:szCs w:val="28"/>
          <w:highlight w:val="none"/>
        </w:rPr>
        <w:t>个工作日内，中标单位须及时缴纳中标价10%的履约保证金并前来我校领取《中标通知书》（一式二份）。</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）中标单位须在接《中标通知书》起</w:t>
      </w:r>
      <w:r>
        <w:rPr>
          <w:rFonts w:ascii="宋体" w:hAnsi="宋体" w:cs="宋体"/>
          <w:color w:val="auto"/>
          <w:sz w:val="28"/>
          <w:szCs w:val="28"/>
          <w:highlight w:val="none"/>
        </w:rPr>
        <w:t>7</w:t>
      </w:r>
      <w:r>
        <w:rPr>
          <w:rFonts w:hint="eastAsia" w:ascii="宋体" w:hAnsi="宋体" w:cs="宋体"/>
          <w:color w:val="auto"/>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服务地点：南京信息工程大学校内。</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付款方式：</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针对国内供应货物，签订合同后，20日内预付合同金额的30%，全部货物交货并验收合格后，凭验收凭证和货物验收合格等文件20内支付至合同金额的100%，质量保证金返还5%，剩余5%质量保证金</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质保期满后</w:t>
      </w:r>
      <w:r>
        <w:rPr>
          <w:rFonts w:hint="eastAsia" w:hAnsi="宋体"/>
          <w:color w:val="auto"/>
          <w:sz w:val="24"/>
          <w:highlight w:val="none"/>
        </w:rPr>
        <w:t>，</w:t>
      </w:r>
      <w:r>
        <w:rPr>
          <w:rFonts w:hint="eastAsia" w:ascii="宋体" w:hAnsi="宋体" w:cs="宋体"/>
          <w:color w:val="auto"/>
          <w:sz w:val="28"/>
          <w:szCs w:val="28"/>
          <w:highlight w:val="none"/>
        </w:rPr>
        <w:t>经有关单位确认无质量问题后，一次性</w:t>
      </w:r>
      <w:r>
        <w:rPr>
          <w:rFonts w:hint="eastAsia" w:ascii="宋体" w:hAnsi="宋体" w:cs="宋体"/>
          <w:color w:val="auto"/>
          <w:sz w:val="28"/>
          <w:szCs w:val="28"/>
          <w:highlight w:val="none"/>
          <w:lang w:val="en-US" w:eastAsia="zh-CN"/>
        </w:rPr>
        <w:t>无息付清</w:t>
      </w:r>
      <w:r>
        <w:rPr>
          <w:rFonts w:hint="eastAsia" w:ascii="宋体" w:hAnsi="宋体" w:cs="宋体"/>
          <w:color w:val="auto"/>
          <w:sz w:val="28"/>
          <w:szCs w:val="28"/>
          <w:highlight w:val="none"/>
        </w:rPr>
        <w:t>。具体内容以最终签署的合同约定为准。</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资料费：</w:t>
      </w:r>
      <w:r>
        <w:rPr>
          <w:rFonts w:ascii="宋体" w:hAnsi="宋体" w:cs="宋体"/>
          <w:color w:val="auto"/>
          <w:sz w:val="28"/>
          <w:szCs w:val="28"/>
          <w:highlight w:val="none"/>
        </w:rPr>
        <w:t>300</w:t>
      </w:r>
      <w:r>
        <w:rPr>
          <w:rFonts w:hint="eastAsia" w:ascii="宋体" w:hAnsi="宋体" w:cs="宋体"/>
          <w:color w:val="auto"/>
          <w:sz w:val="28"/>
          <w:szCs w:val="28"/>
          <w:highlight w:val="none"/>
        </w:rPr>
        <w:t>元</w:t>
      </w:r>
      <w:r>
        <w:rPr>
          <w:rFonts w:ascii="宋体" w:hAnsi="宋体" w:cs="宋体"/>
          <w:color w:val="auto"/>
          <w:sz w:val="28"/>
          <w:szCs w:val="28"/>
          <w:highlight w:val="none"/>
        </w:rPr>
        <w:t>/</w:t>
      </w:r>
      <w:r>
        <w:rPr>
          <w:rFonts w:hint="eastAsia" w:ascii="宋体" w:hAnsi="宋体" w:cs="宋体"/>
          <w:color w:val="auto"/>
          <w:sz w:val="28"/>
          <w:szCs w:val="28"/>
          <w:highlight w:val="none"/>
        </w:rPr>
        <w:t>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）我校不接收现金或支付宝等方式交费。各投标人务必通过单位银行基本账户提前将资料费汇至我校以下账号：户名：南京信息工程大学；账号：</w:t>
      </w:r>
      <w:r>
        <w:rPr>
          <w:rFonts w:ascii="宋体" w:hAnsi="宋体" w:cs="宋体"/>
          <w:color w:val="auto"/>
          <w:sz w:val="28"/>
          <w:szCs w:val="28"/>
          <w:highlight w:val="none"/>
        </w:rPr>
        <w:t>10115401040000228</w:t>
      </w:r>
      <w:r>
        <w:rPr>
          <w:rFonts w:hint="eastAsia" w:ascii="宋体" w:hAnsi="宋体" w:cs="宋体"/>
          <w:color w:val="auto"/>
          <w:sz w:val="28"/>
          <w:szCs w:val="28"/>
          <w:highlight w:val="none"/>
        </w:rPr>
        <w:t>；开户银行：中国农业银行南京盘城支行。请各投标人务必在转账留言栏备注填写</w:t>
      </w:r>
      <w:r>
        <w:rPr>
          <w:rFonts w:hint="eastAsia" w:ascii="宋体" w:hAnsi="宋体" w:cs="宋体"/>
          <w:b/>
          <w:color w:val="auto"/>
          <w:sz w:val="28"/>
          <w:szCs w:val="28"/>
          <w:highlight w:val="none"/>
        </w:rPr>
        <w:t>“</w:t>
      </w:r>
      <w:r>
        <w:rPr>
          <w:rFonts w:ascii="宋体" w:hAnsi="宋体" w:cs="宋体"/>
          <w:b/>
          <w:color w:val="auto"/>
          <w:sz w:val="28"/>
          <w:szCs w:val="28"/>
          <w:highlight w:val="none"/>
        </w:rPr>
        <w:t>SBC20200</w:t>
      </w:r>
      <w:r>
        <w:rPr>
          <w:rFonts w:hint="eastAsia" w:ascii="宋体" w:hAnsi="宋体" w:cs="宋体"/>
          <w:b/>
          <w:color w:val="auto"/>
          <w:sz w:val="28"/>
          <w:szCs w:val="28"/>
          <w:highlight w:val="none"/>
        </w:rPr>
        <w:t>4</w:t>
      </w:r>
      <w:r>
        <w:rPr>
          <w:rFonts w:hint="eastAsia" w:ascii="宋体" w:hAnsi="宋体" w:cs="宋体"/>
          <w:b/>
          <w:color w:val="auto"/>
          <w:sz w:val="28"/>
          <w:szCs w:val="28"/>
          <w:highlight w:val="none"/>
          <w:lang w:val="en-US" w:eastAsia="zh-CN"/>
        </w:rPr>
        <w:t>6</w:t>
      </w:r>
      <w:r>
        <w:rPr>
          <w:rFonts w:hint="eastAsia" w:ascii="宋体" w:hAnsi="宋体" w:cs="宋体"/>
          <w:b/>
          <w:color w:val="auto"/>
          <w:sz w:val="28"/>
          <w:szCs w:val="28"/>
          <w:highlight w:val="none"/>
        </w:rPr>
        <w:t>资料费”</w:t>
      </w:r>
      <w:r>
        <w:rPr>
          <w:rFonts w:hint="eastAsia" w:ascii="宋体" w:hAnsi="宋体" w:cs="宋体"/>
          <w:color w:val="auto"/>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w:t>
      </w:r>
      <w:r>
        <w:rPr>
          <w:rFonts w:hint="eastAsia" w:ascii="宋体" w:hAnsi="宋体" w:cs="宋体"/>
          <w:b/>
          <w:bCs/>
          <w:color w:val="auto"/>
          <w:sz w:val="28"/>
          <w:szCs w:val="28"/>
          <w:highlight w:val="none"/>
        </w:rPr>
        <w:t>我校提供电子普通发票，招标科定期到财务结算中心对账（时间约半个月）。请投标单位在邮件报名时提供单位纳税人识别号，并确保联系人手机号及邮箱状态正常，以便接收电子发票信息。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履约保证金（或投标保证金）：</w:t>
      </w:r>
      <w:r>
        <w:rPr>
          <w:rFonts w:hint="eastAsia" w:ascii="宋体" w:hAnsi="宋体" w:cs="宋体"/>
          <w:color w:val="auto"/>
          <w:sz w:val="28"/>
          <w:szCs w:val="28"/>
          <w:highlight w:val="none"/>
          <w:u w:val="single"/>
        </w:rPr>
        <w:t>中标价10%</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财务处招标科领取中标通知书后再与采购单位签订供货和服务合同。履约保证金交款账号同</w:t>
      </w:r>
      <w:r>
        <w:rPr>
          <w:rFonts w:ascii="宋体" w:hAnsi="宋体" w:cs="宋体"/>
          <w:color w:val="auto"/>
          <w:sz w:val="28"/>
          <w:szCs w:val="28"/>
          <w:highlight w:val="none"/>
        </w:rPr>
        <w:t>300</w:t>
      </w:r>
      <w:r>
        <w:rPr>
          <w:rFonts w:hint="eastAsia" w:ascii="宋体" w:hAnsi="宋体" w:cs="宋体"/>
          <w:color w:val="auto"/>
          <w:sz w:val="28"/>
          <w:szCs w:val="28"/>
          <w:highlight w:val="none"/>
        </w:rPr>
        <w:t>元资料费。</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）履约保证金交退咨询：财务处结算中心（体育馆北面，南气宾馆东侧的大学生创业中心</w:t>
      </w:r>
      <w:r>
        <w:rPr>
          <w:rFonts w:ascii="宋体" w:hAnsi="宋体" w:cs="宋体"/>
          <w:color w:val="auto"/>
          <w:sz w:val="28"/>
          <w:szCs w:val="28"/>
          <w:highlight w:val="none"/>
        </w:rPr>
        <w:t>3</w:t>
      </w:r>
      <w:r>
        <w:rPr>
          <w:rFonts w:hint="eastAsia" w:ascii="宋体" w:hAnsi="宋体" w:cs="宋体"/>
          <w:color w:val="auto"/>
          <w:sz w:val="28"/>
          <w:szCs w:val="28"/>
          <w:highlight w:val="none"/>
        </w:rPr>
        <w:t>号楼二楼201）。</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）如中标单位有下列情况之一，不予退还履约保证金，我校将其列入招投标诚信“黑名单”，</w:t>
      </w:r>
      <w:r>
        <w:rPr>
          <w:rFonts w:ascii="宋体" w:hAnsi="宋体" w:cs="宋体"/>
          <w:color w:val="auto"/>
          <w:sz w:val="28"/>
          <w:szCs w:val="28"/>
          <w:highlight w:val="none"/>
        </w:rPr>
        <w:t>3</w:t>
      </w:r>
      <w:r>
        <w:rPr>
          <w:rFonts w:hint="eastAsia" w:ascii="宋体" w:hAnsi="宋体" w:cs="宋体"/>
          <w:color w:val="auto"/>
          <w:sz w:val="28"/>
          <w:szCs w:val="28"/>
          <w:highlight w:val="none"/>
        </w:rPr>
        <w:t>年内不得到我校从事任何投标活动。</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a.</w:t>
      </w:r>
      <w:r>
        <w:rPr>
          <w:rFonts w:hint="eastAsia" w:ascii="宋体" w:hAnsi="宋体" w:cs="宋体"/>
          <w:color w:val="auto"/>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b.</w:t>
      </w:r>
      <w:r>
        <w:rPr>
          <w:rFonts w:hint="eastAsia" w:ascii="宋体" w:hAnsi="宋体" w:cs="宋体"/>
          <w:color w:val="auto"/>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c.</w:t>
      </w:r>
      <w:r>
        <w:rPr>
          <w:rFonts w:hint="eastAsia" w:ascii="宋体" w:hAnsi="宋体" w:cs="宋体"/>
          <w:color w:val="auto"/>
          <w:sz w:val="28"/>
          <w:szCs w:val="28"/>
          <w:highlight w:val="none"/>
        </w:rPr>
        <w:t>出现其他不予退还履约保证金情形的。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质保：参照附件4服务要求</w:t>
      </w:r>
    </w:p>
    <w:p>
      <w:pPr>
        <w:spacing w:beforeLines="100" w:afterLines="100" w:line="360" w:lineRule="auto"/>
        <w:jc w:val="center"/>
        <w:rPr>
          <w:rFonts w:ascii="黑体" w:hAnsi="黑体" w:eastAsia="黑体"/>
          <w:color w:val="auto"/>
          <w:sz w:val="28"/>
          <w:szCs w:val="28"/>
          <w:highlight w:val="none"/>
        </w:rPr>
      </w:pPr>
      <w:bookmarkStart w:id="6" w:name="_Hlk9866833"/>
      <w:r>
        <w:rPr>
          <w:rFonts w:hint="eastAsia" w:ascii="黑体" w:hAnsi="黑体" w:eastAsia="黑体"/>
          <w:color w:val="auto"/>
          <w:sz w:val="28"/>
          <w:szCs w:val="28"/>
          <w:highlight w:val="none"/>
        </w:rPr>
        <w:t>八、日程安排和联系方式</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报名时间：招标信息发布后。</w:t>
      </w:r>
    </w:p>
    <w:p>
      <w:pPr>
        <w:spacing w:line="360" w:lineRule="auto"/>
        <w:ind w:firstLine="560" w:firstLineChars="200"/>
        <w:rPr>
          <w:rFonts w:ascii="宋体" w:cs="宋体"/>
          <w:color w:val="auto"/>
          <w:sz w:val="28"/>
          <w:szCs w:val="28"/>
          <w:highlight w:val="none"/>
        </w:rPr>
      </w:pPr>
      <w:r>
        <w:rPr>
          <w:rFonts w:ascii="宋体" w:hAnsi="宋体"/>
          <w:color w:val="auto"/>
          <w:sz w:val="28"/>
          <w:szCs w:val="28"/>
          <w:highlight w:val="none"/>
        </w:rPr>
        <w:t>2.</w:t>
      </w:r>
      <w:r>
        <w:rPr>
          <w:rFonts w:hint="eastAsia" w:ascii="宋体" w:hAnsi="宋体"/>
          <w:color w:val="auto"/>
          <w:sz w:val="28"/>
          <w:szCs w:val="28"/>
          <w:highlight w:val="none"/>
        </w:rPr>
        <w:t>领取招标文件：</w:t>
      </w:r>
      <w:r>
        <w:rPr>
          <w:rFonts w:hint="eastAsia" w:ascii="宋体" w:hAnsi="宋体"/>
          <w:color w:val="auto"/>
          <w:sz w:val="28"/>
          <w:szCs w:val="28"/>
          <w:highlight w:val="none"/>
          <w:u w:val="single"/>
        </w:rPr>
        <w:t>自行下载</w:t>
      </w:r>
      <w:r>
        <w:rPr>
          <w:rFonts w:hint="eastAsia" w:ascii="宋体" w:hAnsi="宋体" w:cs="宋体"/>
          <w:color w:val="auto"/>
          <w:kern w:val="0"/>
          <w:sz w:val="28"/>
          <w:szCs w:val="28"/>
          <w:highlight w:val="none"/>
        </w:rPr>
        <w:t>。</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3.</w:t>
      </w:r>
      <w:r>
        <w:rPr>
          <w:rFonts w:hint="eastAsia" w:ascii="宋体" w:hAnsi="宋体"/>
          <w:color w:val="auto"/>
          <w:sz w:val="28"/>
          <w:szCs w:val="28"/>
          <w:highlight w:val="none"/>
        </w:rPr>
        <w:t xml:space="preserve">答疑时间：          </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）投标人如有疑问，请在</w:t>
      </w:r>
      <w:r>
        <w:rPr>
          <w:rFonts w:ascii="宋体" w:hAnsi="宋体"/>
          <w:b/>
          <w:color w:val="auto"/>
          <w:sz w:val="28"/>
          <w:szCs w:val="28"/>
          <w:highlight w:val="none"/>
          <w:u w:val="single"/>
        </w:rPr>
        <w:t>2020</w:t>
      </w:r>
      <w:r>
        <w:rPr>
          <w:rFonts w:hint="eastAsia" w:ascii="宋体" w:hAnsi="宋体"/>
          <w:b/>
          <w:color w:val="auto"/>
          <w:sz w:val="28"/>
          <w:szCs w:val="28"/>
          <w:highlight w:val="none"/>
          <w:u w:val="single"/>
        </w:rPr>
        <w:t>年07月</w:t>
      </w:r>
      <w:r>
        <w:rPr>
          <w:rFonts w:hint="eastAsia" w:ascii="宋体" w:hAnsi="宋体"/>
          <w:b/>
          <w:color w:val="auto"/>
          <w:sz w:val="28"/>
          <w:szCs w:val="28"/>
          <w:highlight w:val="none"/>
          <w:u w:val="single"/>
          <w:lang w:val="en-US" w:eastAsia="zh-CN"/>
        </w:rPr>
        <w:t>08</w:t>
      </w:r>
      <w:r>
        <w:rPr>
          <w:rFonts w:hint="eastAsia" w:ascii="宋体" w:hAnsi="宋体"/>
          <w:b/>
          <w:color w:val="auto"/>
          <w:sz w:val="28"/>
          <w:szCs w:val="28"/>
          <w:highlight w:val="none"/>
          <w:u w:val="single"/>
        </w:rPr>
        <w:t>日</w:t>
      </w:r>
      <w:r>
        <w:rPr>
          <w:rFonts w:ascii="宋体" w:hAnsi="宋体"/>
          <w:b/>
          <w:color w:val="auto"/>
          <w:sz w:val="28"/>
          <w:szCs w:val="28"/>
          <w:highlight w:val="none"/>
          <w:u w:val="single"/>
        </w:rPr>
        <w:t>11</w:t>
      </w:r>
      <w:r>
        <w:rPr>
          <w:rFonts w:hint="eastAsia" w:ascii="宋体" w:hAnsi="宋体"/>
          <w:b/>
          <w:color w:val="auto"/>
          <w:sz w:val="28"/>
          <w:szCs w:val="28"/>
          <w:highlight w:val="none"/>
          <w:u w:val="single"/>
        </w:rPr>
        <w:t>：</w:t>
      </w:r>
      <w:r>
        <w:rPr>
          <w:rFonts w:ascii="宋体" w:hAnsi="宋体"/>
          <w:b/>
          <w:color w:val="auto"/>
          <w:sz w:val="28"/>
          <w:szCs w:val="28"/>
          <w:highlight w:val="none"/>
          <w:u w:val="single"/>
        </w:rPr>
        <w:t>3</w:t>
      </w:r>
      <w:r>
        <w:rPr>
          <w:color w:val="auto"/>
          <w:highlight w:val="none"/>
        </w:rPr>
        <w:fldChar w:fldCharType="begin"/>
      </w:r>
      <w:r>
        <w:rPr>
          <w:color w:val="auto"/>
          <w:highlight w:val="none"/>
        </w:rPr>
        <w:instrText xml:space="preserve"> HYPERLINK "mailto:30前将问题一律以word格式或txt格式发至89523765@qq.com" </w:instrText>
      </w:r>
      <w:r>
        <w:rPr>
          <w:color w:val="auto"/>
          <w:highlight w:val="none"/>
        </w:rPr>
        <w:fldChar w:fldCharType="separate"/>
      </w:r>
      <w:r>
        <w:rPr>
          <w:rFonts w:ascii="宋体"/>
          <w:b/>
          <w:color w:val="auto"/>
          <w:sz w:val="28"/>
          <w:szCs w:val="28"/>
          <w:highlight w:val="none"/>
          <w:u w:val="single"/>
        </w:rPr>
        <w:t>0</w:t>
      </w:r>
      <w:r>
        <w:rPr>
          <w:rFonts w:hint="eastAsia" w:ascii="宋体" w:hAnsi="宋体"/>
          <w:color w:val="auto"/>
          <w:sz w:val="28"/>
          <w:szCs w:val="28"/>
          <w:highlight w:val="none"/>
        </w:rPr>
        <w:t>前将问题以</w:t>
      </w:r>
      <w:r>
        <w:rPr>
          <w:rFonts w:ascii="宋体" w:hAnsi="宋体"/>
          <w:color w:val="auto"/>
          <w:sz w:val="28"/>
          <w:szCs w:val="28"/>
          <w:highlight w:val="none"/>
        </w:rPr>
        <w:t>word</w:t>
      </w:r>
      <w:r>
        <w:rPr>
          <w:rFonts w:hint="eastAsia" w:ascii="宋体" w:hAnsi="宋体"/>
          <w:color w:val="auto"/>
          <w:sz w:val="28"/>
          <w:szCs w:val="28"/>
          <w:highlight w:val="none"/>
        </w:rPr>
        <w:t>格式或</w:t>
      </w:r>
      <w:r>
        <w:rPr>
          <w:rFonts w:ascii="宋体" w:hAnsi="宋体"/>
          <w:color w:val="auto"/>
          <w:sz w:val="28"/>
          <w:szCs w:val="28"/>
          <w:highlight w:val="none"/>
        </w:rPr>
        <w:t>txt</w:t>
      </w:r>
      <w:r>
        <w:rPr>
          <w:rFonts w:hint="eastAsia" w:ascii="宋体" w:hAnsi="宋体"/>
          <w:color w:val="auto"/>
          <w:sz w:val="28"/>
          <w:szCs w:val="28"/>
          <w:highlight w:val="none"/>
        </w:rPr>
        <w:t>格式发至</w:t>
      </w:r>
      <w:r>
        <w:rPr>
          <w:rFonts w:ascii="宋体" w:hAnsi="宋体"/>
          <w:color w:val="auto"/>
          <w:sz w:val="28"/>
          <w:szCs w:val="28"/>
          <w:highlight w:val="none"/>
        </w:rPr>
        <w:t>2483567991@qq.com</w:t>
      </w:r>
      <w:r>
        <w:rPr>
          <w:rFonts w:ascii="宋体" w:hAnsi="宋体"/>
          <w:color w:val="auto"/>
          <w:sz w:val="28"/>
          <w:szCs w:val="28"/>
          <w:highlight w:val="none"/>
        </w:rPr>
        <w:fldChar w:fldCharType="end"/>
      </w:r>
      <w:r>
        <w:rPr>
          <w:rFonts w:hint="eastAsia" w:ascii="宋体" w:hAnsi="宋体"/>
          <w:color w:val="auto"/>
          <w:sz w:val="28"/>
          <w:szCs w:val="28"/>
          <w:highlight w:val="none"/>
        </w:rPr>
        <w:t>（质疑函请勿以</w:t>
      </w:r>
      <w:r>
        <w:rPr>
          <w:rFonts w:ascii="宋体" w:hAnsi="宋体"/>
          <w:color w:val="auto"/>
          <w:sz w:val="28"/>
          <w:szCs w:val="28"/>
          <w:highlight w:val="none"/>
        </w:rPr>
        <w:t>JPG</w:t>
      </w:r>
      <w:r>
        <w:rPr>
          <w:rFonts w:hint="eastAsia" w:ascii="宋体" w:hAnsi="宋体"/>
          <w:color w:val="auto"/>
          <w:sz w:val="28"/>
          <w:szCs w:val="28"/>
          <w:highlight w:val="none"/>
        </w:rPr>
        <w:t>或</w:t>
      </w:r>
      <w:r>
        <w:rPr>
          <w:rFonts w:ascii="宋体" w:hAnsi="宋体"/>
          <w:color w:val="auto"/>
          <w:sz w:val="28"/>
          <w:szCs w:val="28"/>
          <w:highlight w:val="none"/>
        </w:rPr>
        <w:t>PDF</w:t>
      </w:r>
      <w:r>
        <w:rPr>
          <w:rFonts w:hint="eastAsia" w:ascii="宋体" w:hAnsi="宋体"/>
          <w:color w:val="auto"/>
          <w:sz w:val="28"/>
          <w:szCs w:val="28"/>
          <w:highlight w:val="none"/>
        </w:rPr>
        <w:t>格式，对</w:t>
      </w:r>
      <w:r>
        <w:rPr>
          <w:rFonts w:ascii="宋体" w:hAnsi="宋体"/>
          <w:color w:val="auto"/>
          <w:sz w:val="28"/>
          <w:szCs w:val="28"/>
          <w:highlight w:val="none"/>
        </w:rPr>
        <w:t>JPG</w:t>
      </w:r>
      <w:r>
        <w:rPr>
          <w:rFonts w:hint="eastAsia" w:ascii="宋体" w:hAnsi="宋体"/>
          <w:color w:val="auto"/>
          <w:sz w:val="28"/>
          <w:szCs w:val="28"/>
          <w:highlight w:val="none"/>
        </w:rPr>
        <w:t>和</w:t>
      </w:r>
      <w:r>
        <w:rPr>
          <w:rFonts w:ascii="宋体" w:hAnsi="宋体"/>
          <w:color w:val="auto"/>
          <w:sz w:val="28"/>
          <w:szCs w:val="28"/>
          <w:highlight w:val="none"/>
        </w:rPr>
        <w:t>PDF</w:t>
      </w:r>
      <w:r>
        <w:rPr>
          <w:rFonts w:hint="eastAsia" w:ascii="宋体" w:hAnsi="宋体"/>
          <w:color w:val="auto"/>
          <w:sz w:val="28"/>
          <w:szCs w:val="28"/>
          <w:highlight w:val="none"/>
        </w:rPr>
        <w:t>格式的附件一律删除，不予采纳，敬请谅解）。</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2</w:t>
      </w:r>
      <w:r>
        <w:rPr>
          <w:rFonts w:hint="eastAsia" w:ascii="宋体" w:hAnsi="宋体"/>
          <w:color w:val="auto"/>
          <w:sz w:val="28"/>
          <w:szCs w:val="28"/>
          <w:highlight w:val="none"/>
        </w:rPr>
        <w:t>）我校项目归口管理部门将通过财务处招标科向各投标人统一进行书面（或电子版）答疑回复。</w:t>
      </w:r>
    </w:p>
    <w:p>
      <w:pPr>
        <w:widowControl/>
        <w:snapToGrid w:val="0"/>
        <w:spacing w:line="360" w:lineRule="auto"/>
        <w:ind w:firstLine="548" w:firstLineChars="196"/>
        <w:rPr>
          <w:rFonts w:ascii="黑体" w:hAnsi="黑体" w:eastAsia="黑体"/>
          <w:i/>
          <w:color w:val="auto"/>
          <w:sz w:val="28"/>
          <w:szCs w:val="28"/>
          <w:highlight w:val="none"/>
        </w:rPr>
      </w:pPr>
      <w:r>
        <w:rPr>
          <w:rFonts w:hint="eastAsia" w:ascii="宋体" w:hAnsi="宋体"/>
          <w:color w:val="auto"/>
          <w:sz w:val="28"/>
          <w:szCs w:val="28"/>
          <w:highlight w:val="none"/>
        </w:rPr>
        <w:t>4.投标文件</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（1）投标送达方式：</w:t>
      </w:r>
      <w:r>
        <w:rPr>
          <w:rFonts w:hint="eastAsia" w:ascii="宋体" w:hAnsi="宋体"/>
          <w:b/>
          <w:color w:val="auto"/>
          <w:sz w:val="28"/>
          <w:szCs w:val="28"/>
          <w:highlight w:val="none"/>
        </w:rPr>
        <w:t>只接受以邮寄方式送达，并请务必用顺丰快递</w:t>
      </w:r>
      <w:r>
        <w:rPr>
          <w:rFonts w:hint="eastAsia" w:ascii="宋体" w:hAnsi="宋体"/>
          <w:color w:val="auto"/>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color w:val="auto"/>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（2）投标截止时间：2020年07月</w:t>
      </w:r>
      <w:r>
        <w:rPr>
          <w:rFonts w:hint="eastAsia" w:ascii="宋体" w:hAnsi="宋体"/>
          <w:color w:val="auto"/>
          <w:sz w:val="28"/>
          <w:szCs w:val="28"/>
          <w:highlight w:val="none"/>
          <w:lang w:val="en-US" w:eastAsia="zh-CN"/>
        </w:rPr>
        <w:t>22</w:t>
      </w:r>
      <w:r>
        <w:rPr>
          <w:rFonts w:hint="eastAsia" w:ascii="宋体" w:hAnsi="宋体"/>
          <w:color w:val="auto"/>
          <w:sz w:val="28"/>
          <w:szCs w:val="28"/>
          <w:highlight w:val="none"/>
        </w:rPr>
        <w:t>日09：00。</w:t>
      </w:r>
      <w:bookmarkStart w:id="7" w:name="_Hlk32349437"/>
    </w:p>
    <w:bookmarkEnd w:id="7"/>
    <w:p>
      <w:pPr>
        <w:widowControl/>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（3）邮寄送达地点：</w:t>
      </w:r>
      <w:r>
        <w:rPr>
          <w:rFonts w:hint="eastAsia" w:ascii="宋体" w:hAnsi="宋体" w:cs="宋体"/>
          <w:color w:val="auto"/>
          <w:kern w:val="0"/>
          <w:sz w:val="28"/>
          <w:szCs w:val="28"/>
          <w:highlight w:val="none"/>
        </w:rPr>
        <w:t>南京市浦口区宁六路219号</w:t>
      </w:r>
      <w:r>
        <w:rPr>
          <w:rFonts w:ascii="宋体" w:hAnsi="宋体" w:cs="宋体"/>
          <w:color w:val="auto"/>
          <w:kern w:val="0"/>
          <w:sz w:val="28"/>
          <w:szCs w:val="28"/>
          <w:highlight w:val="none"/>
        </w:rPr>
        <w:t>南京信息工程大学</w:t>
      </w:r>
      <w:r>
        <w:rPr>
          <w:rFonts w:hint="eastAsia" w:ascii="宋体" w:hAnsi="宋体"/>
          <w:color w:val="auto"/>
          <w:sz w:val="28"/>
          <w:szCs w:val="28"/>
          <w:highlight w:val="none"/>
        </w:rPr>
        <w:t>东苑大学生创业中心3号楼（体育馆北面三层小楼）210室</w:t>
      </w:r>
      <w:r>
        <w:rPr>
          <w:rFonts w:hint="eastAsia" w:ascii="宋体" w:hAnsi="宋体" w:cs="宋体"/>
          <w:color w:val="auto"/>
          <w:kern w:val="0"/>
          <w:sz w:val="28"/>
          <w:szCs w:val="28"/>
          <w:highlight w:val="none"/>
        </w:rPr>
        <w:t>财务处招标科。联系人：马老师、罗老师、方老师；联系电话：025-58731441。</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5.开标、唱标和评标</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（1）开标、唱标：2020年07月</w:t>
      </w:r>
      <w:r>
        <w:rPr>
          <w:rFonts w:hint="eastAsia" w:ascii="宋体" w:hAnsi="宋体"/>
          <w:color w:val="auto"/>
          <w:sz w:val="28"/>
          <w:szCs w:val="28"/>
          <w:highlight w:val="none"/>
          <w:lang w:val="en-US" w:eastAsia="zh-CN"/>
        </w:rPr>
        <w:t>22</w:t>
      </w:r>
      <w:r>
        <w:rPr>
          <w:rFonts w:hint="eastAsia" w:ascii="宋体" w:hAnsi="宋体"/>
          <w:color w:val="auto"/>
          <w:sz w:val="28"/>
          <w:szCs w:val="28"/>
          <w:highlight w:val="none"/>
        </w:rPr>
        <w:t>日09：00；(不安排公开开标、唱标，由财务处招标科工作人员在我校纪检监察部门监督见证下进行，开标、唱标工作全程视频监控并录像)。</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（2）唱标和开标地点：南京信息工程大学东苑大学生创业中心</w:t>
      </w:r>
      <w:r>
        <w:rPr>
          <w:rFonts w:ascii="宋体" w:hAnsi="宋体"/>
          <w:color w:val="auto"/>
          <w:sz w:val="28"/>
          <w:szCs w:val="28"/>
          <w:highlight w:val="none"/>
        </w:rPr>
        <w:t>3</w:t>
      </w:r>
      <w:r>
        <w:rPr>
          <w:rFonts w:hint="eastAsia" w:ascii="宋体" w:hAnsi="宋体"/>
          <w:color w:val="auto"/>
          <w:sz w:val="28"/>
          <w:szCs w:val="28"/>
          <w:highlight w:val="none"/>
        </w:rPr>
        <w:t>号楼（体育馆北面三层小楼）</w:t>
      </w:r>
      <w:r>
        <w:rPr>
          <w:rFonts w:ascii="宋体" w:hAnsi="宋体"/>
          <w:color w:val="auto"/>
          <w:sz w:val="28"/>
          <w:szCs w:val="28"/>
          <w:highlight w:val="none"/>
        </w:rPr>
        <w:t>210</w:t>
      </w:r>
      <w:r>
        <w:rPr>
          <w:rFonts w:hint="eastAsia" w:ascii="宋体" w:hAnsi="宋体"/>
          <w:color w:val="auto"/>
          <w:sz w:val="28"/>
          <w:szCs w:val="28"/>
          <w:highlight w:val="none"/>
        </w:rPr>
        <w:t>室。</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6.相关单位联系人及电话</w:t>
      </w:r>
    </w:p>
    <w:p>
      <w:pPr>
        <w:snapToGrid w:val="0"/>
        <w:spacing w:line="360" w:lineRule="auto"/>
        <w:ind w:firstLine="425" w:firstLineChars="152"/>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）财务处招标科（招投标管理业务单位）：联系电话：</w:t>
      </w:r>
      <w:r>
        <w:rPr>
          <w:rFonts w:ascii="宋体" w:hAnsi="宋体"/>
          <w:color w:val="auto"/>
          <w:sz w:val="28"/>
          <w:szCs w:val="28"/>
          <w:highlight w:val="none"/>
        </w:rPr>
        <w:t>025-58731441</w:t>
      </w:r>
      <w:r>
        <w:rPr>
          <w:rFonts w:hint="eastAsia" w:ascii="宋体" w:hAnsi="宋体"/>
          <w:color w:val="auto"/>
          <w:sz w:val="28"/>
          <w:szCs w:val="28"/>
          <w:highlight w:val="none"/>
        </w:rPr>
        <w:t>，联系人：马老师、罗老师、方老师；</w:t>
      </w:r>
    </w:p>
    <w:p>
      <w:pPr>
        <w:snapToGrid w:val="0"/>
        <w:spacing w:line="360" w:lineRule="auto"/>
        <w:ind w:firstLine="425" w:firstLineChars="152"/>
        <w:rPr>
          <w:rFonts w:ascii="宋体" w:hAnsi="宋体"/>
          <w:color w:val="auto"/>
          <w:sz w:val="28"/>
          <w:szCs w:val="28"/>
          <w:highlight w:val="none"/>
        </w:rPr>
      </w:pPr>
      <w:r>
        <w:rPr>
          <w:rFonts w:hint="eastAsia" w:ascii="宋体" w:hAnsi="宋体"/>
          <w:color w:val="auto"/>
          <w:sz w:val="28"/>
          <w:szCs w:val="28"/>
          <w:highlight w:val="none"/>
        </w:rPr>
        <w:t>（2）</w:t>
      </w:r>
      <w:bookmarkEnd w:id="6"/>
      <w:r>
        <w:rPr>
          <w:rFonts w:hint="eastAsia" w:ascii="宋体" w:hAnsi="宋体"/>
          <w:color w:val="auto"/>
          <w:sz w:val="28"/>
          <w:szCs w:val="28"/>
          <w:highlight w:val="none"/>
        </w:rPr>
        <w:t>用户单位联系电话：13912925351，联系人：张老师。</w:t>
      </w:r>
    </w:p>
    <w:p>
      <w:pPr>
        <w:pStyle w:val="2"/>
        <w:ind w:left="0" w:leftChars="0" w:right="0" w:rightChars="0"/>
        <w:rPr>
          <w:rFonts w:ascii="宋体" w:hAnsi="宋体"/>
          <w:color w:val="auto"/>
          <w:sz w:val="28"/>
          <w:szCs w:val="28"/>
          <w:highlight w:val="none"/>
        </w:rPr>
      </w:pPr>
    </w:p>
    <w:p>
      <w:pPr>
        <w:tabs>
          <w:tab w:val="left" w:pos="1260"/>
        </w:tabs>
        <w:spacing w:line="360" w:lineRule="auto"/>
        <w:ind w:left="1959" w:leftChars="933" w:firstLine="2530" w:firstLineChars="900"/>
        <w:rPr>
          <w:rFonts w:ascii="宋体"/>
          <w:b/>
          <w:color w:val="auto"/>
          <w:sz w:val="28"/>
          <w:szCs w:val="28"/>
          <w:highlight w:val="none"/>
        </w:rPr>
      </w:pPr>
      <w:bookmarkStart w:id="8" w:name="_Hlk9866962"/>
      <w:r>
        <w:rPr>
          <w:rFonts w:hint="eastAsia" w:ascii="宋体" w:hAnsi="宋体"/>
          <w:b/>
          <w:color w:val="auto"/>
          <w:sz w:val="28"/>
          <w:szCs w:val="28"/>
          <w:highlight w:val="none"/>
        </w:rPr>
        <w:t>南京信息工程大学财务处</w:t>
      </w:r>
    </w:p>
    <w:p>
      <w:pPr>
        <w:pStyle w:val="9"/>
        <w:spacing w:line="360" w:lineRule="auto"/>
        <w:ind w:left="99" w:leftChars="47" w:firstLine="4919" w:firstLineChars="1750"/>
        <w:rPr>
          <w:rStyle w:val="38"/>
          <w:rFonts w:ascii="宋体" w:hAnsi="Times New Roman" w:eastAsia="宋体"/>
          <w:color w:val="auto"/>
          <w:sz w:val="28"/>
          <w:szCs w:val="28"/>
          <w:highlight w:val="none"/>
        </w:rPr>
      </w:pPr>
      <w:r>
        <w:rPr>
          <w:rStyle w:val="38"/>
          <w:rFonts w:ascii="宋体" w:hAnsi="宋体" w:eastAsia="宋体"/>
          <w:color w:val="auto"/>
          <w:sz w:val="28"/>
          <w:szCs w:val="28"/>
          <w:highlight w:val="none"/>
        </w:rPr>
        <w:t>20</w:t>
      </w:r>
      <w:r>
        <w:rPr>
          <w:rStyle w:val="38"/>
          <w:rFonts w:hint="eastAsia" w:ascii="宋体" w:hAnsi="宋体" w:eastAsia="宋体"/>
          <w:color w:val="auto"/>
          <w:sz w:val="28"/>
          <w:szCs w:val="28"/>
          <w:highlight w:val="none"/>
        </w:rPr>
        <w:t>20年0</w:t>
      </w:r>
      <w:r>
        <w:rPr>
          <w:rStyle w:val="38"/>
          <w:rFonts w:hint="eastAsia" w:ascii="宋体" w:hAnsi="宋体"/>
          <w:color w:val="auto"/>
          <w:sz w:val="28"/>
          <w:szCs w:val="28"/>
          <w:highlight w:val="none"/>
          <w:lang w:val="en-US"/>
        </w:rPr>
        <w:t>7</w:t>
      </w:r>
      <w:r>
        <w:rPr>
          <w:rStyle w:val="38"/>
          <w:rFonts w:hint="eastAsia" w:ascii="宋体" w:hAnsi="宋体" w:eastAsia="宋体"/>
          <w:color w:val="auto"/>
          <w:sz w:val="28"/>
          <w:szCs w:val="28"/>
          <w:highlight w:val="none"/>
        </w:rPr>
        <w:t>月</w:t>
      </w:r>
      <w:r>
        <w:rPr>
          <w:rStyle w:val="38"/>
          <w:rFonts w:hint="eastAsia" w:ascii="宋体" w:hAnsi="宋体"/>
          <w:color w:val="auto"/>
          <w:sz w:val="28"/>
          <w:szCs w:val="28"/>
          <w:highlight w:val="none"/>
          <w:lang w:val="en-US"/>
        </w:rPr>
        <w:t>02</w:t>
      </w:r>
      <w:r>
        <w:rPr>
          <w:rStyle w:val="38"/>
          <w:rFonts w:hint="eastAsia" w:ascii="宋体" w:hAnsi="宋体" w:eastAsia="宋体"/>
          <w:color w:val="auto"/>
          <w:sz w:val="28"/>
          <w:szCs w:val="28"/>
          <w:highlight w:val="none"/>
        </w:rPr>
        <w:t>日</w:t>
      </w:r>
    </w:p>
    <w:bookmarkEnd w:id="8"/>
    <w:p>
      <w:pPr>
        <w:pStyle w:val="8"/>
        <w:adjustRightInd w:val="0"/>
        <w:snapToGrid w:val="0"/>
        <w:spacing w:before="120" w:after="120" w:line="360" w:lineRule="auto"/>
        <w:rPr>
          <w:rStyle w:val="38"/>
          <w:rFonts w:ascii="宋体" w:hAnsi="宋体" w:eastAsia="宋体"/>
          <w:b w:val="0"/>
          <w:color w:val="auto"/>
          <w:sz w:val="28"/>
          <w:szCs w:val="28"/>
          <w:highlight w:val="none"/>
        </w:rPr>
      </w:pPr>
      <w:r>
        <w:rPr>
          <w:rStyle w:val="38"/>
          <w:rFonts w:ascii="宋体" w:hAnsi="Times New Roman" w:eastAsia="宋体"/>
          <w:b w:val="0"/>
          <w:color w:val="auto"/>
          <w:sz w:val="28"/>
          <w:szCs w:val="28"/>
          <w:highlight w:val="none"/>
        </w:rPr>
        <w:br w:type="page"/>
      </w:r>
      <w:bookmarkStart w:id="9" w:name="_Toc462564147"/>
      <w:r>
        <w:rPr>
          <w:rFonts w:ascii="Times New Roman" w:hAnsi="Times New Roman"/>
          <w:b/>
          <w:bCs/>
          <w:color w:val="auto"/>
          <w:sz w:val="24"/>
          <w:szCs w:val="24"/>
          <w:highlight w:val="none"/>
        </w:rPr>
        <w:t>附件1：</w:t>
      </w:r>
    </w:p>
    <w:p>
      <w:pPr>
        <w:spacing w:line="360" w:lineRule="auto"/>
        <w:ind w:left="180"/>
        <w:jc w:val="center"/>
        <w:rPr>
          <w:rFonts w:hAnsi="宋体"/>
          <w:b/>
          <w:color w:val="auto"/>
          <w:sz w:val="32"/>
          <w:szCs w:val="32"/>
          <w:highlight w:val="none"/>
        </w:rPr>
      </w:pPr>
      <w:r>
        <w:rPr>
          <w:rFonts w:hint="eastAsia" w:hAnsi="宋体"/>
          <w:b/>
          <w:color w:val="auto"/>
          <w:sz w:val="32"/>
          <w:szCs w:val="32"/>
          <w:highlight w:val="none"/>
        </w:rPr>
        <w:t>地理信息系统软件主要技术要求及其他要求</w:t>
      </w:r>
    </w:p>
    <w:tbl>
      <w:tblPr>
        <w:tblStyle w:val="15"/>
        <w:tblW w:w="4983" w:type="pct"/>
        <w:tblInd w:w="0" w:type="dxa"/>
        <w:tblLayout w:type="fixed"/>
        <w:tblCellMar>
          <w:top w:w="15" w:type="dxa"/>
          <w:left w:w="15" w:type="dxa"/>
          <w:bottom w:w="15" w:type="dxa"/>
          <w:right w:w="15" w:type="dxa"/>
        </w:tblCellMar>
      </w:tblPr>
      <w:tblGrid>
        <w:gridCol w:w="757"/>
        <w:gridCol w:w="767"/>
        <w:gridCol w:w="8677"/>
      </w:tblGrid>
      <w:tr>
        <w:tblPrEx>
          <w:tblCellMar>
            <w:top w:w="15" w:type="dxa"/>
            <w:left w:w="15" w:type="dxa"/>
            <w:bottom w:w="15" w:type="dxa"/>
            <w:right w:w="15" w:type="dxa"/>
          </w:tblCellMar>
        </w:tblPrEx>
        <w:tc>
          <w:tcPr>
            <w:tcW w:w="371"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单位</w:t>
            </w:r>
          </w:p>
        </w:tc>
        <w:tc>
          <w:tcPr>
            <w:tcW w:w="37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数量</w:t>
            </w:r>
          </w:p>
        </w:tc>
        <w:tc>
          <w:tcPr>
            <w:tcW w:w="4252"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主要配置或技术参数</w:t>
            </w:r>
          </w:p>
        </w:tc>
      </w:tr>
      <w:tr>
        <w:tblPrEx>
          <w:tblCellMar>
            <w:top w:w="15" w:type="dxa"/>
            <w:left w:w="15" w:type="dxa"/>
            <w:bottom w:w="15" w:type="dxa"/>
            <w:right w:w="15" w:type="dxa"/>
          </w:tblCellMar>
        </w:tblPrEx>
        <w:tc>
          <w:tcPr>
            <w:tcW w:w="371"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套</w:t>
            </w:r>
          </w:p>
        </w:tc>
        <w:tc>
          <w:tcPr>
            <w:tcW w:w="37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2套(桌面每套需满足5用户)</w:t>
            </w:r>
          </w:p>
        </w:tc>
        <w:tc>
          <w:tcPr>
            <w:tcW w:w="4252" w:type="pct"/>
            <w:tcBorders>
              <w:top w:val="single" w:color="000000" w:sz="4" w:space="0"/>
              <w:left w:val="single" w:color="000000" w:sz="4" w:space="0"/>
              <w:bottom w:val="single" w:color="000000" w:sz="4" w:space="0"/>
              <w:right w:val="single" w:color="000000" w:sz="4" w:space="0"/>
            </w:tcBorders>
            <w:vAlign w:val="center"/>
          </w:tcPr>
          <w:p>
            <w:pPr>
              <w:spacing w:line="312" w:lineRule="auto"/>
              <w:rPr>
                <w:color w:val="auto"/>
                <w:highlight w:val="none"/>
              </w:rPr>
            </w:pPr>
            <w:r>
              <w:rPr>
                <w:rFonts w:hint="eastAsia"/>
                <w:color w:val="auto"/>
                <w:highlight w:val="none"/>
              </w:rPr>
              <w:t>1、</w:t>
            </w:r>
            <w:r>
              <w:rPr>
                <w:color w:val="auto"/>
                <w:highlight w:val="none"/>
              </w:rPr>
              <w:t>GIS桌面软件支持32位和64位环境</w:t>
            </w:r>
            <w:r>
              <w:rPr>
                <w:rFonts w:hint="eastAsia"/>
                <w:color w:val="auto"/>
                <w:highlight w:val="none"/>
              </w:rPr>
              <w:t>，支持Windows 10、Windows 8.1、Windows 7、Windows Server 2019、Windows Server 2016、Windows Server 2012 R2、Windows Server 2012、Windows Server 2008 R2操作系统。</w:t>
            </w:r>
          </w:p>
          <w:p>
            <w:pPr>
              <w:spacing w:line="312" w:lineRule="auto"/>
              <w:rPr>
                <w:color w:val="auto"/>
                <w:highlight w:val="none"/>
              </w:rPr>
            </w:pPr>
            <w:r>
              <w:rPr>
                <w:color w:val="auto"/>
                <w:highlight w:val="none"/>
              </w:rPr>
              <w:t>2</w:t>
            </w:r>
            <w:r>
              <w:rPr>
                <w:rFonts w:hint="eastAsia"/>
                <w:color w:val="auto"/>
                <w:highlight w:val="none"/>
              </w:rPr>
              <w:t>、支持基本的地图浏览、图层管理、空间和属性查询、统计图表和报表生成、地图符号化、地图整饰以及地图打印；支持多种专题图制作，如唯一值、渐变色、渐变符号、多属性符号、点密度图、图表（条形图、饼图、堆叠图）、热力图等；</w:t>
            </w:r>
          </w:p>
          <w:p>
            <w:pPr>
              <w:spacing w:line="312" w:lineRule="auto"/>
              <w:rPr>
                <w:color w:val="auto"/>
                <w:highlight w:val="none"/>
              </w:rPr>
            </w:pPr>
            <w:r>
              <w:rPr>
                <w:rFonts w:hint="eastAsia"/>
                <w:color w:val="auto"/>
                <w:highlight w:val="none"/>
              </w:rPr>
              <w:t>具备空间分析、三维分析、网络分析、地图发布、追踪分析、逻辑示意图、数据互操作、地统计、工作流、数据检查、全动态视频、影像分析等功能。</w:t>
            </w:r>
          </w:p>
          <w:p>
            <w:pPr>
              <w:spacing w:line="312" w:lineRule="auto"/>
              <w:rPr>
                <w:color w:val="auto"/>
                <w:highlight w:val="none"/>
              </w:rPr>
            </w:pPr>
            <w:r>
              <w:rPr>
                <w:color w:val="auto"/>
                <w:highlight w:val="none"/>
              </w:rPr>
              <w:t>3</w:t>
            </w:r>
            <w:r>
              <w:rPr>
                <w:rFonts w:hint="eastAsia"/>
                <w:color w:val="auto"/>
                <w:highlight w:val="none"/>
              </w:rPr>
              <w:t>、支持输出三维地理统计结果，支持移动场景包创建。</w:t>
            </w:r>
          </w:p>
          <w:p>
            <w:pPr>
              <w:spacing w:line="312" w:lineRule="auto"/>
              <w:rPr>
                <w:color w:val="auto"/>
                <w:highlight w:val="none"/>
              </w:rPr>
            </w:pPr>
            <w:r>
              <w:rPr>
                <w:rFonts w:hint="eastAsia"/>
                <w:color w:val="auto"/>
                <w:highlight w:val="none"/>
              </w:rPr>
              <w:t>4、支持利用Python脚本实现自动化制图。通过 Python与数据驱动输出制图技术相结合，可自动创建和输出完整的地图册。提供动态图例功能，可以只展示可视范围内要素的图例。</w:t>
            </w:r>
          </w:p>
          <w:p>
            <w:pPr>
              <w:spacing w:line="312" w:lineRule="auto"/>
              <w:rPr>
                <w:color w:val="auto"/>
                <w:highlight w:val="none"/>
              </w:rPr>
            </w:pPr>
            <w:r>
              <w:rPr>
                <w:color w:val="auto"/>
                <w:highlight w:val="none"/>
              </w:rPr>
              <w:t>5</w:t>
            </w:r>
            <w:r>
              <w:rPr>
                <w:rFonts w:hint="eastAsia"/>
                <w:color w:val="auto"/>
                <w:highlight w:val="none"/>
              </w:rPr>
              <w:t>、</w:t>
            </w:r>
            <w:r>
              <w:rPr>
                <w:color w:val="auto"/>
                <w:highlight w:val="none"/>
              </w:rPr>
              <w:t>支持高级智能标注引擎MapLex，提供标注位置放置、标注冲突解决、标注自适应策略功能，如标注与要素的自动避让，自动去除重复标注，多标注的自动换行等，提供索引型标注。</w:t>
            </w:r>
          </w:p>
          <w:p>
            <w:pPr>
              <w:spacing w:line="312" w:lineRule="auto"/>
              <w:rPr>
                <w:color w:val="auto"/>
                <w:highlight w:val="none"/>
              </w:rPr>
            </w:pPr>
            <w:r>
              <w:rPr>
                <w:rFonts w:hint="eastAsia"/>
                <w:color w:val="auto"/>
                <w:highlight w:val="none"/>
              </w:rPr>
              <w:t>★6、支持TIN地形编辑。支持基于物理渲染的材质（pbr）。</w:t>
            </w:r>
          </w:p>
          <w:p>
            <w:pPr>
              <w:spacing w:line="312" w:lineRule="auto"/>
              <w:rPr>
                <w:color w:val="auto"/>
                <w:highlight w:val="none"/>
              </w:rPr>
            </w:pPr>
            <w:r>
              <w:rPr>
                <w:rFonts w:hint="eastAsia"/>
                <w:color w:val="auto"/>
                <w:highlight w:val="none"/>
              </w:rPr>
              <w:t>7、支持时空数据类型，时间信息可以存储为矢量、栅格等数据的属性，也可以支持时态数据的类型（如 netCDF等），并提供时间控制器，实现对时态数据的动态显示控制。支持时间滑块中即时模式的数据可视化更新。</w:t>
            </w:r>
          </w:p>
          <w:p>
            <w:pPr>
              <w:spacing w:line="312" w:lineRule="auto"/>
              <w:rPr>
                <w:color w:val="auto"/>
                <w:highlight w:val="none"/>
              </w:rPr>
            </w:pPr>
            <w:r>
              <w:rPr>
                <w:rFonts w:hint="eastAsia"/>
                <w:color w:val="auto"/>
                <w:highlight w:val="none"/>
              </w:rPr>
              <w:t>★8、</w:t>
            </w:r>
            <w:r>
              <w:rPr>
                <w:color w:val="auto"/>
                <w:highlight w:val="none"/>
              </w:rPr>
              <w:t>支持逻辑示意图功能</w:t>
            </w:r>
            <w:r>
              <w:rPr>
                <w:rFonts w:hint="eastAsia"/>
                <w:color w:val="auto"/>
                <w:highlight w:val="none"/>
              </w:rPr>
              <w:t>。</w:t>
            </w:r>
          </w:p>
          <w:p>
            <w:pPr>
              <w:spacing w:line="312" w:lineRule="auto"/>
              <w:rPr>
                <w:color w:val="auto"/>
                <w:highlight w:val="none"/>
              </w:rPr>
            </w:pPr>
            <w:r>
              <w:rPr>
                <w:color w:val="auto"/>
                <w:highlight w:val="none"/>
              </w:rPr>
              <w:t>9</w:t>
            </w:r>
            <w:r>
              <w:rPr>
                <w:rFonts w:hint="eastAsia"/>
                <w:color w:val="auto"/>
                <w:highlight w:val="none"/>
              </w:rPr>
              <w:t>、</w:t>
            </w:r>
            <w:r>
              <w:rPr>
                <w:color w:val="auto"/>
                <w:highlight w:val="none"/>
              </w:rPr>
              <w:t>原生支持Revit格式数据，能直接显示 SLPK数据格式。</w:t>
            </w:r>
          </w:p>
          <w:p>
            <w:pPr>
              <w:spacing w:line="312" w:lineRule="auto"/>
              <w:rPr>
                <w:color w:val="auto"/>
                <w:highlight w:val="none"/>
              </w:rPr>
            </w:pPr>
            <w:r>
              <w:rPr>
                <w:rFonts w:hint="eastAsia"/>
                <w:color w:val="auto"/>
                <w:highlight w:val="none"/>
              </w:rPr>
              <w:t>10、支持提供颜色管理，专色和加印（叠印）属性，满足胶版印刷的需求。</w:t>
            </w:r>
          </w:p>
          <w:p>
            <w:pPr>
              <w:tabs>
                <w:tab w:val="left" w:pos="357"/>
              </w:tabs>
              <w:topLinePunct/>
              <w:spacing w:line="312" w:lineRule="auto"/>
              <w:outlineLvl w:val="1"/>
              <w:rPr>
                <w:color w:val="auto"/>
                <w:highlight w:val="none"/>
              </w:rPr>
            </w:pPr>
            <w:r>
              <w:rPr>
                <w:rFonts w:hint="eastAsia"/>
                <w:color w:val="auto"/>
                <w:highlight w:val="none"/>
              </w:rPr>
              <w:t>11、</w:t>
            </w:r>
            <w:r>
              <w:rPr>
                <w:color w:val="auto"/>
                <w:highlight w:val="none"/>
              </w:rPr>
              <w:t>支持通过Pro SDK for Microsoft .NET的两种可扩展模式：配置和Add-In。</w:t>
            </w:r>
          </w:p>
          <w:p>
            <w:pPr>
              <w:spacing w:line="312" w:lineRule="auto"/>
              <w:rPr>
                <w:color w:val="auto"/>
                <w:highlight w:val="none"/>
              </w:rPr>
            </w:pPr>
            <w:r>
              <w:rPr>
                <w:rFonts w:hint="eastAsia"/>
                <w:color w:val="auto"/>
                <w:highlight w:val="none"/>
              </w:rPr>
              <w:t>12. 支持基于区域网平差技术的高精度DOM底图生产，可自动创建连接点，添加控制点，支持框幅式相机（包括无人机、大飞机）的平差模型，支持平差方案应用与取消，提高地物几何定位精度，优化重叠区域地物显示，实现大规模航飞影像生产；</w:t>
            </w:r>
          </w:p>
          <w:p>
            <w:pPr>
              <w:spacing w:line="312" w:lineRule="auto"/>
              <w:rPr>
                <w:color w:val="auto"/>
                <w:highlight w:val="none"/>
              </w:rPr>
            </w:pPr>
            <w:r>
              <w:rPr>
                <w:rFonts w:hint="eastAsia"/>
                <w:color w:val="auto"/>
                <w:highlight w:val="none"/>
              </w:rPr>
              <w:t>13. 提供高级的数据生产工具，可以基于立体卫星影像、航飞影像提取点云及 DTM\DSM产品。</w:t>
            </w:r>
          </w:p>
          <w:p>
            <w:pPr>
              <w:spacing w:line="312" w:lineRule="auto"/>
              <w:rPr>
                <w:color w:val="auto"/>
                <w:highlight w:val="none"/>
              </w:rPr>
            </w:pPr>
            <w:r>
              <w:rPr>
                <w:rFonts w:hint="eastAsia"/>
                <w:color w:val="auto"/>
                <w:highlight w:val="none"/>
              </w:rPr>
              <w:t>14、</w:t>
            </w:r>
            <w:r>
              <w:rPr>
                <w:color w:val="auto"/>
                <w:highlight w:val="none"/>
              </w:rPr>
              <w:t>支持常用国产遥感卫星影像产品，能够完成国产卫星影像的无控/有控正射校正、影像融合、大规模影像管理和快速发布。要求支持的卫星至少包括高分一号、高分二号、高分四号、环境卫星、资源一号、资源三号、天绘一号、吉林一号。</w:t>
            </w:r>
          </w:p>
          <w:p>
            <w:pPr>
              <w:spacing w:line="312" w:lineRule="auto"/>
              <w:rPr>
                <w:color w:val="auto"/>
                <w:highlight w:val="none"/>
              </w:rPr>
            </w:pPr>
            <w:r>
              <w:rPr>
                <w:rFonts w:hint="eastAsia"/>
                <w:color w:val="auto"/>
                <w:highlight w:val="none"/>
              </w:rPr>
              <w:t>15、</w:t>
            </w:r>
            <w:r>
              <w:rPr>
                <w:color w:val="auto"/>
                <w:highlight w:val="none"/>
              </w:rPr>
              <w:t>支持常用国外遥感卫星Level1和Level2级标准产品的大规模影像管理和快速发布。要求支持的卫星至少包括：Landsat8、SPOT7、Pleiades-1、QuickBird、WorldView-3、Worldview-4、GeoEye-1、Sentinel-1 (Radar)、Sentinel-2、GOES L1B,L2。</w:t>
            </w:r>
          </w:p>
          <w:p>
            <w:pPr>
              <w:spacing w:line="312" w:lineRule="auto"/>
              <w:rPr>
                <w:color w:val="auto"/>
                <w:highlight w:val="none"/>
              </w:rPr>
            </w:pPr>
            <w:r>
              <w:rPr>
                <w:rFonts w:hint="eastAsia"/>
                <w:color w:val="auto"/>
                <w:highlight w:val="none"/>
              </w:rPr>
              <w:t>16、</w:t>
            </w:r>
            <w:r>
              <w:rPr>
                <w:color w:val="auto"/>
                <w:highlight w:val="none"/>
              </w:rPr>
              <w:t>支持多维数据集，包括</w:t>
            </w:r>
            <w:bookmarkStart w:id="10" w:name="OLE_LINK12"/>
            <w:r>
              <w:rPr>
                <w:color w:val="auto"/>
                <w:highlight w:val="none"/>
              </w:rPr>
              <w:t>HDF</w:t>
            </w:r>
            <w:bookmarkEnd w:id="10"/>
            <w:r>
              <w:rPr>
                <w:color w:val="auto"/>
                <w:highlight w:val="none"/>
              </w:rPr>
              <w:t>、</w:t>
            </w:r>
            <w:bookmarkStart w:id="11" w:name="OLE_LINK14"/>
            <w:bookmarkStart w:id="12" w:name="OLE_LINK13"/>
            <w:bookmarkStart w:id="13" w:name="OLE_LINK15"/>
            <w:r>
              <w:rPr>
                <w:color w:val="auto"/>
                <w:highlight w:val="none"/>
              </w:rPr>
              <w:t>NetCDF</w:t>
            </w:r>
            <w:bookmarkEnd w:id="11"/>
            <w:bookmarkEnd w:id="12"/>
            <w:bookmarkEnd w:id="13"/>
            <w:r>
              <w:rPr>
                <w:color w:val="auto"/>
                <w:highlight w:val="none"/>
              </w:rPr>
              <w:t>、GRIB。能够实现多维数据管理和快速发布，并且通过向量场渲染功能对影像进行符号化展示。</w:t>
            </w:r>
          </w:p>
          <w:p>
            <w:pPr>
              <w:spacing w:line="312" w:lineRule="auto"/>
              <w:rPr>
                <w:color w:val="auto"/>
                <w:highlight w:val="none"/>
              </w:rPr>
            </w:pPr>
            <w:r>
              <w:rPr>
                <w:rFonts w:hint="eastAsia"/>
                <w:color w:val="auto"/>
                <w:highlight w:val="none"/>
              </w:rPr>
              <w:t>17、</w:t>
            </w:r>
            <w:r>
              <w:rPr>
                <w:color w:val="auto"/>
                <w:highlight w:val="none"/>
              </w:rPr>
              <w:t>支持</w:t>
            </w:r>
            <w:bookmarkStart w:id="14" w:name="OLE_LINK17"/>
            <w:bookmarkStart w:id="15" w:name="OLE_LINK16"/>
            <w:r>
              <w:rPr>
                <w:color w:val="auto"/>
                <w:highlight w:val="none"/>
              </w:rPr>
              <w:t>框幅式相机影像</w:t>
            </w:r>
            <w:bookmarkEnd w:id="14"/>
            <w:bookmarkEnd w:id="15"/>
            <w:r>
              <w:rPr>
                <w:color w:val="auto"/>
                <w:highlight w:val="none"/>
              </w:rPr>
              <w:t>，包括</w:t>
            </w:r>
            <w:bookmarkStart w:id="16" w:name="OLE_LINK18"/>
            <w:r>
              <w:rPr>
                <w:color w:val="auto"/>
                <w:highlight w:val="none"/>
              </w:rPr>
              <w:t>Pictometry</w:t>
            </w:r>
            <w:bookmarkEnd w:id="16"/>
            <w:r>
              <w:rPr>
                <w:color w:val="auto"/>
                <w:highlight w:val="none"/>
              </w:rPr>
              <w:t>，UltraCam，Applanix，ISAT等，能够实现影像融合、大规模影像管理和快速发布。</w:t>
            </w:r>
          </w:p>
          <w:p>
            <w:pPr>
              <w:spacing w:line="312" w:lineRule="auto"/>
              <w:rPr>
                <w:color w:val="auto"/>
                <w:highlight w:val="none"/>
              </w:rPr>
            </w:pPr>
            <w:r>
              <w:rPr>
                <w:rFonts w:hint="eastAsia"/>
                <w:color w:val="auto"/>
                <w:highlight w:val="none"/>
              </w:rPr>
              <w:t>18、</w:t>
            </w:r>
            <w:r>
              <w:rPr>
                <w:color w:val="auto"/>
                <w:highlight w:val="none"/>
              </w:rPr>
              <w:t>支持激光雷达数据，能够对其集成管理、二三维融合的显示、进行栅格表面分析，以及发布为影像服务进行共享。</w:t>
            </w:r>
          </w:p>
          <w:p>
            <w:pPr>
              <w:spacing w:line="312" w:lineRule="auto"/>
              <w:rPr>
                <w:color w:val="auto"/>
                <w:highlight w:val="none"/>
              </w:rPr>
            </w:pPr>
            <w:r>
              <w:rPr>
                <w:rFonts w:hint="eastAsia"/>
                <w:color w:val="auto"/>
                <w:highlight w:val="none"/>
              </w:rPr>
              <w:t>★19、支持基于航空、卫星原始影像的DOM,DSM及2.5D点云生产，可以以OrthoMapping工作空间的形式，流程化、向导式完成数据生产。</w:t>
            </w:r>
          </w:p>
          <w:p>
            <w:pPr>
              <w:spacing w:line="312" w:lineRule="auto"/>
              <w:rPr>
                <w:color w:val="auto"/>
                <w:highlight w:val="none"/>
              </w:rPr>
            </w:pPr>
            <w:r>
              <w:rPr>
                <w:rFonts w:hint="eastAsia"/>
                <w:color w:val="auto"/>
                <w:highlight w:val="none"/>
              </w:rPr>
              <w:t>★20、内置多种深度学习模型，支持机器学习多种算法，包括空间约束多元聚类、多元聚类、最大似然分类、支持向量机分类、EBK回归预测等，支持基于遥感影像和图像数据的目标检测、对象分类、实例分割、图像分类等多种场景</w:t>
            </w:r>
          </w:p>
          <w:p>
            <w:pPr>
              <w:spacing w:line="312" w:lineRule="auto"/>
              <w:rPr>
                <w:color w:val="auto"/>
                <w:highlight w:val="none"/>
              </w:rPr>
            </w:pPr>
            <w:r>
              <w:rPr>
                <w:rFonts w:hint="eastAsia"/>
                <w:color w:val="auto"/>
                <w:highlight w:val="none"/>
              </w:rPr>
              <w:t>21、支持全动态视频数据，包括全动态视频视频数据加载、显示、标绘、分析、元数据及视频帧图像导出，并将视频中帧图像及标绘要素自动生成ppt文件。</w:t>
            </w:r>
          </w:p>
          <w:p>
            <w:pPr>
              <w:spacing w:line="312" w:lineRule="auto"/>
              <w:rPr>
                <w:color w:val="auto"/>
                <w:highlight w:val="none"/>
              </w:rPr>
            </w:pPr>
            <w:r>
              <w:rPr>
                <w:rFonts w:hint="eastAsia"/>
                <w:color w:val="auto"/>
                <w:highlight w:val="none"/>
              </w:rPr>
              <w:t>22、要求提供基于参考影像自动采集控制点的RPC正射校正功能。能够自动从参考影像中采集控制点，用于优化和纠正RPC参数，从而生成精度更高的正射影像产品。</w:t>
            </w:r>
          </w:p>
          <w:p>
            <w:pPr>
              <w:spacing w:line="312" w:lineRule="auto"/>
              <w:rPr>
                <w:color w:val="auto"/>
                <w:highlight w:val="none"/>
              </w:rPr>
            </w:pPr>
            <w:r>
              <w:rPr>
                <w:rFonts w:hint="eastAsia"/>
                <w:color w:val="auto"/>
                <w:highlight w:val="none"/>
              </w:rPr>
              <w:t>23、拥有多维数据分析工具集用以管理、可视化和分析时间聚合数据。该工具集应拥有聚合多维数据集、生成多维异常、查找参数统计信息、生成趋势栅格及使用趋势栅格预测的能力。</w:t>
            </w:r>
          </w:p>
          <w:p>
            <w:pPr>
              <w:spacing w:line="312" w:lineRule="auto"/>
              <w:rPr>
                <w:color w:val="auto"/>
                <w:highlight w:val="none"/>
              </w:rPr>
            </w:pPr>
            <w:r>
              <w:rPr>
                <w:rFonts w:hint="eastAsia"/>
                <w:color w:val="auto"/>
                <w:highlight w:val="none"/>
              </w:rPr>
              <w:t>24、</w:t>
            </w:r>
            <w:r>
              <w:rPr>
                <w:color w:val="auto"/>
                <w:highlight w:val="none"/>
              </w:rPr>
              <w:t>支持在线功能，与云集成。能够直接连接到亚马逊的云端，使用或分享GIS服务，如丰富的底图。</w:t>
            </w:r>
          </w:p>
          <w:p>
            <w:pPr>
              <w:spacing w:line="312" w:lineRule="auto"/>
              <w:rPr>
                <w:color w:val="auto"/>
                <w:highlight w:val="none"/>
              </w:rPr>
            </w:pPr>
            <w:r>
              <w:rPr>
                <w:rFonts w:hint="eastAsia"/>
                <w:color w:val="auto"/>
                <w:highlight w:val="none"/>
              </w:rPr>
              <w:t>25、</w:t>
            </w:r>
            <w:r>
              <w:rPr>
                <w:color w:val="auto"/>
                <w:highlight w:val="none"/>
              </w:rPr>
              <w:t>支持以版本管理的方式对存储在空间数据库中的数据进行多用户并发编辑</w:t>
            </w:r>
            <w:r>
              <w:rPr>
                <w:rFonts w:hint="eastAsia"/>
                <w:color w:val="auto"/>
                <w:highlight w:val="none"/>
              </w:rPr>
              <w:t>。</w:t>
            </w:r>
          </w:p>
          <w:p>
            <w:pPr>
              <w:spacing w:line="312" w:lineRule="auto"/>
              <w:rPr>
                <w:color w:val="auto"/>
                <w:highlight w:val="none"/>
              </w:rPr>
            </w:pPr>
            <w:r>
              <w:rPr>
                <w:rFonts w:hint="eastAsia"/>
                <w:color w:val="auto"/>
                <w:highlight w:val="none"/>
              </w:rPr>
              <w:t>★26、支持Python Notebooks。</w:t>
            </w:r>
          </w:p>
          <w:p>
            <w:pPr>
              <w:spacing w:line="312" w:lineRule="auto"/>
              <w:rPr>
                <w:color w:val="auto"/>
                <w:highlight w:val="none"/>
              </w:rPr>
            </w:pPr>
            <w:r>
              <w:rPr>
                <w:rFonts w:hint="eastAsia"/>
                <w:color w:val="auto"/>
                <w:highlight w:val="none"/>
              </w:rPr>
              <w:t>27、</w:t>
            </w:r>
            <w:r>
              <w:rPr>
                <w:color w:val="auto"/>
                <w:highlight w:val="none"/>
              </w:rPr>
              <w:t>支持基于规则的拓扑关系模型，提供33种拓扑规则定义。通过拓扑关系维护数据库中空间数据一致性和完整性，包括拓扑关系定义，校验，拓扑错误改正及编辑工具；可以自定义拓扑规则的应用范围，允许将拓扑错误设为例外。</w:t>
            </w:r>
          </w:p>
          <w:p>
            <w:pPr>
              <w:spacing w:line="312" w:lineRule="auto"/>
              <w:rPr>
                <w:color w:val="auto"/>
                <w:highlight w:val="none"/>
              </w:rPr>
            </w:pPr>
            <w:r>
              <w:rPr>
                <w:rFonts w:hint="eastAsia"/>
                <w:color w:val="auto"/>
                <w:highlight w:val="none"/>
              </w:rPr>
              <w:t>28、</w:t>
            </w:r>
            <w:r>
              <w:rPr>
                <w:color w:val="auto"/>
                <w:highlight w:val="none"/>
              </w:rPr>
              <w:t>支持影像镶嵌，镶嵌算法能够支持SUM镶嵌算子，对重叠区域的影像进行求和。</w:t>
            </w:r>
          </w:p>
          <w:p>
            <w:pPr>
              <w:spacing w:line="312" w:lineRule="auto"/>
              <w:rPr>
                <w:color w:val="auto"/>
                <w:highlight w:val="none"/>
              </w:rPr>
            </w:pPr>
            <w:r>
              <w:rPr>
                <w:color w:val="auto"/>
                <w:highlight w:val="none"/>
              </w:rPr>
              <w:t>29</w:t>
            </w:r>
            <w:r>
              <w:rPr>
                <w:rFonts w:hint="eastAsia"/>
                <w:color w:val="auto"/>
                <w:highlight w:val="none"/>
              </w:rPr>
              <w:t>、提供开发包、运行时，提供多种应用程序开发接口，包括COM，C++，.NET，Java，支持主流应用程序开发环境，如Visual C++，.Net，通用C++平台以及JAVA开发者常用的Eclipse和JBuilder。</w:t>
            </w:r>
          </w:p>
          <w:p>
            <w:pPr>
              <w:pStyle w:val="2"/>
              <w:ind w:left="0" w:leftChars="0" w:right="1470"/>
              <w:rPr>
                <w:color w:val="auto"/>
                <w:highlight w:val="none"/>
              </w:rPr>
            </w:pPr>
            <w:r>
              <w:rPr>
                <w:color w:val="auto"/>
                <w:highlight w:val="none"/>
              </w:rPr>
              <w:t>30</w:t>
            </w:r>
            <w:r>
              <w:rPr>
                <w:rFonts w:hint="eastAsia"/>
                <w:color w:val="auto"/>
                <w:highlight w:val="none"/>
              </w:rPr>
              <w:t>、提供可嵌入通用开发环境中的开发模板，并以控件、工具条和工具、组件库等方式支持GIS核心功能开发，可视化控件能够以.NET控件，JavaBeans组件和ActiveX控件的形式提供。</w:t>
            </w:r>
          </w:p>
        </w:tc>
      </w:tr>
    </w:tbl>
    <w:p>
      <w:pPr>
        <w:spacing w:line="360" w:lineRule="auto"/>
        <w:rPr>
          <w:b/>
          <w:color w:val="auto"/>
          <w:highlight w:val="none"/>
        </w:rPr>
      </w:pPr>
      <w:r>
        <w:rPr>
          <w:rFonts w:hint="eastAsia"/>
          <w:b/>
          <w:color w:val="auto"/>
          <w:highlight w:val="none"/>
        </w:rPr>
        <w:t>主要配置或技术参数：（标注“</w:t>
      </w:r>
      <w:r>
        <w:rPr>
          <w:rFonts w:hint="eastAsia"/>
          <w:color w:val="auto"/>
          <w:highlight w:val="none"/>
        </w:rPr>
        <w:t>★</w:t>
      </w:r>
      <w:r>
        <w:rPr>
          <w:rFonts w:hint="eastAsia"/>
          <w:b/>
          <w:color w:val="auto"/>
          <w:highlight w:val="none"/>
        </w:rPr>
        <w:t>”为核心指标，系必须满足项，否则，按无效标处理）。</w:t>
      </w:r>
    </w:p>
    <w:p>
      <w:pPr>
        <w:spacing w:line="360" w:lineRule="auto"/>
        <w:rPr>
          <w:b/>
          <w:color w:val="auto"/>
          <w:highlight w:val="none"/>
        </w:rPr>
      </w:pPr>
      <w:r>
        <w:rPr>
          <w:rFonts w:hint="eastAsia"/>
          <w:b/>
          <w:color w:val="auto"/>
          <w:highlight w:val="none"/>
        </w:rPr>
        <w:t>为了保护招标方权益，防止虚假应答，投标人</w:t>
      </w:r>
      <w:r>
        <w:rPr>
          <w:b/>
          <w:color w:val="auto"/>
          <w:highlight w:val="none"/>
        </w:rPr>
        <w:t>需承诺在</w:t>
      </w:r>
      <w:r>
        <w:rPr>
          <w:rFonts w:hint="eastAsia"/>
          <w:b/>
          <w:color w:val="auto"/>
          <w:highlight w:val="none"/>
        </w:rPr>
        <w:t>中标</w:t>
      </w:r>
      <w:r>
        <w:rPr>
          <w:b/>
          <w:color w:val="auto"/>
          <w:highlight w:val="none"/>
        </w:rPr>
        <w:t>公示之日起</w:t>
      </w:r>
      <w:r>
        <w:rPr>
          <w:rFonts w:hint="eastAsia"/>
          <w:b/>
          <w:color w:val="auto"/>
          <w:highlight w:val="none"/>
        </w:rPr>
        <w:t>三个</w:t>
      </w:r>
      <w:r>
        <w:rPr>
          <w:b/>
          <w:color w:val="auto"/>
          <w:highlight w:val="none"/>
        </w:rPr>
        <w:t>工作日内</w:t>
      </w:r>
      <w:r>
        <w:rPr>
          <w:rFonts w:hint="eastAsia"/>
          <w:b/>
          <w:color w:val="auto"/>
          <w:highlight w:val="none"/>
        </w:rPr>
        <w:t>，按招标文件要求及投标文件承诺的产品技术参数、规格型号向招标人提供合格的产品及原厂或</w:t>
      </w:r>
      <w:r>
        <w:rPr>
          <w:b/>
          <w:color w:val="auto"/>
          <w:highlight w:val="none"/>
        </w:rPr>
        <w:t>总</w:t>
      </w:r>
      <w:r>
        <w:rPr>
          <w:rFonts w:hint="eastAsia"/>
          <w:b/>
          <w:color w:val="auto"/>
          <w:highlight w:val="none"/>
        </w:rPr>
        <w:t>代</w:t>
      </w:r>
      <w:r>
        <w:rPr>
          <w:b/>
          <w:color w:val="auto"/>
          <w:highlight w:val="none"/>
        </w:rPr>
        <w:t>授权函和售后服务承诺函</w:t>
      </w:r>
      <w:r>
        <w:rPr>
          <w:rFonts w:hint="eastAsia"/>
          <w:b/>
          <w:color w:val="auto"/>
          <w:highlight w:val="none"/>
        </w:rPr>
        <w:t>，招标方有权对技术偏离表中条款逐条进行技术测试，若提供的产品未达到招标文件要求及投标文件承诺要求，招标人有权</w:t>
      </w:r>
      <w:r>
        <w:rPr>
          <w:rFonts w:hint="eastAsia"/>
          <w:b/>
          <w:color w:val="auto"/>
          <w:highlight w:val="none"/>
          <w:lang w:val="en-US" w:eastAsia="zh-CN"/>
        </w:rPr>
        <w:t>取消</w:t>
      </w:r>
      <w:r>
        <w:rPr>
          <w:rFonts w:hint="eastAsia"/>
          <w:b/>
          <w:color w:val="auto"/>
          <w:highlight w:val="none"/>
        </w:rPr>
        <w:t>我方中标资格。</w:t>
      </w:r>
    </w:p>
    <w:p>
      <w:pPr>
        <w:widowControl/>
        <w:jc w:val="left"/>
        <w:rPr>
          <w:rFonts w:hAnsi="宋体"/>
          <w:b/>
          <w:color w:val="auto"/>
          <w:sz w:val="28"/>
          <w:szCs w:val="28"/>
          <w:highlight w:val="none"/>
        </w:rPr>
      </w:pPr>
    </w:p>
    <w:p>
      <w:pPr>
        <w:pStyle w:val="2"/>
        <w:rPr>
          <w:rFonts w:hAnsi="宋体"/>
          <w:b/>
          <w:color w:val="auto"/>
          <w:sz w:val="28"/>
          <w:szCs w:val="28"/>
          <w:highlight w:val="none"/>
        </w:rPr>
      </w:pPr>
    </w:p>
    <w:p>
      <w:pPr>
        <w:pStyle w:val="2"/>
        <w:rPr>
          <w:rFonts w:hAnsi="宋体"/>
          <w:b/>
          <w:color w:val="auto"/>
          <w:sz w:val="28"/>
          <w:szCs w:val="28"/>
          <w:highlight w:val="none"/>
        </w:rPr>
      </w:pPr>
    </w:p>
    <w:p>
      <w:pPr>
        <w:pStyle w:val="2"/>
        <w:rPr>
          <w:rFonts w:hAnsi="宋体"/>
          <w:b/>
          <w:color w:val="auto"/>
          <w:sz w:val="28"/>
          <w:szCs w:val="28"/>
          <w:highlight w:val="none"/>
        </w:rPr>
      </w:pPr>
    </w:p>
    <w:p>
      <w:pPr>
        <w:pStyle w:val="2"/>
        <w:rPr>
          <w:rFonts w:hAnsi="宋体"/>
          <w:b/>
          <w:color w:val="auto"/>
          <w:sz w:val="28"/>
          <w:szCs w:val="28"/>
          <w:highlight w:val="none"/>
        </w:rPr>
      </w:pPr>
    </w:p>
    <w:p>
      <w:pPr>
        <w:pStyle w:val="2"/>
        <w:rPr>
          <w:rFonts w:hAnsi="宋体"/>
          <w:b/>
          <w:color w:val="auto"/>
          <w:sz w:val="28"/>
          <w:szCs w:val="28"/>
          <w:highlight w:val="none"/>
        </w:rPr>
      </w:pPr>
    </w:p>
    <w:p>
      <w:pPr>
        <w:pStyle w:val="2"/>
        <w:rPr>
          <w:rFonts w:hAnsi="宋体"/>
          <w:b/>
          <w:color w:val="auto"/>
          <w:sz w:val="28"/>
          <w:szCs w:val="28"/>
          <w:highlight w:val="none"/>
        </w:rPr>
      </w:pPr>
    </w:p>
    <w:p>
      <w:pPr>
        <w:pStyle w:val="2"/>
        <w:rPr>
          <w:rFonts w:hAnsi="宋体"/>
          <w:b/>
          <w:color w:val="auto"/>
          <w:sz w:val="28"/>
          <w:szCs w:val="28"/>
          <w:highlight w:val="none"/>
        </w:rPr>
      </w:pPr>
    </w:p>
    <w:p>
      <w:pPr>
        <w:pStyle w:val="2"/>
        <w:rPr>
          <w:rFonts w:hAnsi="宋体"/>
          <w:b/>
          <w:color w:val="auto"/>
          <w:sz w:val="28"/>
          <w:szCs w:val="28"/>
          <w:highlight w:val="none"/>
        </w:rPr>
      </w:pPr>
    </w:p>
    <w:p>
      <w:pPr>
        <w:pStyle w:val="2"/>
        <w:rPr>
          <w:rFonts w:hAnsi="宋体"/>
          <w:b/>
          <w:color w:val="auto"/>
          <w:sz w:val="28"/>
          <w:szCs w:val="28"/>
          <w:highlight w:val="none"/>
        </w:rPr>
      </w:pPr>
    </w:p>
    <w:p>
      <w:pPr>
        <w:pStyle w:val="2"/>
        <w:rPr>
          <w:rFonts w:hAnsi="宋体"/>
          <w:b/>
          <w:color w:val="auto"/>
          <w:sz w:val="28"/>
          <w:szCs w:val="28"/>
          <w:highlight w:val="none"/>
        </w:rPr>
      </w:pPr>
    </w:p>
    <w:p>
      <w:pPr>
        <w:pStyle w:val="2"/>
        <w:rPr>
          <w:rFonts w:hAnsi="宋体"/>
          <w:b/>
          <w:color w:val="auto"/>
          <w:sz w:val="28"/>
          <w:szCs w:val="28"/>
          <w:highlight w:val="none"/>
        </w:rPr>
      </w:pPr>
    </w:p>
    <w:p>
      <w:pPr>
        <w:pStyle w:val="2"/>
        <w:rPr>
          <w:rFonts w:hAnsi="宋体"/>
          <w:b/>
          <w:color w:val="auto"/>
          <w:sz w:val="28"/>
          <w:szCs w:val="28"/>
          <w:highlight w:val="none"/>
        </w:rPr>
      </w:pPr>
    </w:p>
    <w:p>
      <w:pPr>
        <w:pStyle w:val="2"/>
        <w:rPr>
          <w:rFonts w:hAnsi="宋体"/>
          <w:b/>
          <w:color w:val="auto"/>
          <w:sz w:val="28"/>
          <w:szCs w:val="28"/>
          <w:highlight w:val="none"/>
        </w:rPr>
      </w:pPr>
    </w:p>
    <w:p>
      <w:pPr>
        <w:pStyle w:val="2"/>
        <w:rPr>
          <w:rFonts w:hAnsi="宋体"/>
          <w:b/>
          <w:color w:val="auto"/>
          <w:sz w:val="28"/>
          <w:szCs w:val="28"/>
          <w:highlight w:val="none"/>
        </w:rPr>
      </w:pPr>
    </w:p>
    <w:p>
      <w:pPr>
        <w:pStyle w:val="2"/>
        <w:rPr>
          <w:rFonts w:hAnsi="宋体"/>
          <w:b/>
          <w:color w:val="auto"/>
          <w:sz w:val="28"/>
          <w:szCs w:val="28"/>
          <w:highlight w:val="none"/>
        </w:rPr>
      </w:pPr>
    </w:p>
    <w:p>
      <w:pPr>
        <w:pStyle w:val="2"/>
        <w:rPr>
          <w:rFonts w:hAnsi="宋体"/>
          <w:b/>
          <w:color w:val="auto"/>
          <w:sz w:val="28"/>
          <w:szCs w:val="28"/>
          <w:highlight w:val="none"/>
        </w:rPr>
      </w:pPr>
    </w:p>
    <w:p>
      <w:pPr>
        <w:pStyle w:val="2"/>
        <w:rPr>
          <w:rFonts w:hAnsi="宋体"/>
          <w:b/>
          <w:color w:val="auto"/>
          <w:sz w:val="28"/>
          <w:szCs w:val="28"/>
          <w:highlight w:val="none"/>
        </w:rPr>
      </w:pPr>
    </w:p>
    <w:p>
      <w:pPr>
        <w:widowControl/>
        <w:jc w:val="left"/>
        <w:rPr>
          <w:rFonts w:hAnsi="宋体"/>
          <w:b/>
          <w:color w:val="auto"/>
          <w:sz w:val="36"/>
          <w:szCs w:val="36"/>
          <w:highlight w:val="none"/>
        </w:rPr>
      </w:pPr>
      <w:r>
        <w:rPr>
          <w:rFonts w:hint="eastAsia" w:hAnsi="宋体"/>
          <w:b/>
          <w:color w:val="auto"/>
          <w:sz w:val="28"/>
          <w:szCs w:val="28"/>
          <w:highlight w:val="none"/>
        </w:rPr>
        <w:t>附件</w:t>
      </w:r>
      <w:r>
        <w:rPr>
          <w:rFonts w:hAnsi="宋体"/>
          <w:b/>
          <w:color w:val="auto"/>
          <w:sz w:val="28"/>
          <w:szCs w:val="28"/>
          <w:highlight w:val="none"/>
        </w:rPr>
        <w:t>2</w:t>
      </w:r>
      <w:r>
        <w:rPr>
          <w:rFonts w:hint="eastAsia" w:hAnsi="宋体"/>
          <w:b/>
          <w:color w:val="auto"/>
          <w:sz w:val="28"/>
          <w:szCs w:val="28"/>
          <w:highlight w:val="none"/>
        </w:rPr>
        <w:t>：</w:t>
      </w:r>
    </w:p>
    <w:p>
      <w:pPr>
        <w:tabs>
          <w:tab w:val="left" w:pos="3270"/>
        </w:tabs>
        <w:autoSpaceDE w:val="0"/>
        <w:autoSpaceDN w:val="0"/>
        <w:adjustRightInd w:val="0"/>
        <w:spacing w:line="360" w:lineRule="exact"/>
        <w:rPr>
          <w:rFonts w:ascii="宋体" w:hAnsi="宋体"/>
          <w:b/>
          <w:color w:val="auto"/>
          <w:sz w:val="24"/>
          <w:highlight w:val="none"/>
          <w:lang w:val="zh-CN"/>
        </w:rPr>
      </w:pPr>
      <w:bookmarkStart w:id="17" w:name="_Hlk9862420"/>
    </w:p>
    <w:p>
      <w:pPr>
        <w:autoSpaceDE w:val="0"/>
        <w:autoSpaceDN w:val="0"/>
        <w:adjustRightInd w:val="0"/>
        <w:spacing w:line="360" w:lineRule="exact"/>
        <w:ind w:firstLine="723" w:firstLineChars="200"/>
        <w:jc w:val="center"/>
        <w:rPr>
          <w:rFonts w:ascii="宋体" w:hAnsi="宋体"/>
          <w:b/>
          <w:color w:val="auto"/>
          <w:sz w:val="36"/>
          <w:szCs w:val="36"/>
          <w:highlight w:val="none"/>
          <w:lang w:val="zh-CN"/>
        </w:rPr>
      </w:pPr>
      <w:r>
        <w:rPr>
          <w:rFonts w:hint="eastAsia" w:ascii="宋体" w:hAnsi="宋体"/>
          <w:b/>
          <w:color w:val="auto"/>
          <w:sz w:val="36"/>
          <w:szCs w:val="36"/>
          <w:highlight w:val="none"/>
          <w:lang w:val="zh-CN"/>
        </w:rPr>
        <w:t>投标函</w:t>
      </w:r>
    </w:p>
    <w:p>
      <w:pPr>
        <w:autoSpaceDE w:val="0"/>
        <w:autoSpaceDN w:val="0"/>
        <w:adjustRightInd w:val="0"/>
        <w:spacing w:line="300" w:lineRule="auto"/>
        <w:rPr>
          <w:rFonts w:ascii="宋体" w:hAnsi="宋体"/>
          <w:color w:val="auto"/>
          <w:sz w:val="24"/>
          <w:highlight w:val="none"/>
          <w:lang w:val="zh-CN"/>
        </w:rPr>
      </w:pPr>
      <w:r>
        <w:rPr>
          <w:rFonts w:hint="eastAsia" w:ascii="宋体" w:hAnsi="宋体"/>
          <w:color w:val="auto"/>
          <w:sz w:val="24"/>
          <w:highlight w:val="none"/>
          <w:lang w:val="zh-CN"/>
        </w:rPr>
        <w:t>致：南京信息工程大学</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根据贵方（项目名称）（项目编号）投标邀请，正式授权下述签字人</w:t>
      </w:r>
      <w:r>
        <w:rPr>
          <w:rFonts w:ascii="宋体" w:hAnsi="宋体"/>
          <w:color w:val="auto"/>
          <w:sz w:val="24"/>
          <w:highlight w:val="none"/>
          <w:lang w:val="zh-CN"/>
        </w:rPr>
        <w:t>(</w:t>
      </w:r>
      <w:r>
        <w:rPr>
          <w:rFonts w:hint="eastAsia" w:ascii="宋体" w:hAnsi="宋体"/>
          <w:color w:val="auto"/>
          <w:sz w:val="24"/>
          <w:highlight w:val="none"/>
          <w:lang w:val="zh-CN"/>
        </w:rPr>
        <w:t>姓名和职务</w:t>
      </w:r>
      <w:r>
        <w:rPr>
          <w:rFonts w:ascii="宋体" w:hAnsi="宋体"/>
          <w:color w:val="auto"/>
          <w:sz w:val="24"/>
          <w:highlight w:val="none"/>
          <w:lang w:val="zh-CN"/>
        </w:rPr>
        <w:t>)</w:t>
      </w:r>
      <w:r>
        <w:rPr>
          <w:rFonts w:hint="eastAsia" w:ascii="宋体" w:hAnsi="宋体"/>
          <w:color w:val="auto"/>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color w:val="auto"/>
          <w:sz w:val="24"/>
          <w:highlight w:val="none"/>
        </w:rPr>
      </w:pPr>
      <w:r>
        <w:rPr>
          <w:rFonts w:ascii="宋体" w:hAnsi="宋体"/>
          <w:color w:val="auto"/>
          <w:sz w:val="24"/>
          <w:highlight w:val="none"/>
          <w:lang w:val="zh-CN"/>
        </w:rPr>
        <w:t>1</w:t>
      </w:r>
      <w:r>
        <w:rPr>
          <w:rFonts w:hint="eastAsia" w:ascii="宋体" w:hAnsi="宋体"/>
          <w:color w:val="auto"/>
          <w:sz w:val="24"/>
          <w:highlight w:val="none"/>
          <w:lang w:val="zh-CN"/>
        </w:rPr>
        <w:t>、</w:t>
      </w:r>
      <w:r>
        <w:rPr>
          <w:rFonts w:hint="eastAsia" w:ascii="宋体" w:hAnsi="宋体"/>
          <w:b/>
          <w:color w:val="auto"/>
          <w:sz w:val="24"/>
          <w:highlight w:val="none"/>
          <w:lang w:val="zh-CN"/>
        </w:rPr>
        <w:t>我们的资格条件完全符合政府采购法和本次招标要求</w:t>
      </w:r>
      <w:r>
        <w:rPr>
          <w:rFonts w:hint="eastAsia" w:ascii="宋体" w:hAnsi="宋体"/>
          <w:color w:val="auto"/>
          <w:sz w:val="24"/>
          <w:highlight w:val="none"/>
          <w:lang w:val="zh-CN"/>
        </w:rPr>
        <w:t>，</w:t>
      </w:r>
      <w:r>
        <w:rPr>
          <w:rFonts w:hint="eastAsia" w:ascii="宋体" w:hAnsi="宋体"/>
          <w:color w:val="auto"/>
          <w:sz w:val="24"/>
          <w:highlight w:val="none"/>
        </w:rPr>
        <w:t>我们</w:t>
      </w:r>
      <w:r>
        <w:rPr>
          <w:rFonts w:hint="eastAsia" w:ascii="宋体" w:hAnsi="宋体"/>
          <w:color w:val="auto"/>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z w:val="24"/>
          <w:highlight w:val="none"/>
          <w:lang w:val="zh-CN"/>
        </w:rPr>
        <w:t>按招标要求，我们的投标总报价为人民币大写</w:t>
      </w:r>
      <w:r>
        <w:rPr>
          <w:rFonts w:hint="eastAsia" w:ascii="宋体" w:hAnsi="宋体"/>
          <w:color w:val="auto"/>
          <w:sz w:val="24"/>
          <w:highlight w:val="none"/>
          <w:u w:val="single"/>
          <w:lang w:val="zh-CN"/>
        </w:rPr>
        <w:t xml:space="preserve">                        ，</w:t>
      </w:r>
      <w:r>
        <w:rPr>
          <w:rFonts w:hint="eastAsia" w:ascii="宋体" w:hAnsi="宋体"/>
          <w:color w:val="auto"/>
          <w:sz w:val="24"/>
          <w:highlight w:val="none"/>
          <w:lang w:val="zh-CN"/>
        </w:rPr>
        <w:t>小写：</w:t>
      </w:r>
      <w:r>
        <w:rPr>
          <w:rFonts w:hint="eastAsia" w:ascii="宋体" w:hAnsi="宋体"/>
          <w:color w:val="auto"/>
          <w:sz w:val="24"/>
          <w:highlight w:val="none"/>
          <w:u w:val="single"/>
          <w:lang w:val="zh-CN"/>
        </w:rPr>
        <w:t>￥         。</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3、项目负责人</w:t>
      </w:r>
      <w:r>
        <w:rPr>
          <w:rFonts w:ascii="宋体" w:hAnsi="宋体"/>
          <w:color w:val="auto"/>
          <w:sz w:val="24"/>
          <w:highlight w:val="none"/>
          <w:lang w:val="zh-CN"/>
        </w:rPr>
        <w:t>(</w:t>
      </w:r>
      <w:r>
        <w:rPr>
          <w:rFonts w:hint="eastAsia" w:ascii="宋体" w:hAnsi="宋体"/>
          <w:color w:val="auto"/>
          <w:sz w:val="24"/>
          <w:highlight w:val="none"/>
          <w:lang w:val="zh-CN"/>
        </w:rPr>
        <w:t>姓名</w:t>
      </w:r>
      <w:r>
        <w:rPr>
          <w:rFonts w:ascii="宋体" w:hAnsi="宋体"/>
          <w:color w:val="auto"/>
          <w:sz w:val="24"/>
          <w:highlight w:val="none"/>
          <w:lang w:val="zh-CN"/>
        </w:rPr>
        <w:t>)</w:t>
      </w:r>
      <w:r>
        <w:rPr>
          <w:rFonts w:hint="eastAsia" w:ascii="宋体" w:hAnsi="宋体"/>
          <w:color w:val="auto"/>
          <w:sz w:val="24"/>
          <w:highlight w:val="none"/>
          <w:lang w:val="zh-CN"/>
        </w:rPr>
        <w:t>，身份证号。</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4、我们已详细审核全部招标文件及其有效补充文件，我们放弃对招标文件任何误解的权利，提交投标文件后，</w:t>
      </w:r>
      <w:r>
        <w:rPr>
          <w:rFonts w:hint="eastAsia" w:ascii="宋体" w:hAnsi="宋体"/>
          <w:b/>
          <w:color w:val="auto"/>
          <w:sz w:val="24"/>
          <w:highlight w:val="none"/>
          <w:lang w:val="zh-CN"/>
        </w:rPr>
        <w:t>不对招标文件本身提出质疑</w:t>
      </w:r>
      <w:r>
        <w:rPr>
          <w:rFonts w:hint="eastAsia" w:ascii="宋体" w:hAnsi="宋体"/>
          <w:color w:val="auto"/>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6、一旦我方中标，我方将根据招标文件的规定严格履行合同，并保证于承诺的时间完成服务的启动</w:t>
      </w:r>
      <w:r>
        <w:rPr>
          <w:rFonts w:ascii="宋体" w:hAnsi="宋体"/>
          <w:color w:val="auto"/>
          <w:sz w:val="24"/>
          <w:highlight w:val="none"/>
          <w:lang w:val="zh-CN"/>
        </w:rPr>
        <w:t>/</w:t>
      </w:r>
      <w:r>
        <w:rPr>
          <w:rFonts w:hint="eastAsia" w:ascii="宋体" w:hAnsi="宋体"/>
          <w:color w:val="auto"/>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lang w:val="zh-CN"/>
        </w:rPr>
        <w:t>8</w:t>
      </w:r>
      <w:r>
        <w:rPr>
          <w:rFonts w:hint="eastAsia" w:ascii="宋体" w:hAnsi="宋体"/>
          <w:color w:val="auto"/>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地址：</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电话：</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传真：</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开户银行：</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银行账号：</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投标人法定代表人姓名（签字）：</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投标人名称：（盖章）</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日期：     年   月    日</w:t>
      </w:r>
    </w:p>
    <w:p>
      <w:pPr>
        <w:spacing w:line="360" w:lineRule="auto"/>
        <w:rPr>
          <w:rFonts w:asci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附件</w:t>
      </w:r>
      <w:r>
        <w:rPr>
          <w:rFonts w:ascii="宋体" w:hAnsi="宋体"/>
          <w:b/>
          <w:color w:val="auto"/>
          <w:sz w:val="28"/>
          <w:szCs w:val="28"/>
          <w:highlight w:val="none"/>
        </w:rPr>
        <w:t>3</w:t>
      </w:r>
      <w:r>
        <w:rPr>
          <w:rFonts w:hint="eastAsia" w:ascii="宋体" w:hAnsi="宋体"/>
          <w:b/>
          <w:color w:val="auto"/>
          <w:sz w:val="28"/>
          <w:szCs w:val="28"/>
          <w:highlight w:val="none"/>
        </w:rPr>
        <w:t>：</w:t>
      </w:r>
    </w:p>
    <w:p>
      <w:pPr>
        <w:spacing w:line="360" w:lineRule="auto"/>
        <w:jc w:val="center"/>
        <w:rPr>
          <w:rFonts w:ascii="宋体"/>
          <w:color w:val="auto"/>
          <w:sz w:val="44"/>
          <w:szCs w:val="44"/>
          <w:highlight w:val="none"/>
        </w:rPr>
      </w:pPr>
      <w:r>
        <w:rPr>
          <w:rFonts w:hint="eastAsia" w:ascii="宋体" w:hAnsi="宋体"/>
          <w:color w:val="auto"/>
          <w:sz w:val="44"/>
          <w:szCs w:val="44"/>
          <w:highlight w:val="none"/>
        </w:rPr>
        <w:t>投标项目报价明细表</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投标人</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招标编号及分包号</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投标报价</w:t>
      </w:r>
    </w:p>
    <w:tbl>
      <w:tblPr>
        <w:tblStyle w:val="15"/>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color w:val="auto"/>
                <w:sz w:val="28"/>
                <w:szCs w:val="28"/>
                <w:highlight w:val="none"/>
              </w:rPr>
            </w:pPr>
            <w:r>
              <w:rPr>
                <w:rFonts w:hint="eastAsia" w:ascii="宋体" w:hAnsi="宋体"/>
                <w:b/>
                <w:color w:val="auto"/>
                <w:sz w:val="28"/>
                <w:szCs w:val="28"/>
                <w:highlight w:val="none"/>
              </w:rPr>
              <w:t>分包号</w:t>
            </w:r>
          </w:p>
        </w:tc>
        <w:tc>
          <w:tcPr>
            <w:tcW w:w="1065" w:type="dxa"/>
            <w:vAlign w:val="center"/>
          </w:tcPr>
          <w:p>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品牌</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货物</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名称</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货物</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描述</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计量</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单位</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数量</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单价</w:t>
            </w:r>
          </w:p>
        </w:tc>
        <w:tc>
          <w:tcPr>
            <w:tcW w:w="1066"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每项</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总价</w:t>
            </w:r>
          </w:p>
        </w:tc>
        <w:tc>
          <w:tcPr>
            <w:tcW w:w="1066" w:type="dxa"/>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质保</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color w:val="auto"/>
                <w:sz w:val="28"/>
                <w:szCs w:val="28"/>
                <w:highlight w:val="none"/>
              </w:rPr>
            </w:pPr>
          </w:p>
        </w:tc>
        <w:tc>
          <w:tcPr>
            <w:tcW w:w="2130" w:type="dxa"/>
            <w:gridSpan w:val="2"/>
            <w:vAlign w:val="center"/>
          </w:tcPr>
          <w:p>
            <w:pPr>
              <w:spacing w:line="360" w:lineRule="auto"/>
              <w:jc w:val="center"/>
              <w:rPr>
                <w:rFonts w:ascii="宋体"/>
                <w:color w:val="auto"/>
                <w:sz w:val="28"/>
                <w:szCs w:val="28"/>
                <w:highlight w:val="none"/>
              </w:rPr>
            </w:pPr>
            <w:r>
              <w:rPr>
                <w:rFonts w:hint="eastAsia" w:ascii="宋体" w:hAnsi="宋体"/>
                <w:color w:val="auto"/>
                <w:sz w:val="28"/>
                <w:szCs w:val="28"/>
                <w:highlight w:val="none"/>
              </w:rPr>
              <w:t>合计总价</w:t>
            </w:r>
          </w:p>
        </w:tc>
        <w:tc>
          <w:tcPr>
            <w:tcW w:w="6392" w:type="dxa"/>
            <w:gridSpan w:val="6"/>
            <w:vAlign w:val="center"/>
          </w:tcPr>
          <w:p>
            <w:pPr>
              <w:spacing w:line="360" w:lineRule="auto"/>
              <w:rPr>
                <w:rFonts w:ascii="宋体"/>
                <w:color w:val="auto"/>
                <w:sz w:val="28"/>
                <w:szCs w:val="28"/>
                <w:highlight w:val="none"/>
                <w:u w:val="single"/>
              </w:rPr>
            </w:pPr>
            <w:r>
              <w:rPr>
                <w:rFonts w:hint="eastAsia" w:ascii="宋体" w:hAnsi="宋体"/>
                <w:color w:val="auto"/>
                <w:sz w:val="28"/>
                <w:szCs w:val="28"/>
                <w:highlight w:val="none"/>
              </w:rPr>
              <w:t>大写：小写：元</w:t>
            </w:r>
          </w:p>
        </w:tc>
      </w:tr>
    </w:tbl>
    <w:p>
      <w:pPr>
        <w:spacing w:line="360" w:lineRule="auto"/>
        <w:rPr>
          <w:rFonts w:ascii="宋体"/>
          <w:color w:val="auto"/>
          <w:sz w:val="28"/>
          <w:szCs w:val="28"/>
          <w:highlight w:val="none"/>
        </w:rPr>
      </w:pPr>
      <w:r>
        <w:rPr>
          <w:rFonts w:hint="eastAsia" w:ascii="宋体" w:hAnsi="宋体"/>
          <w:color w:val="auto"/>
          <w:sz w:val="28"/>
          <w:szCs w:val="28"/>
          <w:highlight w:val="none"/>
        </w:rPr>
        <w:t>（可续页）</w:t>
      </w:r>
    </w:p>
    <w:p>
      <w:pPr>
        <w:spacing w:line="360" w:lineRule="auto"/>
        <w:rPr>
          <w:rFonts w:ascii="宋体"/>
          <w:color w:val="auto"/>
          <w:sz w:val="28"/>
          <w:szCs w:val="28"/>
          <w:highlight w:val="none"/>
        </w:rPr>
      </w:pPr>
    </w:p>
    <w:p>
      <w:pPr>
        <w:spacing w:line="360" w:lineRule="auto"/>
        <w:rPr>
          <w:rFonts w:ascii="宋体"/>
          <w:color w:val="auto"/>
          <w:sz w:val="28"/>
          <w:szCs w:val="28"/>
          <w:highlight w:val="none"/>
          <w:u w:val="single"/>
        </w:rPr>
      </w:pPr>
      <w:r>
        <w:rPr>
          <w:rFonts w:hint="eastAsia" w:ascii="宋体" w:hAnsi="宋体"/>
          <w:color w:val="auto"/>
          <w:sz w:val="28"/>
          <w:szCs w:val="28"/>
          <w:highlight w:val="none"/>
        </w:rPr>
        <w:t>单位盖章：</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授权代表签字：</w:t>
      </w:r>
    </w:p>
    <w:p>
      <w:pPr>
        <w:spacing w:line="360" w:lineRule="auto"/>
        <w:rPr>
          <w:rFonts w:ascii="宋体"/>
          <w:color w:val="auto"/>
          <w:sz w:val="28"/>
          <w:szCs w:val="28"/>
          <w:highlight w:val="none"/>
        </w:rPr>
      </w:pPr>
    </w:p>
    <w:p>
      <w:pPr>
        <w:spacing w:line="360" w:lineRule="auto"/>
        <w:rPr>
          <w:rFonts w:ascii="宋体"/>
          <w:color w:val="auto"/>
          <w:sz w:val="28"/>
          <w:szCs w:val="28"/>
          <w:highlight w:val="none"/>
        </w:rPr>
      </w:pPr>
      <w:r>
        <w:rPr>
          <w:rFonts w:hint="eastAsia" w:ascii="宋体" w:hAnsi="宋体"/>
          <w:color w:val="auto"/>
          <w:sz w:val="28"/>
          <w:szCs w:val="28"/>
          <w:highlight w:val="none"/>
        </w:rPr>
        <w:t>年月日</w:t>
      </w:r>
    </w:p>
    <w:p>
      <w:pPr>
        <w:jc w:val="left"/>
        <w:rPr>
          <w:b/>
          <w:color w:val="auto"/>
          <w:sz w:val="28"/>
          <w:szCs w:val="28"/>
          <w:highlight w:val="none"/>
        </w:rPr>
      </w:pPr>
    </w:p>
    <w:bookmarkEnd w:id="9"/>
    <w:bookmarkEnd w:id="17"/>
    <w:p>
      <w:pPr>
        <w:jc w:val="left"/>
        <w:rPr>
          <w:b/>
          <w:color w:val="auto"/>
          <w:sz w:val="28"/>
          <w:szCs w:val="28"/>
          <w:highlight w:val="none"/>
        </w:rPr>
      </w:pPr>
      <w:r>
        <w:rPr>
          <w:rFonts w:hint="eastAsia"/>
          <w:b/>
          <w:color w:val="auto"/>
          <w:sz w:val="28"/>
          <w:szCs w:val="28"/>
          <w:highlight w:val="none"/>
        </w:rPr>
        <w:t>附件</w:t>
      </w:r>
      <w:r>
        <w:rPr>
          <w:b/>
          <w:color w:val="auto"/>
          <w:sz w:val="28"/>
          <w:szCs w:val="28"/>
          <w:highlight w:val="none"/>
        </w:rPr>
        <w:t>4</w:t>
      </w:r>
      <w:r>
        <w:rPr>
          <w:rFonts w:hint="eastAsia"/>
          <w:b/>
          <w:color w:val="auto"/>
          <w:sz w:val="28"/>
          <w:szCs w:val="28"/>
          <w:highlight w:val="none"/>
        </w:rPr>
        <w:t>：服务要求</w:t>
      </w:r>
    </w:p>
    <w:p>
      <w:pPr>
        <w:pStyle w:val="41"/>
        <w:spacing w:after="0" w:line="400" w:lineRule="exact"/>
        <w:rPr>
          <w:rFonts w:ascii="Times New Roman" w:hAnsi="Times New Roman" w:cs="Times New Roman"/>
          <w:color w:val="auto"/>
          <w:sz w:val="21"/>
          <w:szCs w:val="21"/>
          <w:highlight w:val="none"/>
        </w:rPr>
      </w:pPr>
      <w:r>
        <w:rPr>
          <w:rFonts w:ascii="Times New Roman" w:hAnsi="Times New Roman" w:cs="Times New Roman"/>
          <w:color w:val="auto"/>
          <w:kern w:val="2"/>
          <w:sz w:val="21"/>
          <w:szCs w:val="21"/>
          <w:highlight w:val="none"/>
        </w:rPr>
        <w:t>1.</w:t>
      </w:r>
      <w:r>
        <w:rPr>
          <w:rFonts w:hint="eastAsia" w:ascii="Times New Roman" w:hAnsi="Times New Roman" w:cs="Times New Roman"/>
          <w:color w:val="auto"/>
          <w:kern w:val="2"/>
          <w:sz w:val="21"/>
          <w:szCs w:val="21"/>
          <w:highlight w:val="none"/>
        </w:rPr>
        <w:t xml:space="preserve"> </w:t>
      </w:r>
      <w:r>
        <w:rPr>
          <w:rFonts w:ascii="Times New Roman" w:hAnsi="Times New Roman" w:cs="Times New Roman"/>
          <w:color w:val="auto"/>
          <w:kern w:val="2"/>
          <w:sz w:val="21"/>
          <w:szCs w:val="21"/>
          <w:highlight w:val="none"/>
        </w:rPr>
        <w:t>交货期：</w:t>
      </w:r>
      <w:r>
        <w:rPr>
          <w:rFonts w:ascii="Times New Roman" w:hAnsi="Times New Roman" w:cs="Times New Roman"/>
          <w:color w:val="auto"/>
          <w:sz w:val="21"/>
          <w:szCs w:val="21"/>
          <w:highlight w:val="none"/>
        </w:rPr>
        <w:t>在合同签订后</w:t>
      </w:r>
      <w:r>
        <w:rPr>
          <w:rFonts w:hint="eastAsia" w:ascii="Times New Roman" w:hAnsi="Times New Roman" w:cs="Times New Roman"/>
          <w:color w:val="auto"/>
          <w:sz w:val="21"/>
          <w:szCs w:val="21"/>
          <w:highlight w:val="none"/>
          <w:lang w:eastAsia="zh-CN"/>
        </w:rPr>
        <w:t>30</w:t>
      </w:r>
      <w:r>
        <w:rPr>
          <w:rFonts w:ascii="Times New Roman" w:hAnsi="Times New Roman" w:cs="Times New Roman"/>
          <w:color w:val="auto"/>
          <w:sz w:val="21"/>
          <w:szCs w:val="21"/>
          <w:highlight w:val="none"/>
        </w:rPr>
        <w:t>天内送货到用户指定地点</w:t>
      </w:r>
      <w:r>
        <w:rPr>
          <w:rFonts w:hint="eastAsia" w:ascii="Times New Roman" w:hAnsi="Times New Roman" w:cs="Times New Roman"/>
          <w:color w:val="auto"/>
          <w:sz w:val="21"/>
          <w:szCs w:val="21"/>
          <w:highlight w:val="none"/>
          <w:lang w:val="en-US" w:eastAsia="zh-CN"/>
        </w:rPr>
        <w:t>，45</w:t>
      </w:r>
      <w:r>
        <w:rPr>
          <w:rFonts w:hint="eastAsia" w:ascii="Times New Roman" w:hAnsi="Times New Roman" w:cs="Times New Roman"/>
          <w:color w:val="auto"/>
          <w:sz w:val="21"/>
          <w:szCs w:val="21"/>
          <w:highlight w:val="none"/>
        </w:rPr>
        <w:t>日内完成项目整体验收，否则</w:t>
      </w:r>
      <w:r>
        <w:rPr>
          <w:rFonts w:hint="eastAsia" w:ascii="Times New Roman" w:hAnsi="Times New Roman" w:cs="Times New Roman"/>
          <w:color w:val="auto"/>
          <w:sz w:val="21"/>
          <w:szCs w:val="21"/>
          <w:highlight w:val="none"/>
          <w:lang w:val="en-US" w:eastAsia="zh-CN"/>
        </w:rPr>
        <w:t>将没收履约保证金，并做相应处罚</w:t>
      </w:r>
      <w:r>
        <w:rPr>
          <w:rFonts w:ascii="Times New Roman" w:hAnsi="Times New Roman" w:cs="Times New Roman"/>
          <w:color w:val="auto"/>
          <w:sz w:val="21"/>
          <w:szCs w:val="21"/>
          <w:highlight w:val="none"/>
        </w:rPr>
        <w:t>；</w:t>
      </w:r>
    </w:p>
    <w:p>
      <w:pPr>
        <w:spacing w:line="400" w:lineRule="exact"/>
        <w:rPr>
          <w:color w:val="auto"/>
          <w:szCs w:val="21"/>
          <w:highlight w:val="none"/>
        </w:rPr>
      </w:pPr>
      <w:r>
        <w:rPr>
          <w:color w:val="auto"/>
          <w:szCs w:val="21"/>
          <w:highlight w:val="none"/>
        </w:rPr>
        <w:t>2.</w:t>
      </w:r>
      <w:r>
        <w:rPr>
          <w:rFonts w:hint="eastAsia"/>
          <w:color w:val="auto"/>
          <w:szCs w:val="21"/>
          <w:highlight w:val="none"/>
        </w:rPr>
        <w:t xml:space="preserve"> </w:t>
      </w:r>
      <w:r>
        <w:rPr>
          <w:color w:val="auto"/>
          <w:szCs w:val="21"/>
          <w:highlight w:val="none"/>
        </w:rPr>
        <w:t>产品到达最终用户现场后在接到用户通知后1周内，中标人（含产品制造商）需安排有经验的工程技术人员到用户现场安装调试仪器，按验收指标逐项测试直至合格通过验收。产品的安装调试及现场需在15日内完成；</w:t>
      </w:r>
    </w:p>
    <w:p>
      <w:pPr>
        <w:spacing w:line="400" w:lineRule="exact"/>
        <w:rPr>
          <w:color w:val="auto"/>
          <w:szCs w:val="21"/>
          <w:highlight w:val="none"/>
        </w:rPr>
      </w:pPr>
      <w:r>
        <w:rPr>
          <w:color w:val="auto"/>
          <w:szCs w:val="21"/>
          <w:highlight w:val="none"/>
        </w:rPr>
        <w:t>3.</w:t>
      </w:r>
      <w:r>
        <w:rPr>
          <w:rFonts w:hint="eastAsia"/>
          <w:color w:val="auto"/>
          <w:szCs w:val="21"/>
          <w:highlight w:val="none"/>
        </w:rPr>
        <w:t xml:space="preserve"> </w:t>
      </w:r>
      <w:r>
        <w:rPr>
          <w:rFonts w:hint="eastAsia"/>
          <w:color w:val="auto"/>
          <w:szCs w:val="21"/>
          <w:highlight w:val="none"/>
          <w:lang w:eastAsia="zh-CN"/>
        </w:rPr>
        <w:t>软件安</w:t>
      </w:r>
      <w:r>
        <w:rPr>
          <w:color w:val="auto"/>
          <w:szCs w:val="21"/>
          <w:highlight w:val="none"/>
        </w:rPr>
        <w:t>装、调试和验收服务：中标人（含产品制造商）负责</w:t>
      </w:r>
      <w:r>
        <w:rPr>
          <w:rFonts w:hint="eastAsia"/>
          <w:color w:val="auto"/>
          <w:szCs w:val="21"/>
          <w:highlight w:val="none"/>
          <w:lang w:eastAsia="zh-CN"/>
        </w:rPr>
        <w:t>软件的</w:t>
      </w:r>
      <w:r>
        <w:rPr>
          <w:color w:val="auto"/>
          <w:szCs w:val="21"/>
          <w:highlight w:val="none"/>
        </w:rPr>
        <w:t>现场安装调试，并同时在现场对用户进行操作及维护培训，包括</w:t>
      </w:r>
      <w:r>
        <w:rPr>
          <w:rFonts w:hint="eastAsia"/>
          <w:color w:val="auto"/>
          <w:szCs w:val="21"/>
          <w:highlight w:val="none"/>
          <w:lang w:eastAsia="zh-CN"/>
        </w:rPr>
        <w:t>软件操作使</w:t>
      </w:r>
      <w:r>
        <w:rPr>
          <w:color w:val="auto"/>
          <w:szCs w:val="21"/>
          <w:highlight w:val="none"/>
        </w:rPr>
        <w:t>用方法和基本维护方法等，培训的人员不限，免费帮助用户解决应急的方法开发和技术指导，以上相关费用已含在投标报价中；</w:t>
      </w:r>
    </w:p>
    <w:p>
      <w:pPr>
        <w:spacing w:line="400" w:lineRule="exact"/>
        <w:rPr>
          <w:color w:val="auto"/>
          <w:szCs w:val="21"/>
          <w:highlight w:val="none"/>
        </w:rPr>
      </w:pPr>
      <w:r>
        <w:rPr>
          <w:color w:val="auto"/>
          <w:szCs w:val="21"/>
          <w:highlight w:val="none"/>
        </w:rPr>
        <w:t>4.</w:t>
      </w:r>
      <w:r>
        <w:rPr>
          <w:rFonts w:hint="eastAsia"/>
          <w:color w:val="auto"/>
          <w:szCs w:val="21"/>
          <w:highlight w:val="none"/>
        </w:rPr>
        <w:t xml:space="preserve"> </w:t>
      </w:r>
      <w:r>
        <w:rPr>
          <w:color w:val="auto"/>
          <w:szCs w:val="21"/>
          <w:highlight w:val="none"/>
        </w:rPr>
        <w:t>人员培训：除现场安装培训外，中标人（含产品制造商）还必须</w:t>
      </w:r>
      <w:r>
        <w:rPr>
          <w:rFonts w:hint="eastAsia"/>
          <w:color w:val="auto"/>
          <w:szCs w:val="21"/>
          <w:highlight w:val="none"/>
          <w:lang w:eastAsia="zh-CN"/>
        </w:rPr>
        <w:t>提供不少于3天的</w:t>
      </w:r>
      <w:r>
        <w:rPr>
          <w:color w:val="auto"/>
          <w:szCs w:val="21"/>
          <w:highlight w:val="none"/>
        </w:rPr>
        <w:t>培训，所需食宿费和培训费等由中标人全部承担；</w:t>
      </w:r>
    </w:p>
    <w:p>
      <w:pPr>
        <w:spacing w:line="400" w:lineRule="exact"/>
        <w:rPr>
          <w:color w:val="auto"/>
          <w:szCs w:val="21"/>
          <w:highlight w:val="none"/>
        </w:rPr>
      </w:pPr>
      <w:r>
        <w:rPr>
          <w:color w:val="auto"/>
          <w:szCs w:val="21"/>
          <w:highlight w:val="none"/>
        </w:rPr>
        <w:t>5.</w:t>
      </w:r>
      <w:r>
        <w:rPr>
          <w:rFonts w:hint="eastAsia"/>
          <w:color w:val="auto"/>
          <w:szCs w:val="21"/>
          <w:highlight w:val="none"/>
        </w:rPr>
        <w:t xml:space="preserve"> </w:t>
      </w:r>
      <w:r>
        <w:rPr>
          <w:color w:val="auto"/>
          <w:szCs w:val="21"/>
          <w:highlight w:val="none"/>
        </w:rPr>
        <w:t>质量保证期：免费质保</w:t>
      </w:r>
      <w:r>
        <w:rPr>
          <w:rFonts w:hint="eastAsia"/>
          <w:color w:val="auto"/>
          <w:szCs w:val="21"/>
          <w:highlight w:val="none"/>
          <w:lang w:eastAsia="zh-CN"/>
        </w:rPr>
        <w:t>1</w:t>
      </w:r>
      <w:r>
        <w:rPr>
          <w:color w:val="auto"/>
          <w:szCs w:val="21"/>
          <w:highlight w:val="none"/>
        </w:rPr>
        <w:t>年（自验收合格之日起计算），提供产品制造商</w:t>
      </w:r>
      <w:r>
        <w:rPr>
          <w:rFonts w:hint="eastAsia"/>
          <w:color w:val="auto"/>
          <w:szCs w:val="21"/>
          <w:highlight w:val="none"/>
          <w:lang w:eastAsia="zh-CN"/>
        </w:rPr>
        <w:t>1</w:t>
      </w:r>
      <w:r>
        <w:rPr>
          <w:color w:val="auto"/>
          <w:szCs w:val="21"/>
          <w:highlight w:val="none"/>
        </w:rPr>
        <w:t>年质保承诺函，在质保期内</w:t>
      </w:r>
      <w:r>
        <w:rPr>
          <w:rFonts w:hint="eastAsia"/>
          <w:color w:val="auto"/>
          <w:szCs w:val="21"/>
          <w:highlight w:val="none"/>
          <w:lang w:eastAsia="zh-CN"/>
        </w:rPr>
        <w:t>提供免费软件升级及技术服务</w:t>
      </w:r>
      <w:r>
        <w:rPr>
          <w:color w:val="auto"/>
          <w:szCs w:val="21"/>
          <w:highlight w:val="none"/>
        </w:rPr>
        <w:t>。质保期满后为产品提供</w:t>
      </w:r>
      <w:r>
        <w:rPr>
          <w:rFonts w:hint="eastAsia"/>
          <w:color w:val="auto"/>
          <w:szCs w:val="21"/>
          <w:highlight w:val="none"/>
          <w:lang w:eastAsia="zh-CN"/>
        </w:rPr>
        <w:t>免费技术支持服务。</w:t>
      </w:r>
    </w:p>
    <w:p>
      <w:pPr>
        <w:spacing w:line="400" w:lineRule="exact"/>
        <w:rPr>
          <w:color w:val="auto"/>
          <w:szCs w:val="21"/>
          <w:highlight w:val="none"/>
        </w:rPr>
      </w:pPr>
      <w:r>
        <w:rPr>
          <w:rFonts w:hint="eastAsia"/>
          <w:color w:val="auto"/>
          <w:szCs w:val="21"/>
          <w:highlight w:val="none"/>
        </w:rPr>
        <w:t>6</w:t>
      </w:r>
      <w:r>
        <w:rPr>
          <w:color w:val="auto"/>
          <w:szCs w:val="21"/>
          <w:highlight w:val="none"/>
        </w:rPr>
        <w:t>.</w:t>
      </w:r>
      <w:r>
        <w:rPr>
          <w:rFonts w:hint="eastAsia"/>
          <w:color w:val="auto"/>
          <w:szCs w:val="21"/>
          <w:highlight w:val="none"/>
        </w:rPr>
        <w:t xml:space="preserve"> </w:t>
      </w:r>
      <w:r>
        <w:rPr>
          <w:rFonts w:hint="eastAsia"/>
          <w:color w:val="auto"/>
          <w:szCs w:val="21"/>
          <w:highlight w:val="none"/>
          <w:lang w:eastAsia="zh-CN"/>
        </w:rPr>
        <w:t>软件安装</w:t>
      </w:r>
      <w:r>
        <w:rPr>
          <w:color w:val="auto"/>
          <w:szCs w:val="21"/>
          <w:highlight w:val="none"/>
        </w:rPr>
        <w:t>调试结束后，由业主方和安装或应用工程师现场按照招标文件对</w:t>
      </w:r>
      <w:r>
        <w:rPr>
          <w:rFonts w:hint="eastAsia"/>
          <w:color w:val="auto"/>
          <w:szCs w:val="21"/>
          <w:highlight w:val="none"/>
          <w:lang w:eastAsia="zh-CN"/>
        </w:rPr>
        <w:t>软件</w:t>
      </w:r>
      <w:r>
        <w:rPr>
          <w:color w:val="auto"/>
          <w:szCs w:val="21"/>
          <w:highlight w:val="none"/>
        </w:rPr>
        <w:t>进行测试，测试合格后，业主方签字验收合格；</w:t>
      </w:r>
    </w:p>
    <w:p>
      <w:pPr>
        <w:spacing w:line="400" w:lineRule="exact"/>
        <w:rPr>
          <w:rFonts w:ascii="宋体" w:hAnsi="宋体" w:cs="仿宋"/>
          <w:b/>
          <w:bCs/>
          <w:color w:val="auto"/>
          <w:sz w:val="28"/>
          <w:szCs w:val="28"/>
          <w:highlight w:val="none"/>
        </w:rPr>
      </w:pPr>
      <w:r>
        <w:rPr>
          <w:rFonts w:hint="eastAsia"/>
          <w:color w:val="auto"/>
          <w:szCs w:val="21"/>
          <w:highlight w:val="none"/>
        </w:rPr>
        <w:t>7</w:t>
      </w:r>
      <w:r>
        <w:rPr>
          <w:color w:val="auto"/>
          <w:szCs w:val="21"/>
          <w:highlight w:val="none"/>
        </w:rPr>
        <w:t>.</w:t>
      </w:r>
      <w:r>
        <w:rPr>
          <w:rFonts w:hint="eastAsia"/>
          <w:color w:val="auto"/>
          <w:szCs w:val="21"/>
          <w:highlight w:val="none"/>
        </w:rPr>
        <w:t xml:space="preserve"> 中标后3日内需</w:t>
      </w:r>
      <w:r>
        <w:rPr>
          <w:color w:val="auto"/>
          <w:szCs w:val="21"/>
          <w:highlight w:val="none"/>
        </w:rPr>
        <w:t>提供生产厂家针对本项目的授权书及售后服务承诺书原件。</w:t>
      </w:r>
    </w:p>
    <w:p>
      <w:pPr>
        <w:pStyle w:val="2"/>
        <w:ind w:left="0" w:leftChars="0" w:right="1470"/>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r>
        <w:rPr>
          <w:rFonts w:hint="eastAsia" w:ascii="宋体" w:hAnsi="宋体" w:cs="仿宋"/>
          <w:b/>
          <w:bCs/>
          <w:color w:val="auto"/>
          <w:sz w:val="28"/>
          <w:szCs w:val="28"/>
          <w:highlight w:val="none"/>
        </w:rPr>
        <w:t>附件</w:t>
      </w:r>
      <w:r>
        <w:rPr>
          <w:rFonts w:ascii="宋体" w:hAnsi="宋体" w:cs="仿宋"/>
          <w:b/>
          <w:bCs/>
          <w:color w:val="auto"/>
          <w:sz w:val="28"/>
          <w:szCs w:val="28"/>
          <w:highlight w:val="none"/>
        </w:rPr>
        <w:t>5</w:t>
      </w:r>
      <w:r>
        <w:rPr>
          <w:rFonts w:hint="eastAsia" w:ascii="宋体" w:hAnsi="宋体" w:cs="仿宋"/>
          <w:b/>
          <w:bCs/>
          <w:color w:val="auto"/>
          <w:sz w:val="28"/>
          <w:szCs w:val="28"/>
          <w:highlight w:val="none"/>
        </w:rPr>
        <w:t>：评标办法</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本项目采用综合评分法，总分为：</w:t>
      </w:r>
      <w:r>
        <w:rPr>
          <w:rFonts w:ascii="宋体" w:hAnsi="宋体"/>
          <w:color w:val="auto"/>
          <w:sz w:val="24"/>
          <w:highlight w:val="none"/>
        </w:rPr>
        <w:t>100</w:t>
      </w:r>
      <w:r>
        <w:rPr>
          <w:rFonts w:hint="eastAsia" w:ascii="宋体" w:hAnsi="宋体"/>
          <w:color w:val="auto"/>
          <w:sz w:val="24"/>
          <w:highlight w:val="none"/>
        </w:rPr>
        <w:t>分。</w:t>
      </w:r>
    </w:p>
    <w:tbl>
      <w:tblPr>
        <w:tblStyle w:val="15"/>
        <w:tblW w:w="92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
        <w:gridCol w:w="2030"/>
        <w:gridCol w:w="5369"/>
        <w:gridCol w:w="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pStyle w:val="5"/>
              <w:kinsoku w:val="0"/>
              <w:overflowPunct w:val="0"/>
              <w:spacing w:before="88"/>
              <w:jc w:val="left"/>
              <w:rPr>
                <w:rFonts w:ascii="宋体" w:hAnsi="宋体" w:cs="宋体"/>
                <w:color w:val="auto"/>
                <w:szCs w:val="21"/>
                <w:highlight w:val="none"/>
              </w:rPr>
            </w:pPr>
            <w:r>
              <w:rPr>
                <w:rFonts w:hint="eastAsia" w:ascii="宋体" w:hAnsi="宋体" w:cs="宋体"/>
                <w:color w:val="auto"/>
                <w:szCs w:val="21"/>
                <w:highlight w:val="none"/>
              </w:rPr>
              <w:t>序号</w:t>
            </w:r>
          </w:p>
        </w:tc>
        <w:tc>
          <w:tcPr>
            <w:tcW w:w="2030" w:type="dxa"/>
            <w:tcBorders>
              <w:top w:val="single" w:color="000000" w:sz="4" w:space="0"/>
              <w:left w:val="single" w:color="000000" w:sz="4" w:space="0"/>
              <w:bottom w:val="single" w:color="000000" w:sz="4" w:space="0"/>
              <w:right w:val="single" w:color="000000" w:sz="4" w:space="0"/>
            </w:tcBorders>
            <w:vAlign w:val="center"/>
          </w:tcPr>
          <w:p>
            <w:pPr>
              <w:pStyle w:val="5"/>
              <w:kinsoku w:val="0"/>
              <w:overflowPunct w:val="0"/>
              <w:spacing w:before="88"/>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5369" w:type="dxa"/>
            <w:tcBorders>
              <w:top w:val="single" w:color="000000" w:sz="4" w:space="0"/>
              <w:left w:val="single" w:color="000000" w:sz="4" w:space="0"/>
              <w:bottom w:val="single" w:color="000000" w:sz="4" w:space="0"/>
              <w:right w:val="single" w:color="000000" w:sz="4" w:space="0"/>
            </w:tcBorders>
            <w:vAlign w:val="center"/>
          </w:tcPr>
          <w:p>
            <w:pPr>
              <w:pStyle w:val="5"/>
              <w:kinsoku w:val="0"/>
              <w:overflowPunct w:val="0"/>
              <w:spacing w:before="88"/>
              <w:ind w:right="34" w:rightChars="16" w:firstLine="603"/>
              <w:jc w:val="center"/>
              <w:rPr>
                <w:rFonts w:ascii="宋体" w:hAnsi="宋体" w:cs="宋体"/>
                <w:color w:val="auto"/>
                <w:szCs w:val="21"/>
                <w:highlight w:val="none"/>
              </w:rPr>
            </w:pPr>
            <w:r>
              <w:rPr>
                <w:rFonts w:hint="eastAsia" w:ascii="宋体" w:hAnsi="宋体" w:cs="宋体"/>
                <w:color w:val="auto"/>
                <w:szCs w:val="21"/>
                <w:highlight w:val="none"/>
              </w:rPr>
              <w:t>评分细节</w:t>
            </w:r>
          </w:p>
        </w:tc>
        <w:tc>
          <w:tcPr>
            <w:tcW w:w="954" w:type="dxa"/>
            <w:tcBorders>
              <w:top w:val="single" w:color="000000" w:sz="4" w:space="0"/>
              <w:left w:val="single" w:color="000000" w:sz="4" w:space="0"/>
              <w:bottom w:val="single" w:color="000000" w:sz="4" w:space="0"/>
              <w:right w:val="single" w:color="000000" w:sz="4" w:space="0"/>
            </w:tcBorders>
            <w:vAlign w:val="center"/>
          </w:tcPr>
          <w:p>
            <w:pPr>
              <w:pStyle w:val="5"/>
              <w:kinsoku w:val="0"/>
              <w:overflowPunct w:val="0"/>
              <w:spacing w:before="88"/>
              <w:ind w:left="172"/>
              <w:rPr>
                <w:rFonts w:ascii="宋体" w:hAnsi="宋体" w:cs="宋体"/>
                <w:color w:val="auto"/>
                <w:szCs w:val="21"/>
                <w:highlight w:val="none"/>
              </w:rPr>
            </w:pPr>
            <w:r>
              <w:rPr>
                <w:rFonts w:hint="eastAsia" w:ascii="宋体" w:hAnsi="宋体" w:cs="宋体"/>
                <w:color w:val="auto"/>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9217" w:type="dxa"/>
            <w:gridSpan w:val="4"/>
            <w:tcBorders>
              <w:top w:val="single" w:color="000000" w:sz="4" w:space="0"/>
              <w:left w:val="single" w:color="000000" w:sz="4" w:space="0"/>
              <w:bottom w:val="single" w:color="000000" w:sz="4" w:space="0"/>
              <w:right w:val="single" w:color="000000" w:sz="4" w:space="0"/>
            </w:tcBorders>
          </w:tcPr>
          <w:p>
            <w:pPr>
              <w:spacing w:line="360" w:lineRule="exact"/>
              <w:jc w:val="left"/>
              <w:rPr>
                <w:rFonts w:ascii="宋体" w:hAnsi="宋体" w:cs="宋体"/>
                <w:color w:val="auto"/>
                <w:szCs w:val="21"/>
                <w:highlight w:val="none"/>
              </w:rPr>
            </w:pPr>
            <w:r>
              <w:rPr>
                <w:rFonts w:hint="eastAsia" w:ascii="宋体" w:hAnsi="宋体" w:cs="宋体"/>
                <w:color w:val="auto"/>
                <w:kern w:val="0"/>
                <w:szCs w:val="21"/>
                <w:highlight w:val="none"/>
              </w:rPr>
              <w:t>1、价格部分（30分）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pStyle w:val="5"/>
              <w:kinsoku w:val="0"/>
              <w:overflowPunct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2030" w:type="dxa"/>
            <w:tcBorders>
              <w:top w:val="single" w:color="000000" w:sz="4" w:space="0"/>
              <w:left w:val="single" w:color="000000" w:sz="4" w:space="0"/>
              <w:bottom w:val="single" w:color="000000" w:sz="4" w:space="0"/>
              <w:right w:val="single" w:color="000000" w:sz="4" w:space="0"/>
            </w:tcBorders>
            <w:vAlign w:val="center"/>
          </w:tcPr>
          <w:p>
            <w:pPr>
              <w:pStyle w:val="5"/>
              <w:kinsoku w:val="0"/>
              <w:overflowPunct w:val="0"/>
              <w:spacing w:line="360" w:lineRule="exact"/>
              <w:ind w:right="155"/>
              <w:jc w:val="center"/>
              <w:rPr>
                <w:rFonts w:ascii="宋体" w:hAnsi="宋体" w:cs="宋体"/>
                <w:color w:val="auto"/>
                <w:szCs w:val="21"/>
                <w:highlight w:val="none"/>
              </w:rPr>
            </w:pPr>
            <w:r>
              <w:rPr>
                <w:rFonts w:hint="eastAsia" w:ascii="宋体" w:hAnsi="宋体" w:cs="宋体"/>
                <w:color w:val="auto"/>
                <w:szCs w:val="21"/>
                <w:highlight w:val="none"/>
              </w:rPr>
              <w:t>价格分</w:t>
            </w:r>
          </w:p>
        </w:tc>
        <w:tc>
          <w:tcPr>
            <w:tcW w:w="5369" w:type="dxa"/>
            <w:tcBorders>
              <w:top w:val="single" w:color="000000" w:sz="4" w:space="0"/>
              <w:left w:val="single" w:color="000000" w:sz="4" w:space="0"/>
              <w:bottom w:val="single" w:color="000000" w:sz="4" w:space="0"/>
              <w:right w:val="single" w:color="000000" w:sz="4" w:space="0"/>
            </w:tcBorders>
          </w:tcPr>
          <w:p>
            <w:pPr>
              <w:spacing w:line="360" w:lineRule="exact"/>
              <w:rPr>
                <w:rFonts w:ascii="宋体" w:hAnsi="宋体" w:cs="宋体"/>
                <w:bCs/>
                <w:color w:val="auto"/>
                <w:kern w:val="0"/>
                <w:szCs w:val="21"/>
                <w:highlight w:val="none"/>
              </w:rPr>
            </w:pPr>
            <w:r>
              <w:rPr>
                <w:rFonts w:hint="eastAsia" w:ascii="宋体" w:hAnsi="宋体" w:cs="宋体"/>
                <w:bCs/>
                <w:color w:val="auto"/>
                <w:kern w:val="0"/>
                <w:szCs w:val="21"/>
                <w:highlight w:val="none"/>
              </w:rPr>
              <w:t>价格分采用低价优先法计算，即满足招标文件要求且投标价格最低的投标报价为评标基准价，其价格分为满分30分。其他投标人的价格分按照下列公式计算：</w:t>
            </w:r>
          </w:p>
          <w:p>
            <w:pPr>
              <w:spacing w:line="360" w:lineRule="exact"/>
              <w:rPr>
                <w:rFonts w:ascii="宋体" w:hAnsi="宋体" w:cs="宋体"/>
                <w:bCs/>
                <w:color w:val="auto"/>
                <w:kern w:val="0"/>
                <w:szCs w:val="21"/>
                <w:highlight w:val="none"/>
              </w:rPr>
            </w:pPr>
            <w:r>
              <w:rPr>
                <w:rFonts w:hint="eastAsia" w:ascii="宋体" w:hAnsi="宋体" w:cs="宋体"/>
                <w:bCs/>
                <w:color w:val="auto"/>
                <w:kern w:val="0"/>
                <w:szCs w:val="21"/>
                <w:highlight w:val="none"/>
              </w:rPr>
              <w:t>投标报价得分=（评标基准价／投标报价）×30（精确到小数点后两位）。</w:t>
            </w:r>
          </w:p>
        </w:tc>
        <w:tc>
          <w:tcPr>
            <w:tcW w:w="95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auto"/>
                <w:kern w:val="0"/>
                <w:szCs w:val="21"/>
                <w:highlight w:val="none"/>
              </w:rPr>
            </w:pPr>
          </w:p>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9217" w:type="dxa"/>
            <w:gridSpan w:val="4"/>
            <w:tcBorders>
              <w:top w:val="single" w:color="000000" w:sz="4" w:space="0"/>
              <w:left w:val="single" w:color="000000" w:sz="4" w:space="0"/>
              <w:bottom w:val="single" w:color="000000" w:sz="4" w:space="0"/>
              <w:right w:val="single" w:color="000000" w:sz="4" w:space="0"/>
            </w:tcBorders>
          </w:tcPr>
          <w:p>
            <w:pPr>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2、技术部分（40分）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6" w:hRule="atLeast"/>
          <w:jc w:val="center"/>
        </w:trPr>
        <w:tc>
          <w:tcPr>
            <w:tcW w:w="864" w:type="dxa"/>
            <w:tcBorders>
              <w:top w:val="single" w:color="000000" w:sz="4" w:space="0"/>
              <w:left w:val="single" w:color="000000" w:sz="4" w:space="0"/>
              <w:bottom w:val="single" w:color="000000" w:sz="4" w:space="0"/>
              <w:right w:val="single" w:color="000000" w:sz="4" w:space="0"/>
            </w:tcBorders>
          </w:tcPr>
          <w:p>
            <w:pPr>
              <w:spacing w:line="360" w:lineRule="exact"/>
              <w:jc w:val="left"/>
              <w:rPr>
                <w:rFonts w:ascii="宋体" w:hAnsi="宋体" w:cs="宋体"/>
                <w:color w:val="auto"/>
                <w:kern w:val="0"/>
                <w:szCs w:val="21"/>
                <w:highlight w:val="none"/>
              </w:rPr>
            </w:pPr>
          </w:p>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2030" w:type="dxa"/>
            <w:tcBorders>
              <w:top w:val="single" w:color="000000" w:sz="4" w:space="0"/>
              <w:left w:val="single" w:color="000000" w:sz="4" w:space="0"/>
              <w:bottom w:val="single" w:color="000000" w:sz="4" w:space="0"/>
              <w:right w:val="single" w:color="000000" w:sz="4" w:space="0"/>
            </w:tcBorders>
          </w:tcPr>
          <w:p>
            <w:pPr>
              <w:spacing w:line="360" w:lineRule="exact"/>
              <w:rPr>
                <w:rFonts w:ascii="宋体" w:hAnsi="宋体" w:cs="宋体"/>
                <w:color w:val="auto"/>
                <w:kern w:val="0"/>
                <w:szCs w:val="21"/>
                <w:highlight w:val="none"/>
              </w:rPr>
            </w:pPr>
          </w:p>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技术参数</w:t>
            </w:r>
          </w:p>
        </w:tc>
        <w:tc>
          <w:tcPr>
            <w:tcW w:w="5369" w:type="dxa"/>
            <w:tcBorders>
              <w:top w:val="single" w:color="000000" w:sz="4" w:space="0"/>
              <w:left w:val="single" w:color="000000" w:sz="4" w:space="0"/>
              <w:bottom w:val="single" w:color="000000" w:sz="4" w:space="0"/>
              <w:right w:val="single" w:color="000000" w:sz="4" w:space="0"/>
            </w:tcBorders>
          </w:tcPr>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1、技术参数及要求全部满足或优于磋商文件要求的，得满分 40分；</w:t>
            </w:r>
          </w:p>
          <w:p>
            <w:pPr>
              <w:spacing w:line="360" w:lineRule="exac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、未标注★条款技术参数及要求每负偏离一项，扣</w:t>
            </w:r>
            <w:r>
              <w:rPr>
                <w:rFonts w:ascii="宋体" w:hAnsi="宋体" w:cs="宋体"/>
                <w:color w:val="auto"/>
                <w:kern w:val="0"/>
                <w:szCs w:val="21"/>
                <w:highlight w:val="none"/>
              </w:rPr>
              <w:t>5</w:t>
            </w:r>
            <w:r>
              <w:rPr>
                <w:rFonts w:hint="eastAsia" w:ascii="宋体" w:hAnsi="宋体" w:cs="宋体"/>
                <w:color w:val="auto"/>
                <w:kern w:val="0"/>
                <w:szCs w:val="21"/>
                <w:highlight w:val="none"/>
              </w:rPr>
              <w:t>分，扣完为止。</w:t>
            </w:r>
          </w:p>
        </w:tc>
        <w:tc>
          <w:tcPr>
            <w:tcW w:w="95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auto"/>
                <w:kern w:val="0"/>
                <w:szCs w:val="21"/>
                <w:highlight w:val="none"/>
              </w:rPr>
            </w:pPr>
          </w:p>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17" w:type="dxa"/>
            <w:gridSpan w:val="4"/>
            <w:tcBorders>
              <w:top w:val="single" w:color="000000" w:sz="4" w:space="0"/>
              <w:left w:val="single" w:color="000000" w:sz="4" w:space="0"/>
              <w:bottom w:val="single" w:color="000000" w:sz="4" w:space="0"/>
              <w:right w:val="single" w:color="000000" w:sz="4" w:space="0"/>
            </w:tcBorders>
          </w:tcPr>
          <w:p>
            <w:pPr>
              <w:pStyle w:val="5"/>
              <w:kinsoku w:val="0"/>
              <w:overflowPunct w:val="0"/>
              <w:spacing w:before="88" w:line="360" w:lineRule="exact"/>
              <w:jc w:val="left"/>
              <w:rPr>
                <w:rFonts w:ascii="宋体" w:hAnsi="宋体" w:cs="宋体"/>
                <w:color w:val="auto"/>
                <w:szCs w:val="21"/>
                <w:highlight w:val="none"/>
              </w:rPr>
            </w:pPr>
            <w:r>
              <w:rPr>
                <w:rFonts w:hint="eastAsia" w:ascii="宋体" w:hAnsi="宋体" w:cs="宋体"/>
                <w:color w:val="auto"/>
                <w:szCs w:val="21"/>
                <w:highlight w:val="none"/>
              </w:rPr>
              <w:t>3、业绩（6分）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pStyle w:val="5"/>
              <w:kinsoku w:val="0"/>
              <w:overflowPunct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3.1</w:t>
            </w:r>
          </w:p>
        </w:tc>
        <w:tc>
          <w:tcPr>
            <w:tcW w:w="2030" w:type="dxa"/>
            <w:tcBorders>
              <w:top w:val="single" w:color="000000" w:sz="4" w:space="0"/>
              <w:left w:val="single" w:color="000000" w:sz="4" w:space="0"/>
              <w:bottom w:val="single" w:color="000000" w:sz="4" w:space="0"/>
              <w:right w:val="single" w:color="000000" w:sz="4" w:space="0"/>
            </w:tcBorders>
            <w:vAlign w:val="center"/>
          </w:tcPr>
          <w:p>
            <w:pPr>
              <w:pStyle w:val="5"/>
              <w:kinsoku w:val="0"/>
              <w:overflowPunct w:val="0"/>
              <w:spacing w:line="360" w:lineRule="exact"/>
              <w:ind w:right="155"/>
              <w:jc w:val="center"/>
              <w:rPr>
                <w:rFonts w:ascii="宋体" w:hAnsi="宋体" w:cs="宋体"/>
                <w:color w:val="auto"/>
                <w:kern w:val="0"/>
                <w:szCs w:val="21"/>
                <w:highlight w:val="none"/>
              </w:rPr>
            </w:pPr>
            <w:r>
              <w:rPr>
                <w:rFonts w:hint="eastAsia" w:ascii="宋体" w:hAnsi="宋体" w:cs="宋体"/>
                <w:color w:val="auto"/>
                <w:szCs w:val="21"/>
                <w:highlight w:val="none"/>
              </w:rPr>
              <w:t>业绩</w:t>
            </w:r>
          </w:p>
        </w:tc>
        <w:tc>
          <w:tcPr>
            <w:tcW w:w="5369" w:type="dxa"/>
            <w:tcBorders>
              <w:top w:val="single" w:color="000000" w:sz="4" w:space="0"/>
              <w:left w:val="single" w:color="000000" w:sz="4" w:space="0"/>
              <w:bottom w:val="single" w:color="000000" w:sz="4" w:space="0"/>
              <w:right w:val="single" w:color="000000" w:sz="4" w:space="0"/>
            </w:tcBorders>
          </w:tcPr>
          <w:p>
            <w:pPr>
              <w:pStyle w:val="5"/>
              <w:kinsoku w:val="0"/>
              <w:overflowPunct w:val="0"/>
              <w:spacing w:before="88" w:line="360" w:lineRule="exact"/>
              <w:ind w:right="155"/>
              <w:rPr>
                <w:rFonts w:ascii="宋体" w:hAnsi="宋体" w:cs="宋体" w:eastAsiaTheme="majorEastAsia"/>
                <w:color w:val="auto"/>
                <w:szCs w:val="21"/>
                <w:highlight w:val="none"/>
              </w:rPr>
            </w:pPr>
            <w:r>
              <w:rPr>
                <w:rFonts w:hint="eastAsia" w:eastAsiaTheme="majorEastAsia"/>
                <w:color w:val="auto"/>
                <w:szCs w:val="21"/>
                <w:highlight w:val="none"/>
              </w:rPr>
              <w:t>近</w:t>
            </w:r>
            <w:r>
              <w:rPr>
                <w:rFonts w:eastAsiaTheme="majorEastAsia"/>
                <w:color w:val="auto"/>
                <w:szCs w:val="21"/>
                <w:highlight w:val="none"/>
              </w:rPr>
              <w:t>3</w:t>
            </w:r>
            <w:r>
              <w:rPr>
                <w:rFonts w:hint="eastAsia" w:eastAsiaTheme="majorEastAsia"/>
                <w:color w:val="auto"/>
                <w:szCs w:val="21"/>
                <w:highlight w:val="none"/>
              </w:rPr>
              <w:t>年承担类似项目，需提供</w:t>
            </w:r>
            <w:r>
              <w:rPr>
                <w:rFonts w:eastAsiaTheme="majorEastAsia"/>
                <w:color w:val="auto"/>
                <w:szCs w:val="21"/>
                <w:highlight w:val="none"/>
              </w:rPr>
              <w:t>合同</w:t>
            </w:r>
            <w:r>
              <w:rPr>
                <w:rFonts w:hint="eastAsia" w:eastAsiaTheme="majorEastAsia"/>
                <w:color w:val="auto"/>
                <w:szCs w:val="21"/>
                <w:highlight w:val="none"/>
                <w:lang w:val="en-US" w:eastAsia="zh-CN"/>
              </w:rPr>
              <w:t>和</w:t>
            </w:r>
            <w:r>
              <w:rPr>
                <w:rFonts w:eastAsiaTheme="majorEastAsia"/>
                <w:color w:val="auto"/>
                <w:szCs w:val="21"/>
                <w:highlight w:val="none"/>
              </w:rPr>
              <w:t>验收</w:t>
            </w:r>
            <w:r>
              <w:rPr>
                <w:rFonts w:hint="eastAsia" w:eastAsiaTheme="majorEastAsia"/>
                <w:color w:val="auto"/>
                <w:szCs w:val="21"/>
                <w:highlight w:val="none"/>
                <w:lang w:val="en-US" w:eastAsia="zh-CN"/>
              </w:rPr>
              <w:t>合格</w:t>
            </w:r>
            <w:r>
              <w:rPr>
                <w:rFonts w:eastAsiaTheme="majorEastAsia"/>
                <w:color w:val="auto"/>
                <w:szCs w:val="21"/>
                <w:highlight w:val="none"/>
              </w:rPr>
              <w:t>证明</w:t>
            </w:r>
            <w:r>
              <w:rPr>
                <w:rFonts w:hint="eastAsia" w:eastAsiaTheme="majorEastAsia"/>
                <w:color w:val="auto"/>
                <w:szCs w:val="21"/>
                <w:highlight w:val="none"/>
              </w:rPr>
              <w:t>复印件</w:t>
            </w:r>
            <w:r>
              <w:rPr>
                <w:rFonts w:hint="eastAsia" w:eastAsiaTheme="majorEastAsia"/>
                <w:color w:val="auto"/>
                <w:szCs w:val="21"/>
                <w:highlight w:val="none"/>
                <w:lang w:val="en-US" w:eastAsia="zh-CN"/>
              </w:rPr>
              <w:t>(加盖单位公章)</w:t>
            </w:r>
            <w:r>
              <w:rPr>
                <w:rFonts w:eastAsiaTheme="majorEastAsia"/>
                <w:color w:val="auto"/>
                <w:szCs w:val="21"/>
                <w:highlight w:val="none"/>
              </w:rPr>
              <w:t>，</w:t>
            </w:r>
            <w:r>
              <w:rPr>
                <w:rFonts w:hint="eastAsia" w:eastAsiaTheme="majorEastAsia"/>
                <w:color w:val="auto"/>
                <w:szCs w:val="21"/>
                <w:highlight w:val="none"/>
              </w:rPr>
              <w:t>每有一个得</w:t>
            </w:r>
            <w:r>
              <w:rPr>
                <w:rFonts w:eastAsiaTheme="majorEastAsia"/>
                <w:color w:val="auto"/>
                <w:szCs w:val="21"/>
                <w:highlight w:val="none"/>
              </w:rPr>
              <w:t>2</w:t>
            </w:r>
            <w:r>
              <w:rPr>
                <w:rFonts w:hint="eastAsia" w:eastAsiaTheme="majorEastAsia"/>
                <w:color w:val="auto"/>
                <w:szCs w:val="21"/>
                <w:highlight w:val="none"/>
              </w:rPr>
              <w:t>分，最高得</w:t>
            </w:r>
            <w:r>
              <w:rPr>
                <w:rFonts w:eastAsiaTheme="majorEastAsia"/>
                <w:color w:val="auto"/>
                <w:szCs w:val="21"/>
                <w:highlight w:val="none"/>
              </w:rPr>
              <w:t>6</w:t>
            </w:r>
            <w:r>
              <w:rPr>
                <w:rFonts w:hint="eastAsia" w:eastAsiaTheme="majorEastAsia"/>
                <w:color w:val="auto"/>
                <w:szCs w:val="21"/>
                <w:highlight w:val="none"/>
              </w:rPr>
              <w:t>分。</w:t>
            </w:r>
          </w:p>
        </w:tc>
        <w:tc>
          <w:tcPr>
            <w:tcW w:w="954" w:type="dxa"/>
            <w:tcBorders>
              <w:top w:val="single" w:color="000000" w:sz="4" w:space="0"/>
              <w:left w:val="single" w:color="000000" w:sz="4" w:space="0"/>
              <w:bottom w:val="single" w:color="000000" w:sz="4" w:space="0"/>
              <w:right w:val="single" w:color="000000" w:sz="4" w:space="0"/>
            </w:tcBorders>
          </w:tcPr>
          <w:p>
            <w:pPr>
              <w:spacing w:line="360" w:lineRule="exact"/>
              <w:rPr>
                <w:rFonts w:ascii="宋体" w:hAnsi="宋体" w:cs="宋体"/>
                <w:color w:val="auto"/>
                <w:kern w:val="0"/>
                <w:szCs w:val="21"/>
                <w:highlight w:val="none"/>
              </w:rPr>
            </w:pPr>
          </w:p>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9217" w:type="dxa"/>
            <w:gridSpan w:val="4"/>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s="宋体"/>
                <w:color w:val="auto"/>
                <w:szCs w:val="21"/>
                <w:highlight w:val="none"/>
              </w:rPr>
              <w:t>资质（12分）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jc w:val="center"/>
              <w:rPr>
                <w:color w:val="auto"/>
                <w:szCs w:val="21"/>
                <w:highlight w:val="none"/>
              </w:rPr>
            </w:pPr>
            <w:r>
              <w:rPr>
                <w:rFonts w:hint="eastAsia"/>
                <w:color w:val="auto"/>
                <w:szCs w:val="21"/>
                <w:highlight w:val="none"/>
              </w:rPr>
              <w:t>4.1</w:t>
            </w:r>
          </w:p>
        </w:tc>
        <w:tc>
          <w:tcPr>
            <w:tcW w:w="20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Cs w:val="21"/>
                <w:highlight w:val="none"/>
              </w:rPr>
            </w:pPr>
            <w:r>
              <w:rPr>
                <w:rFonts w:hint="eastAsia" w:eastAsiaTheme="majorEastAsia"/>
                <w:color w:val="auto"/>
                <w:szCs w:val="21"/>
                <w:highlight w:val="none"/>
              </w:rPr>
              <w:t>质量管理体系认证</w:t>
            </w:r>
          </w:p>
        </w:tc>
        <w:tc>
          <w:tcPr>
            <w:tcW w:w="5369" w:type="dxa"/>
            <w:tcBorders>
              <w:top w:val="single" w:color="000000" w:sz="4" w:space="0"/>
              <w:left w:val="single" w:color="000000" w:sz="4" w:space="0"/>
              <w:bottom w:val="single" w:color="000000" w:sz="4" w:space="0"/>
              <w:right w:val="single" w:color="000000" w:sz="4" w:space="0"/>
            </w:tcBorders>
            <w:vAlign w:val="center"/>
          </w:tcPr>
          <w:p>
            <w:pPr>
              <w:pStyle w:val="31"/>
              <w:autoSpaceDE w:val="0"/>
              <w:autoSpaceDN w:val="0"/>
              <w:adjustRightInd w:val="0"/>
              <w:ind w:firstLine="0" w:firstLineChars="0"/>
              <w:rPr>
                <w:rFonts w:ascii="宋体" w:hAnsi="宋体"/>
                <w:color w:val="auto"/>
                <w:sz w:val="21"/>
                <w:szCs w:val="21"/>
                <w:highlight w:val="none"/>
              </w:rPr>
            </w:pPr>
            <w:r>
              <w:rPr>
                <w:rFonts w:hint="eastAsia" w:eastAsiaTheme="majorEastAsia"/>
                <w:color w:val="auto"/>
                <w:sz w:val="21"/>
                <w:szCs w:val="21"/>
                <w:highlight w:val="none"/>
              </w:rPr>
              <w:t>投标人具备通过审核的有效期内：ISO9001质量管理体系认证得1分，没有不得分</w:t>
            </w:r>
          </w:p>
        </w:tc>
        <w:tc>
          <w:tcPr>
            <w:tcW w:w="9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jc w:val="center"/>
              <w:rPr>
                <w:color w:val="auto"/>
                <w:szCs w:val="21"/>
                <w:highlight w:val="none"/>
              </w:rPr>
            </w:pPr>
            <w:r>
              <w:rPr>
                <w:color w:val="auto"/>
                <w:szCs w:val="21"/>
                <w:highlight w:val="none"/>
              </w:rPr>
              <w:t>4</w:t>
            </w:r>
            <w:r>
              <w:rPr>
                <w:rFonts w:hint="eastAsia"/>
                <w:color w:val="auto"/>
                <w:szCs w:val="21"/>
                <w:highlight w:val="none"/>
              </w:rPr>
              <w:t>.2</w:t>
            </w:r>
          </w:p>
        </w:tc>
        <w:tc>
          <w:tcPr>
            <w:tcW w:w="20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Cs w:val="21"/>
                <w:highlight w:val="none"/>
              </w:rPr>
            </w:pPr>
            <w:r>
              <w:rPr>
                <w:rFonts w:hint="eastAsia" w:eastAsiaTheme="majorEastAsia"/>
                <w:color w:val="auto"/>
                <w:szCs w:val="21"/>
                <w:highlight w:val="none"/>
              </w:rPr>
              <w:t>环境管理体系认证</w:t>
            </w:r>
          </w:p>
        </w:tc>
        <w:tc>
          <w:tcPr>
            <w:tcW w:w="5369" w:type="dxa"/>
            <w:tcBorders>
              <w:top w:val="single" w:color="000000" w:sz="4" w:space="0"/>
              <w:left w:val="single" w:color="000000" w:sz="4" w:space="0"/>
              <w:bottom w:val="single" w:color="000000" w:sz="4" w:space="0"/>
              <w:right w:val="single" w:color="000000" w:sz="4" w:space="0"/>
            </w:tcBorders>
            <w:vAlign w:val="center"/>
          </w:tcPr>
          <w:p>
            <w:pPr>
              <w:pStyle w:val="31"/>
              <w:autoSpaceDE w:val="0"/>
              <w:autoSpaceDN w:val="0"/>
              <w:adjustRightInd w:val="0"/>
              <w:ind w:firstLine="0" w:firstLineChars="0"/>
              <w:rPr>
                <w:rFonts w:ascii="宋体" w:hAnsi="宋体"/>
                <w:color w:val="auto"/>
                <w:sz w:val="21"/>
                <w:szCs w:val="21"/>
                <w:highlight w:val="none"/>
              </w:rPr>
            </w:pPr>
            <w:r>
              <w:rPr>
                <w:rFonts w:hint="eastAsia" w:eastAsiaTheme="majorEastAsia"/>
                <w:color w:val="auto"/>
                <w:sz w:val="21"/>
                <w:szCs w:val="21"/>
                <w:highlight w:val="none"/>
              </w:rPr>
              <w:t>ISO14001环境管理体系认证企业得1分，没有不得分</w:t>
            </w:r>
          </w:p>
        </w:tc>
        <w:tc>
          <w:tcPr>
            <w:tcW w:w="9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jc w:val="center"/>
              <w:rPr>
                <w:color w:val="auto"/>
                <w:szCs w:val="21"/>
                <w:highlight w:val="none"/>
              </w:rPr>
            </w:pPr>
            <w:r>
              <w:rPr>
                <w:rFonts w:hint="eastAsia"/>
                <w:color w:val="auto"/>
                <w:szCs w:val="21"/>
                <w:highlight w:val="none"/>
              </w:rPr>
              <w:t>4.3</w:t>
            </w:r>
          </w:p>
        </w:tc>
        <w:tc>
          <w:tcPr>
            <w:tcW w:w="20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Cs w:val="21"/>
                <w:highlight w:val="none"/>
              </w:rPr>
            </w:pPr>
            <w:r>
              <w:rPr>
                <w:rFonts w:hint="eastAsia" w:eastAsiaTheme="majorEastAsia"/>
                <w:color w:val="auto"/>
                <w:szCs w:val="21"/>
                <w:highlight w:val="none"/>
              </w:rPr>
              <w:t>职业健康安全管理体系认证</w:t>
            </w:r>
          </w:p>
        </w:tc>
        <w:tc>
          <w:tcPr>
            <w:tcW w:w="5369" w:type="dxa"/>
            <w:tcBorders>
              <w:top w:val="single" w:color="000000" w:sz="4" w:space="0"/>
              <w:left w:val="single" w:color="000000" w:sz="4" w:space="0"/>
              <w:bottom w:val="single" w:color="000000" w:sz="4" w:space="0"/>
              <w:right w:val="single" w:color="000000" w:sz="4" w:space="0"/>
            </w:tcBorders>
            <w:vAlign w:val="center"/>
          </w:tcPr>
          <w:p>
            <w:pPr>
              <w:pStyle w:val="31"/>
              <w:autoSpaceDE w:val="0"/>
              <w:autoSpaceDN w:val="0"/>
              <w:adjustRightInd w:val="0"/>
              <w:ind w:firstLine="0" w:firstLineChars="0"/>
              <w:rPr>
                <w:rFonts w:ascii="宋体" w:hAnsi="宋体"/>
                <w:color w:val="auto"/>
                <w:sz w:val="21"/>
                <w:szCs w:val="21"/>
                <w:highlight w:val="none"/>
              </w:rPr>
            </w:pPr>
            <w:r>
              <w:rPr>
                <w:rFonts w:hint="eastAsia" w:eastAsiaTheme="majorEastAsia"/>
                <w:color w:val="auto"/>
                <w:sz w:val="21"/>
                <w:szCs w:val="21"/>
                <w:highlight w:val="none"/>
              </w:rPr>
              <w:t>OHSAS18001职业健康安全管理体系认证企业得</w:t>
            </w:r>
            <w:r>
              <w:rPr>
                <w:rFonts w:eastAsiaTheme="majorEastAsia"/>
                <w:color w:val="auto"/>
                <w:sz w:val="21"/>
                <w:szCs w:val="21"/>
                <w:highlight w:val="none"/>
              </w:rPr>
              <w:t>1</w:t>
            </w:r>
            <w:r>
              <w:rPr>
                <w:rFonts w:hint="eastAsia" w:eastAsiaTheme="majorEastAsia"/>
                <w:color w:val="auto"/>
                <w:sz w:val="21"/>
                <w:szCs w:val="21"/>
                <w:highlight w:val="none"/>
              </w:rPr>
              <w:t>分，没有不得分</w:t>
            </w:r>
          </w:p>
        </w:tc>
        <w:tc>
          <w:tcPr>
            <w:tcW w:w="9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jc w:val="center"/>
              <w:rPr>
                <w:color w:val="auto"/>
                <w:szCs w:val="21"/>
                <w:highlight w:val="none"/>
              </w:rPr>
            </w:pPr>
            <w:r>
              <w:rPr>
                <w:rFonts w:hint="eastAsia"/>
                <w:color w:val="auto"/>
                <w:szCs w:val="21"/>
                <w:highlight w:val="none"/>
              </w:rPr>
              <w:t>4.4</w:t>
            </w:r>
          </w:p>
        </w:tc>
        <w:tc>
          <w:tcPr>
            <w:tcW w:w="2030"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color w:val="auto"/>
                <w:szCs w:val="21"/>
                <w:highlight w:val="none"/>
              </w:rPr>
            </w:pPr>
            <w:r>
              <w:rPr>
                <w:rFonts w:hint="eastAsia" w:eastAsiaTheme="majorEastAsia"/>
                <w:color w:val="auto"/>
                <w:szCs w:val="21"/>
                <w:highlight w:val="none"/>
              </w:rPr>
              <w:t>知识产权管理体系认证</w:t>
            </w:r>
          </w:p>
        </w:tc>
        <w:tc>
          <w:tcPr>
            <w:tcW w:w="5369" w:type="dxa"/>
            <w:tcBorders>
              <w:top w:val="single" w:color="000000" w:sz="4" w:space="0"/>
              <w:left w:val="single" w:color="000000" w:sz="4" w:space="0"/>
              <w:bottom w:val="single" w:color="000000" w:sz="4" w:space="0"/>
              <w:right w:val="single" w:color="000000" w:sz="4" w:space="0"/>
            </w:tcBorders>
            <w:vAlign w:val="center"/>
          </w:tcPr>
          <w:p>
            <w:pPr>
              <w:pStyle w:val="31"/>
              <w:autoSpaceDE w:val="0"/>
              <w:autoSpaceDN w:val="0"/>
              <w:adjustRightInd w:val="0"/>
              <w:ind w:firstLine="0" w:firstLineChars="0"/>
              <w:rPr>
                <w:rFonts w:ascii="宋体" w:hAnsi="宋体" w:cs="宋体"/>
                <w:color w:val="auto"/>
                <w:sz w:val="21"/>
                <w:szCs w:val="21"/>
                <w:highlight w:val="none"/>
              </w:rPr>
            </w:pPr>
            <w:r>
              <w:rPr>
                <w:rFonts w:hint="eastAsia" w:eastAsiaTheme="majorEastAsia"/>
                <w:color w:val="auto"/>
                <w:sz w:val="21"/>
                <w:szCs w:val="21"/>
                <w:highlight w:val="none"/>
              </w:rPr>
              <w:t>知识产权管理体系认证证书得2分，没有不得分</w:t>
            </w:r>
          </w:p>
        </w:tc>
        <w:tc>
          <w:tcPr>
            <w:tcW w:w="9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jc w:val="center"/>
              <w:rPr>
                <w:color w:val="auto"/>
                <w:szCs w:val="21"/>
                <w:highlight w:val="none"/>
              </w:rPr>
            </w:pPr>
            <w:r>
              <w:rPr>
                <w:rFonts w:hint="eastAsia"/>
                <w:color w:val="auto"/>
                <w:szCs w:val="21"/>
                <w:highlight w:val="none"/>
              </w:rPr>
              <w:t>4.5</w:t>
            </w:r>
          </w:p>
        </w:tc>
        <w:tc>
          <w:tcPr>
            <w:tcW w:w="2030"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color w:val="auto"/>
                <w:szCs w:val="21"/>
                <w:highlight w:val="none"/>
              </w:rPr>
            </w:pPr>
            <w:r>
              <w:rPr>
                <w:rFonts w:hint="eastAsia" w:eastAsiaTheme="majorEastAsia"/>
                <w:color w:val="auto"/>
                <w:szCs w:val="21"/>
                <w:highlight w:val="none"/>
              </w:rPr>
              <w:t>保密资格</w:t>
            </w:r>
          </w:p>
        </w:tc>
        <w:tc>
          <w:tcPr>
            <w:tcW w:w="5369" w:type="dxa"/>
            <w:tcBorders>
              <w:top w:val="single" w:color="000000" w:sz="4" w:space="0"/>
              <w:left w:val="single" w:color="000000" w:sz="4" w:space="0"/>
              <w:bottom w:val="single" w:color="000000" w:sz="4" w:space="0"/>
              <w:right w:val="single" w:color="000000" w:sz="4" w:space="0"/>
            </w:tcBorders>
            <w:vAlign w:val="center"/>
          </w:tcPr>
          <w:p>
            <w:pPr>
              <w:pStyle w:val="31"/>
              <w:autoSpaceDE w:val="0"/>
              <w:autoSpaceDN w:val="0"/>
              <w:adjustRightInd w:val="0"/>
              <w:ind w:firstLine="0" w:firstLineChars="0"/>
              <w:rPr>
                <w:rFonts w:ascii="宋体" w:hAnsi="宋体" w:cs="宋体" w:eastAsiaTheme="majorEastAsia"/>
                <w:color w:val="auto"/>
                <w:sz w:val="21"/>
                <w:szCs w:val="21"/>
                <w:highlight w:val="none"/>
              </w:rPr>
            </w:pPr>
            <w:r>
              <w:rPr>
                <w:rFonts w:hint="eastAsia" w:eastAsiaTheme="majorEastAsia"/>
                <w:color w:val="auto"/>
                <w:sz w:val="21"/>
                <w:szCs w:val="21"/>
                <w:highlight w:val="none"/>
              </w:rPr>
              <w:t>二级保密资格以上证书得2分</w:t>
            </w:r>
            <w:r>
              <w:rPr>
                <w:rFonts w:eastAsiaTheme="majorEastAsia"/>
                <w:color w:val="auto"/>
                <w:sz w:val="21"/>
                <w:szCs w:val="21"/>
                <w:highlight w:val="none"/>
              </w:rPr>
              <w:t>，</w:t>
            </w:r>
            <w:r>
              <w:rPr>
                <w:rFonts w:hint="eastAsia" w:eastAsiaTheme="majorEastAsia"/>
                <w:color w:val="auto"/>
                <w:sz w:val="21"/>
                <w:szCs w:val="21"/>
                <w:highlight w:val="none"/>
                <w:lang w:val="en-US" w:eastAsia="zh-CN"/>
              </w:rPr>
              <w:t>三级保密资格证书得1分，</w:t>
            </w:r>
            <w:r>
              <w:rPr>
                <w:rFonts w:hint="eastAsia" w:eastAsiaTheme="majorEastAsia"/>
                <w:color w:val="auto"/>
                <w:sz w:val="21"/>
                <w:szCs w:val="21"/>
                <w:highlight w:val="none"/>
              </w:rPr>
              <w:t>没有不得分</w:t>
            </w:r>
          </w:p>
        </w:tc>
        <w:tc>
          <w:tcPr>
            <w:tcW w:w="9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jc w:val="center"/>
              <w:rPr>
                <w:color w:val="auto"/>
                <w:szCs w:val="21"/>
                <w:highlight w:val="none"/>
              </w:rPr>
            </w:pPr>
            <w:r>
              <w:rPr>
                <w:rFonts w:hint="eastAsia"/>
                <w:color w:val="auto"/>
                <w:szCs w:val="21"/>
                <w:highlight w:val="none"/>
              </w:rPr>
              <w:t>4.6</w:t>
            </w:r>
          </w:p>
        </w:tc>
        <w:tc>
          <w:tcPr>
            <w:tcW w:w="2030"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color w:val="auto"/>
                <w:szCs w:val="21"/>
                <w:highlight w:val="none"/>
              </w:rPr>
            </w:pPr>
            <w:r>
              <w:rPr>
                <w:rFonts w:hint="eastAsia" w:eastAsiaTheme="majorEastAsia"/>
                <w:color w:val="auto"/>
                <w:szCs w:val="21"/>
                <w:highlight w:val="none"/>
              </w:rPr>
              <w:t>信息系统集成证书</w:t>
            </w:r>
          </w:p>
        </w:tc>
        <w:tc>
          <w:tcPr>
            <w:tcW w:w="5369" w:type="dxa"/>
            <w:tcBorders>
              <w:top w:val="single" w:color="000000" w:sz="4" w:space="0"/>
              <w:left w:val="single" w:color="000000" w:sz="4" w:space="0"/>
              <w:bottom w:val="single" w:color="000000" w:sz="4" w:space="0"/>
              <w:right w:val="single" w:color="000000" w:sz="4" w:space="0"/>
            </w:tcBorders>
            <w:vAlign w:val="center"/>
          </w:tcPr>
          <w:p>
            <w:pPr>
              <w:pStyle w:val="31"/>
              <w:autoSpaceDE w:val="0"/>
              <w:autoSpaceDN w:val="0"/>
              <w:adjustRightInd w:val="0"/>
              <w:ind w:firstLine="0" w:firstLineChars="0"/>
              <w:rPr>
                <w:rFonts w:ascii="宋体" w:hAnsi="宋体" w:cs="宋体"/>
                <w:color w:val="auto"/>
                <w:sz w:val="21"/>
                <w:szCs w:val="21"/>
                <w:highlight w:val="none"/>
              </w:rPr>
            </w:pPr>
            <w:r>
              <w:rPr>
                <w:rFonts w:hint="eastAsia" w:eastAsiaTheme="majorEastAsia"/>
                <w:color w:val="auto"/>
                <w:sz w:val="21"/>
                <w:szCs w:val="21"/>
                <w:highlight w:val="none"/>
              </w:rPr>
              <w:t>信息系统集成证书，三级及以上得2分，四级得1分，没有不得分</w:t>
            </w:r>
          </w:p>
        </w:tc>
        <w:tc>
          <w:tcPr>
            <w:tcW w:w="9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jc w:val="center"/>
              <w:rPr>
                <w:color w:val="auto"/>
                <w:szCs w:val="21"/>
                <w:highlight w:val="none"/>
              </w:rPr>
            </w:pPr>
            <w:r>
              <w:rPr>
                <w:color w:val="auto"/>
                <w:szCs w:val="21"/>
                <w:highlight w:val="none"/>
              </w:rPr>
              <w:t>4</w:t>
            </w:r>
            <w:r>
              <w:rPr>
                <w:rFonts w:hint="eastAsia"/>
                <w:color w:val="auto"/>
                <w:szCs w:val="21"/>
                <w:highlight w:val="none"/>
              </w:rPr>
              <w:t>.7</w:t>
            </w:r>
          </w:p>
        </w:tc>
        <w:tc>
          <w:tcPr>
            <w:tcW w:w="2030"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color w:val="auto"/>
                <w:szCs w:val="21"/>
                <w:highlight w:val="none"/>
              </w:rPr>
            </w:pPr>
            <w:r>
              <w:rPr>
                <w:rFonts w:hint="eastAsia" w:eastAsiaTheme="majorEastAsia"/>
                <w:color w:val="auto"/>
                <w:szCs w:val="21"/>
                <w:highlight w:val="none"/>
              </w:rPr>
              <w:t>信息技术服务运行维护</w:t>
            </w:r>
          </w:p>
        </w:tc>
        <w:tc>
          <w:tcPr>
            <w:tcW w:w="5369" w:type="dxa"/>
            <w:tcBorders>
              <w:top w:val="single" w:color="000000" w:sz="4" w:space="0"/>
              <w:left w:val="single" w:color="000000" w:sz="4" w:space="0"/>
              <w:bottom w:val="single" w:color="000000" w:sz="4" w:space="0"/>
              <w:right w:val="single" w:color="000000" w:sz="4" w:space="0"/>
            </w:tcBorders>
            <w:vAlign w:val="center"/>
          </w:tcPr>
          <w:p>
            <w:pPr>
              <w:pStyle w:val="31"/>
              <w:autoSpaceDE w:val="0"/>
              <w:autoSpaceDN w:val="0"/>
              <w:adjustRightInd w:val="0"/>
              <w:ind w:firstLine="0" w:firstLineChars="0"/>
              <w:rPr>
                <w:rFonts w:ascii="宋体" w:hAnsi="宋体" w:cs="宋体"/>
                <w:color w:val="auto"/>
                <w:sz w:val="21"/>
                <w:szCs w:val="21"/>
                <w:highlight w:val="none"/>
              </w:rPr>
            </w:pPr>
            <w:r>
              <w:rPr>
                <w:rFonts w:hint="eastAsia" w:eastAsiaTheme="majorEastAsia"/>
                <w:color w:val="auto"/>
                <w:sz w:val="21"/>
                <w:szCs w:val="21"/>
                <w:highlight w:val="none"/>
              </w:rPr>
              <w:t>信息技术服务运行维护标准，三级及以上得2分，四级得1分，没有不得分</w:t>
            </w:r>
          </w:p>
        </w:tc>
        <w:tc>
          <w:tcPr>
            <w:tcW w:w="9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jc w:val="center"/>
              <w:rPr>
                <w:color w:val="auto"/>
                <w:szCs w:val="21"/>
                <w:highlight w:val="none"/>
              </w:rPr>
            </w:pPr>
            <w:r>
              <w:rPr>
                <w:rFonts w:hint="eastAsia"/>
                <w:color w:val="auto"/>
                <w:szCs w:val="21"/>
                <w:highlight w:val="none"/>
              </w:rPr>
              <w:t>4.8</w:t>
            </w:r>
          </w:p>
        </w:tc>
        <w:tc>
          <w:tcPr>
            <w:tcW w:w="2030"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color w:val="auto"/>
                <w:szCs w:val="21"/>
                <w:highlight w:val="none"/>
              </w:rPr>
            </w:pPr>
            <w:r>
              <w:rPr>
                <w:rFonts w:hint="eastAsia" w:eastAsiaTheme="majorEastAsia"/>
                <w:color w:val="auto"/>
                <w:szCs w:val="21"/>
                <w:highlight w:val="none"/>
              </w:rPr>
              <w:t>售后服务认证</w:t>
            </w:r>
          </w:p>
        </w:tc>
        <w:tc>
          <w:tcPr>
            <w:tcW w:w="536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Cs w:val="21"/>
                <w:highlight w:val="none"/>
              </w:rPr>
            </w:pPr>
            <w:r>
              <w:rPr>
                <w:rFonts w:hint="eastAsia" w:eastAsiaTheme="majorEastAsia"/>
                <w:color w:val="auto"/>
                <w:szCs w:val="21"/>
                <w:highlight w:val="none"/>
              </w:rPr>
              <w:t>售后服务认证证书得1分</w:t>
            </w:r>
          </w:p>
        </w:tc>
        <w:tc>
          <w:tcPr>
            <w:tcW w:w="9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9217" w:type="dxa"/>
            <w:gridSpan w:val="4"/>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olor w:val="auto"/>
                <w:szCs w:val="21"/>
                <w:highlight w:val="none"/>
              </w:rPr>
            </w:pPr>
            <w:r>
              <w:rPr>
                <w:rFonts w:hint="eastAsia" w:eastAsiaTheme="majorEastAsia"/>
                <w:color w:val="auto"/>
                <w:szCs w:val="21"/>
                <w:highlight w:val="none"/>
              </w:rPr>
              <w:t>5、售后服务（</w:t>
            </w:r>
            <w:r>
              <w:rPr>
                <w:rFonts w:eastAsiaTheme="majorEastAsia"/>
                <w:color w:val="auto"/>
                <w:szCs w:val="21"/>
                <w:highlight w:val="none"/>
              </w:rPr>
              <w:t>10</w:t>
            </w:r>
            <w:r>
              <w:rPr>
                <w:rFonts w:hint="eastAsia" w:eastAsiaTheme="majorEastAsia"/>
                <w:color w:val="auto"/>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jc w:val="center"/>
              <w:rPr>
                <w:color w:val="auto"/>
                <w:szCs w:val="21"/>
                <w:highlight w:val="none"/>
              </w:rPr>
            </w:pPr>
            <w:r>
              <w:rPr>
                <w:rFonts w:hint="eastAsia"/>
                <w:color w:val="auto"/>
                <w:szCs w:val="21"/>
                <w:highlight w:val="none"/>
              </w:rPr>
              <w:t>5.1</w:t>
            </w:r>
          </w:p>
        </w:tc>
        <w:tc>
          <w:tcPr>
            <w:tcW w:w="2030"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color w:val="auto"/>
                <w:szCs w:val="21"/>
                <w:highlight w:val="none"/>
              </w:rPr>
            </w:pPr>
            <w:r>
              <w:rPr>
                <w:rFonts w:hint="eastAsia" w:hAnsi="宋体"/>
                <w:color w:val="auto"/>
                <w:szCs w:val="21"/>
                <w:highlight w:val="none"/>
              </w:rPr>
              <w:t>售后服务</w:t>
            </w:r>
          </w:p>
        </w:tc>
        <w:tc>
          <w:tcPr>
            <w:tcW w:w="5369" w:type="dxa"/>
            <w:tcBorders>
              <w:top w:val="single" w:color="000000" w:sz="4" w:space="0"/>
              <w:left w:val="single" w:color="000000" w:sz="4" w:space="0"/>
              <w:bottom w:val="single" w:color="000000" w:sz="4" w:space="0"/>
              <w:right w:val="single" w:color="000000" w:sz="4" w:space="0"/>
            </w:tcBorders>
            <w:vAlign w:val="center"/>
          </w:tcPr>
          <w:p>
            <w:pPr>
              <w:pStyle w:val="31"/>
              <w:spacing w:line="312" w:lineRule="auto"/>
              <w:ind w:firstLine="0" w:firstLineChars="0"/>
              <w:rPr>
                <w:rFonts w:ascii="宋体" w:hAnsi="宋体" w:cs="宋体"/>
                <w:color w:val="auto"/>
                <w:sz w:val="21"/>
                <w:szCs w:val="21"/>
                <w:highlight w:val="none"/>
              </w:rPr>
            </w:pPr>
            <w:r>
              <w:rPr>
                <w:rFonts w:hint="eastAsia" w:eastAsiaTheme="majorEastAsia"/>
                <w:color w:val="auto"/>
                <w:sz w:val="21"/>
                <w:szCs w:val="21"/>
                <w:highlight w:val="none"/>
              </w:rPr>
              <w:t>售后服务分及售后服务方案完整、售后人员配备充足、培训课程内容丰富的得分5</w:t>
            </w:r>
            <w:r>
              <w:rPr>
                <w:rFonts w:eastAsiaTheme="majorEastAsia"/>
                <w:color w:val="auto"/>
                <w:sz w:val="21"/>
                <w:szCs w:val="21"/>
                <w:highlight w:val="none"/>
              </w:rPr>
              <w:t>-</w:t>
            </w:r>
            <w:r>
              <w:rPr>
                <w:rFonts w:hint="eastAsia" w:eastAsiaTheme="majorEastAsia"/>
                <w:color w:val="auto"/>
                <w:sz w:val="21"/>
                <w:szCs w:val="21"/>
                <w:highlight w:val="none"/>
              </w:rPr>
              <w:t>6分；售后服务方案相对完整、培训课程内容相对丰富的得分3-4；售后服务方案完整性一般，培训课程内容丰富性欠缺的得1-2分；差或未提供的不得分。</w:t>
            </w:r>
          </w:p>
        </w:tc>
        <w:tc>
          <w:tcPr>
            <w:tcW w:w="9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jc w:val="center"/>
              <w:rPr>
                <w:color w:val="auto"/>
                <w:szCs w:val="21"/>
                <w:highlight w:val="none"/>
              </w:rPr>
            </w:pPr>
            <w:r>
              <w:rPr>
                <w:rFonts w:hint="eastAsia"/>
                <w:color w:val="auto"/>
                <w:szCs w:val="21"/>
                <w:highlight w:val="none"/>
              </w:rPr>
              <w:t>5</w:t>
            </w:r>
            <w:r>
              <w:rPr>
                <w:color w:val="auto"/>
                <w:szCs w:val="21"/>
                <w:highlight w:val="none"/>
              </w:rPr>
              <w:t>.2</w:t>
            </w:r>
          </w:p>
        </w:tc>
        <w:tc>
          <w:tcPr>
            <w:tcW w:w="2030"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color w:val="auto"/>
                <w:szCs w:val="21"/>
                <w:highlight w:val="none"/>
              </w:rPr>
            </w:pPr>
            <w:r>
              <w:rPr>
                <w:rFonts w:hint="eastAsia" w:hAnsi="宋体"/>
                <w:color w:val="auto"/>
                <w:szCs w:val="21"/>
                <w:highlight w:val="none"/>
              </w:rPr>
              <w:t>本地化</w:t>
            </w:r>
            <w:r>
              <w:rPr>
                <w:rFonts w:hAnsi="宋体"/>
                <w:color w:val="auto"/>
                <w:szCs w:val="21"/>
                <w:highlight w:val="none"/>
              </w:rPr>
              <w:t>服务</w:t>
            </w:r>
          </w:p>
        </w:tc>
        <w:tc>
          <w:tcPr>
            <w:tcW w:w="5369" w:type="dxa"/>
            <w:tcBorders>
              <w:top w:val="single" w:color="000000" w:sz="4" w:space="0"/>
              <w:left w:val="single" w:color="000000" w:sz="4" w:space="0"/>
              <w:bottom w:val="single" w:color="000000" w:sz="4" w:space="0"/>
              <w:right w:val="single" w:color="000000" w:sz="4" w:space="0"/>
            </w:tcBorders>
            <w:vAlign w:val="center"/>
          </w:tcPr>
          <w:p>
            <w:pPr>
              <w:pStyle w:val="31"/>
              <w:spacing w:line="312" w:lineRule="auto"/>
              <w:ind w:firstLine="0" w:firstLineChars="0"/>
              <w:rPr>
                <w:rFonts w:eastAsiaTheme="majorEastAsia"/>
                <w:color w:val="auto"/>
                <w:sz w:val="21"/>
                <w:szCs w:val="21"/>
                <w:highlight w:val="none"/>
              </w:rPr>
            </w:pPr>
            <w:r>
              <w:rPr>
                <w:rFonts w:hint="eastAsia" w:eastAsiaTheme="majorEastAsia"/>
                <w:color w:val="auto"/>
                <w:sz w:val="21"/>
                <w:szCs w:val="21"/>
                <w:highlight w:val="none"/>
              </w:rPr>
              <w:t>当地有注册营业机构，能提供本地化售后服务，有自有房产的得4分，无自有房产得1分，需提供营业执照和房产证复印件，原件备查</w:t>
            </w:r>
          </w:p>
        </w:tc>
        <w:tc>
          <w:tcPr>
            <w:tcW w:w="9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9217" w:type="dxa"/>
            <w:gridSpan w:val="4"/>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olor w:val="auto"/>
                <w:szCs w:val="21"/>
                <w:highlight w:val="none"/>
              </w:rPr>
            </w:pPr>
            <w:r>
              <w:rPr>
                <w:rFonts w:hint="eastAsia" w:ascii="宋体" w:hAnsi="宋体"/>
                <w:color w:val="auto"/>
                <w:szCs w:val="21"/>
                <w:highlight w:val="none"/>
              </w:rPr>
              <w:t>6、投标文件制作分（2分）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jc w:val="center"/>
              <w:rPr>
                <w:color w:val="auto"/>
                <w:szCs w:val="21"/>
                <w:highlight w:val="none"/>
              </w:rPr>
            </w:pPr>
            <w:r>
              <w:rPr>
                <w:rFonts w:hint="eastAsia"/>
                <w:color w:val="auto"/>
                <w:szCs w:val="21"/>
                <w:highlight w:val="none"/>
              </w:rPr>
              <w:t>6.1</w:t>
            </w:r>
          </w:p>
          <w:p>
            <w:pPr>
              <w:pStyle w:val="2"/>
              <w:ind w:left="1470" w:right="1470"/>
              <w:jc w:val="left"/>
              <w:rPr>
                <w:color w:val="auto"/>
                <w:szCs w:val="21"/>
                <w:highlight w:val="none"/>
              </w:rPr>
            </w:pPr>
          </w:p>
        </w:tc>
        <w:tc>
          <w:tcPr>
            <w:tcW w:w="2030"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color w:val="auto"/>
                <w:szCs w:val="21"/>
                <w:highlight w:val="none"/>
              </w:rPr>
            </w:pPr>
            <w:r>
              <w:rPr>
                <w:rFonts w:hint="eastAsia" w:hAnsi="宋体"/>
                <w:color w:val="auto"/>
                <w:szCs w:val="21"/>
                <w:highlight w:val="none"/>
              </w:rPr>
              <w:t>投标文件便于评审</w:t>
            </w:r>
          </w:p>
        </w:tc>
        <w:tc>
          <w:tcPr>
            <w:tcW w:w="5369" w:type="dxa"/>
            <w:tcBorders>
              <w:top w:val="single" w:color="000000" w:sz="4" w:space="0"/>
              <w:left w:val="single" w:color="000000" w:sz="4" w:space="0"/>
              <w:bottom w:val="single" w:color="000000" w:sz="4" w:space="0"/>
              <w:right w:val="single" w:color="000000" w:sz="4" w:space="0"/>
            </w:tcBorders>
            <w:vAlign w:val="center"/>
          </w:tcPr>
          <w:p>
            <w:pPr>
              <w:spacing w:line="312" w:lineRule="auto"/>
              <w:rPr>
                <w:rFonts w:ascii="宋体" w:hAnsi="宋体" w:cs="宋体"/>
                <w:color w:val="auto"/>
                <w:szCs w:val="21"/>
                <w:highlight w:val="none"/>
              </w:rPr>
            </w:pPr>
            <w:r>
              <w:rPr>
                <w:rFonts w:hint="eastAsia" w:eastAsiaTheme="majorEastAsia"/>
                <w:color w:val="auto"/>
                <w:szCs w:val="21"/>
                <w:highlight w:val="none"/>
              </w:rPr>
              <w:t>严格按照招标文件要求制作，目录、索引准确，印刷清晰，得2分；按照招标文件要求制作，有目录、索引，印刷较清晰，得1.5分；目录、索引不准确或明显缺漏，页码未按自然数增序（彩页除外），与目录注不一致、不清晰等不得分。</w:t>
            </w:r>
          </w:p>
        </w:tc>
        <w:tc>
          <w:tcPr>
            <w:tcW w:w="9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w:t>
            </w:r>
          </w:p>
        </w:tc>
      </w:tr>
    </w:tbl>
    <w:p>
      <w:pPr>
        <w:pStyle w:val="2"/>
        <w:ind w:left="1470" w:right="1470"/>
        <w:rPr>
          <w:rFonts w:ascii="宋体" w:hAnsi="宋体" w:cs="仿宋"/>
          <w:b/>
          <w:bCs/>
          <w:color w:val="auto"/>
          <w:sz w:val="28"/>
          <w:szCs w:val="28"/>
          <w:highlight w:val="none"/>
        </w:rPr>
      </w:pPr>
    </w:p>
    <w:p>
      <w:pPr>
        <w:pStyle w:val="2"/>
        <w:ind w:left="1470" w:right="1470"/>
        <w:rPr>
          <w:rFonts w:ascii="宋体" w:hAnsi="宋体" w:cs="仿宋"/>
          <w:b/>
          <w:bCs/>
          <w:color w:val="auto"/>
          <w:sz w:val="28"/>
          <w:szCs w:val="28"/>
          <w:highlight w:val="none"/>
        </w:rPr>
      </w:pPr>
    </w:p>
    <w:p>
      <w:pPr>
        <w:pStyle w:val="2"/>
        <w:ind w:left="1470" w:right="1470"/>
        <w:rPr>
          <w:rFonts w:ascii="宋体" w:hAnsi="宋体" w:cs="仿宋"/>
          <w:b/>
          <w:bCs/>
          <w:color w:val="auto"/>
          <w:sz w:val="28"/>
          <w:szCs w:val="28"/>
          <w:highlight w:val="none"/>
        </w:rPr>
      </w:pPr>
    </w:p>
    <w:p>
      <w:pPr>
        <w:pStyle w:val="2"/>
        <w:ind w:left="1470" w:right="1470"/>
        <w:rPr>
          <w:rFonts w:ascii="宋体" w:hAnsi="宋体" w:cs="仿宋"/>
          <w:b/>
          <w:bCs/>
          <w:color w:val="auto"/>
          <w:sz w:val="28"/>
          <w:szCs w:val="28"/>
          <w:highlight w:val="none"/>
        </w:rPr>
      </w:pPr>
    </w:p>
    <w:p>
      <w:pPr>
        <w:pStyle w:val="2"/>
        <w:ind w:left="1470" w:right="1470"/>
        <w:rPr>
          <w:rFonts w:ascii="宋体" w:hAnsi="宋体" w:cs="仿宋"/>
          <w:b/>
          <w:bCs/>
          <w:color w:val="auto"/>
          <w:sz w:val="28"/>
          <w:szCs w:val="28"/>
          <w:highlight w:val="none"/>
        </w:rPr>
      </w:pPr>
    </w:p>
    <w:p>
      <w:pPr>
        <w:pStyle w:val="2"/>
        <w:ind w:left="1470" w:right="1470"/>
        <w:rPr>
          <w:rFonts w:ascii="宋体" w:hAnsi="宋体" w:cs="仿宋"/>
          <w:b/>
          <w:bCs/>
          <w:color w:val="auto"/>
          <w:sz w:val="28"/>
          <w:szCs w:val="28"/>
          <w:highlight w:val="none"/>
        </w:rPr>
      </w:pPr>
    </w:p>
    <w:p>
      <w:pPr>
        <w:pStyle w:val="2"/>
        <w:ind w:left="1470" w:right="1470"/>
        <w:rPr>
          <w:rFonts w:ascii="宋体" w:hAnsi="宋体" w:cs="仿宋"/>
          <w:b/>
          <w:bCs/>
          <w:color w:val="auto"/>
          <w:sz w:val="28"/>
          <w:szCs w:val="28"/>
          <w:highlight w:val="none"/>
        </w:rPr>
      </w:pPr>
    </w:p>
    <w:p>
      <w:pPr>
        <w:pStyle w:val="2"/>
        <w:ind w:left="1470" w:right="1470"/>
        <w:rPr>
          <w:rFonts w:ascii="宋体" w:hAnsi="宋体" w:cs="仿宋"/>
          <w:b/>
          <w:bCs/>
          <w:color w:val="auto"/>
          <w:sz w:val="28"/>
          <w:szCs w:val="28"/>
          <w:highlight w:val="none"/>
        </w:rPr>
      </w:pPr>
    </w:p>
    <w:p>
      <w:pPr>
        <w:spacing w:line="360" w:lineRule="auto"/>
        <w:rPr>
          <w:b/>
          <w:color w:val="auto"/>
          <w:sz w:val="28"/>
          <w:szCs w:val="28"/>
          <w:highlight w:val="none"/>
        </w:rPr>
      </w:pPr>
    </w:p>
    <w:p>
      <w:pPr>
        <w:spacing w:line="360" w:lineRule="auto"/>
        <w:rPr>
          <w:b/>
          <w:color w:val="auto"/>
          <w:sz w:val="28"/>
          <w:szCs w:val="28"/>
          <w:highlight w:val="none"/>
        </w:rPr>
      </w:pPr>
    </w:p>
    <w:p>
      <w:pPr>
        <w:spacing w:line="360" w:lineRule="auto"/>
        <w:rPr>
          <w:b/>
          <w:color w:val="auto"/>
          <w:sz w:val="28"/>
          <w:szCs w:val="28"/>
          <w:highlight w:val="none"/>
        </w:rPr>
      </w:pPr>
    </w:p>
    <w:p>
      <w:pPr>
        <w:spacing w:line="360" w:lineRule="auto"/>
        <w:rPr>
          <w:b/>
          <w:color w:val="auto"/>
          <w:sz w:val="28"/>
          <w:szCs w:val="28"/>
          <w:highlight w:val="none"/>
        </w:rPr>
      </w:pPr>
    </w:p>
    <w:p>
      <w:pPr>
        <w:spacing w:line="360" w:lineRule="auto"/>
        <w:rPr>
          <w:b/>
          <w:color w:val="auto"/>
          <w:sz w:val="28"/>
          <w:szCs w:val="28"/>
          <w:highlight w:val="none"/>
        </w:rPr>
      </w:pPr>
      <w:r>
        <w:rPr>
          <w:rFonts w:hint="eastAsia"/>
          <w:b/>
          <w:color w:val="auto"/>
          <w:sz w:val="28"/>
          <w:szCs w:val="28"/>
          <w:highlight w:val="none"/>
        </w:rPr>
        <w:t>附件</w:t>
      </w:r>
      <w:r>
        <w:rPr>
          <w:b/>
          <w:color w:val="auto"/>
          <w:sz w:val="28"/>
          <w:szCs w:val="28"/>
          <w:highlight w:val="none"/>
        </w:rPr>
        <w:t>6</w:t>
      </w:r>
      <w:r>
        <w:rPr>
          <w:rFonts w:hint="eastAsia"/>
          <w:b/>
          <w:color w:val="auto"/>
          <w:sz w:val="28"/>
          <w:szCs w:val="28"/>
          <w:highlight w:val="none"/>
        </w:rPr>
        <w:t>：</w:t>
      </w:r>
    </w:p>
    <w:p>
      <w:pPr>
        <w:adjustRightInd w:val="0"/>
        <w:snapToGrid w:val="0"/>
        <w:spacing w:beforeLines="50" w:afterLines="50" w:line="360" w:lineRule="auto"/>
        <w:jc w:val="center"/>
        <w:outlineLvl w:val="0"/>
        <w:rPr>
          <w:rFonts w:ascii="黑体" w:hAnsi="黑体" w:eastAsia="黑体"/>
          <w:b/>
          <w:bCs/>
          <w:color w:val="auto"/>
          <w:sz w:val="34"/>
          <w:highlight w:val="none"/>
        </w:rPr>
      </w:pPr>
      <w:r>
        <w:rPr>
          <w:rFonts w:hint="eastAsia" w:ascii="黑体" w:hAnsi="黑体" w:eastAsia="黑体"/>
          <w:b/>
          <w:color w:val="auto"/>
          <w:sz w:val="34"/>
          <w:highlight w:val="none"/>
        </w:rPr>
        <w:t>采购合同</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项目名称：</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项目编号：</w:t>
      </w:r>
    </w:p>
    <w:p>
      <w:pPr>
        <w:pStyle w:val="8"/>
        <w:adjustRightInd w:val="0"/>
        <w:snapToGrid w:val="0"/>
        <w:spacing w:before="120" w:after="120" w:line="360" w:lineRule="auto"/>
        <w:ind w:firstLine="658"/>
        <w:rPr>
          <w:rFonts w:hAnsi="宋体"/>
          <w:color w:val="auto"/>
          <w:sz w:val="24"/>
          <w:szCs w:val="24"/>
          <w:highlight w:val="none"/>
          <w:u w:val="single"/>
        </w:rPr>
      </w:pPr>
      <w:r>
        <w:rPr>
          <w:rFonts w:hint="eastAsia" w:hAnsi="宋体"/>
          <w:color w:val="auto"/>
          <w:sz w:val="24"/>
          <w:szCs w:val="24"/>
          <w:highlight w:val="none"/>
        </w:rPr>
        <w:t>甲方：（买方）</w:t>
      </w:r>
      <w:r>
        <w:rPr>
          <w:rFonts w:hAnsi="宋体"/>
          <w:color w:val="auto"/>
          <w:sz w:val="24"/>
          <w:szCs w:val="24"/>
          <w:highlight w:val="none"/>
        </w:rPr>
        <w:t>__________________</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乙方：（卖方）</w:t>
      </w:r>
      <w:r>
        <w:rPr>
          <w:rFonts w:hAnsi="宋体"/>
          <w:color w:val="auto"/>
          <w:sz w:val="24"/>
          <w:szCs w:val="24"/>
          <w:highlight w:val="none"/>
        </w:rPr>
        <w:t>__________________</w:t>
      </w:r>
    </w:p>
    <w:p>
      <w:pPr>
        <w:pStyle w:val="8"/>
        <w:adjustRightInd w:val="0"/>
        <w:snapToGrid w:val="0"/>
        <w:spacing w:before="120" w:after="120" w:line="360" w:lineRule="auto"/>
        <w:ind w:firstLine="658"/>
        <w:rPr>
          <w:rFonts w:hAnsi="宋体"/>
          <w:b/>
          <w:color w:val="auto"/>
          <w:sz w:val="24"/>
          <w:szCs w:val="24"/>
          <w:highlight w:val="none"/>
        </w:rPr>
      </w:pPr>
      <w:r>
        <w:rPr>
          <w:rFonts w:hint="eastAsia" w:hAnsi="宋体"/>
          <w:color w:val="auto"/>
          <w:sz w:val="24"/>
          <w:szCs w:val="24"/>
          <w:highlight w:val="none"/>
        </w:rPr>
        <w:t>甲、乙双方根据甲方项目采购谈判的结果，签署本合同。</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一、货物内容</w:t>
      </w:r>
    </w:p>
    <w:tbl>
      <w:tblPr>
        <w:tblStyle w:val="15"/>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分包号</w:t>
            </w:r>
          </w:p>
        </w:tc>
        <w:tc>
          <w:tcPr>
            <w:tcW w:w="1165"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货物</w:t>
            </w:r>
          </w:p>
          <w:p>
            <w:pPr>
              <w:spacing w:line="360" w:lineRule="auto"/>
              <w:jc w:val="center"/>
              <w:rPr>
                <w:rFonts w:ascii="宋体"/>
                <w:b/>
                <w:color w:val="auto"/>
                <w:sz w:val="24"/>
                <w:highlight w:val="none"/>
              </w:rPr>
            </w:pPr>
            <w:r>
              <w:rPr>
                <w:rFonts w:hint="eastAsia" w:ascii="宋体" w:hAnsi="宋体"/>
                <w:b/>
                <w:color w:val="auto"/>
                <w:sz w:val="24"/>
                <w:highlight w:val="none"/>
              </w:rPr>
              <w:t>名称</w:t>
            </w:r>
          </w:p>
        </w:tc>
        <w:tc>
          <w:tcPr>
            <w:tcW w:w="1115"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型号</w:t>
            </w:r>
            <w:r>
              <w:rPr>
                <w:rFonts w:ascii="宋体" w:hAnsi="宋体"/>
                <w:b/>
                <w:color w:val="auto"/>
                <w:sz w:val="24"/>
                <w:highlight w:val="none"/>
              </w:rPr>
              <w:t>/</w:t>
            </w:r>
          </w:p>
          <w:p>
            <w:pPr>
              <w:spacing w:line="360" w:lineRule="auto"/>
              <w:jc w:val="center"/>
              <w:rPr>
                <w:rFonts w:ascii="宋体"/>
                <w:b/>
                <w:color w:val="auto"/>
                <w:sz w:val="24"/>
                <w:highlight w:val="none"/>
              </w:rPr>
            </w:pPr>
            <w:r>
              <w:rPr>
                <w:rFonts w:hint="eastAsia" w:ascii="宋体" w:hAnsi="宋体"/>
                <w:b/>
                <w:color w:val="auto"/>
                <w:sz w:val="24"/>
                <w:highlight w:val="none"/>
              </w:rPr>
              <w:t>规格</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品牌</w:t>
            </w:r>
            <w:r>
              <w:rPr>
                <w:rFonts w:ascii="宋体" w:hAnsi="宋体"/>
                <w:b/>
                <w:color w:val="auto"/>
                <w:sz w:val="24"/>
                <w:highlight w:val="none"/>
              </w:rPr>
              <w:t>/</w:t>
            </w:r>
            <w:r>
              <w:rPr>
                <w:rFonts w:hint="eastAsia" w:ascii="宋体" w:hAnsi="宋体"/>
                <w:b/>
                <w:color w:val="auto"/>
                <w:sz w:val="24"/>
                <w:highlight w:val="none"/>
              </w:rPr>
              <w:t>生产厂家</w:t>
            </w:r>
            <w:r>
              <w:rPr>
                <w:rFonts w:ascii="宋体" w:hAnsi="宋体"/>
                <w:b/>
                <w:color w:val="auto"/>
                <w:sz w:val="24"/>
                <w:highlight w:val="none"/>
              </w:rPr>
              <w:t>/</w:t>
            </w:r>
            <w:r>
              <w:rPr>
                <w:rFonts w:hint="eastAsia" w:ascii="宋体" w:hAnsi="宋体"/>
                <w:b/>
                <w:color w:val="auto"/>
                <w:sz w:val="24"/>
                <w:highlight w:val="none"/>
              </w:rPr>
              <w:t>国别</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计量</w:t>
            </w:r>
          </w:p>
          <w:p>
            <w:pPr>
              <w:spacing w:line="360" w:lineRule="auto"/>
              <w:jc w:val="center"/>
              <w:rPr>
                <w:rFonts w:ascii="宋体"/>
                <w:b/>
                <w:color w:val="auto"/>
                <w:sz w:val="24"/>
                <w:highlight w:val="none"/>
              </w:rPr>
            </w:pPr>
            <w:r>
              <w:rPr>
                <w:rFonts w:hint="eastAsia" w:ascii="宋体" w:hAnsi="宋体"/>
                <w:b/>
                <w:color w:val="auto"/>
                <w:sz w:val="24"/>
                <w:highlight w:val="none"/>
              </w:rPr>
              <w:t>单位</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数量</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单价</w:t>
            </w:r>
          </w:p>
        </w:tc>
        <w:tc>
          <w:tcPr>
            <w:tcW w:w="1162"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每项</w:t>
            </w:r>
          </w:p>
          <w:p>
            <w:pPr>
              <w:spacing w:line="360" w:lineRule="auto"/>
              <w:jc w:val="center"/>
              <w:rPr>
                <w:rFonts w:ascii="宋体"/>
                <w:b/>
                <w:color w:val="auto"/>
                <w:sz w:val="24"/>
                <w:highlight w:val="none"/>
              </w:rPr>
            </w:pPr>
            <w:r>
              <w:rPr>
                <w:rFonts w:hint="eastAsia" w:ascii="宋体" w:hAnsi="宋体"/>
                <w:b/>
                <w:color w:val="auto"/>
                <w:sz w:val="24"/>
                <w:highlight w:val="none"/>
              </w:rPr>
              <w:t>总价</w:t>
            </w:r>
          </w:p>
        </w:tc>
        <w:tc>
          <w:tcPr>
            <w:tcW w:w="1171"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color w:val="auto"/>
                <w:sz w:val="24"/>
                <w:highlight w:val="none"/>
              </w:rPr>
            </w:pPr>
            <w:r>
              <w:rPr>
                <w:rFonts w:hint="eastAsia" w:ascii="宋体" w:hAnsi="宋体"/>
                <w:color w:val="auto"/>
                <w:sz w:val="24"/>
                <w:highlight w:val="none"/>
              </w:rPr>
              <w:t>合计总价</w:t>
            </w:r>
          </w:p>
        </w:tc>
        <w:tc>
          <w:tcPr>
            <w:tcW w:w="8088" w:type="dxa"/>
            <w:gridSpan w:val="7"/>
            <w:vAlign w:val="center"/>
          </w:tcPr>
          <w:p>
            <w:pPr>
              <w:spacing w:line="360" w:lineRule="auto"/>
              <w:rPr>
                <w:rFonts w:ascii="宋体"/>
                <w:color w:val="auto"/>
                <w:sz w:val="24"/>
                <w:highlight w:val="none"/>
                <w:u w:val="single"/>
              </w:rPr>
            </w:pPr>
            <w:r>
              <w:rPr>
                <w:rFonts w:hint="eastAsia" w:ascii="宋体" w:hAnsi="宋体"/>
                <w:color w:val="auto"/>
                <w:sz w:val="24"/>
                <w:highlight w:val="none"/>
              </w:rPr>
              <w:t>大写：      小写：      元</w:t>
            </w:r>
          </w:p>
        </w:tc>
      </w:tr>
    </w:tbl>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二、合同金额</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2.1 </w:t>
      </w:r>
      <w:r>
        <w:rPr>
          <w:rFonts w:hint="eastAsia" w:hAnsi="宋体"/>
          <w:color w:val="auto"/>
          <w:sz w:val="24"/>
          <w:szCs w:val="24"/>
          <w:highlight w:val="none"/>
        </w:rPr>
        <w:t>本合同金额为（大写）：</w:t>
      </w:r>
      <w:r>
        <w:rPr>
          <w:rFonts w:hAnsi="宋体"/>
          <w:color w:val="auto"/>
          <w:sz w:val="24"/>
          <w:szCs w:val="24"/>
          <w:highlight w:val="none"/>
        </w:rPr>
        <w:t>________________________</w:t>
      </w:r>
      <w:r>
        <w:rPr>
          <w:rFonts w:hint="eastAsia" w:hAnsi="宋体"/>
          <w:color w:val="auto"/>
          <w:sz w:val="24"/>
          <w:szCs w:val="24"/>
          <w:highlight w:val="none"/>
        </w:rPr>
        <w:t>元人民币。</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三、技术资料</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3.1</w:t>
      </w:r>
      <w:r>
        <w:rPr>
          <w:rFonts w:hint="eastAsia" w:hAnsi="宋体"/>
          <w:color w:val="auto"/>
          <w:sz w:val="24"/>
          <w:szCs w:val="24"/>
          <w:highlight w:val="none"/>
        </w:rPr>
        <w:t>乙方应按采购文件规定的时间向甲方提供使用货物的有关技术资料。</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3.2 </w:t>
      </w:r>
      <w:r>
        <w:rPr>
          <w:rFonts w:hint="eastAsia" w:hAnsi="宋体"/>
          <w:color w:val="auto"/>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8"/>
        <w:adjustRightInd w:val="0"/>
        <w:snapToGrid w:val="0"/>
        <w:spacing w:before="120" w:after="120" w:line="360" w:lineRule="auto"/>
        <w:ind w:left="50" w:firstLine="660"/>
        <w:rPr>
          <w:rFonts w:hAnsi="宋体"/>
          <w:b/>
          <w:color w:val="auto"/>
          <w:sz w:val="24"/>
          <w:szCs w:val="24"/>
          <w:highlight w:val="none"/>
        </w:rPr>
      </w:pPr>
      <w:r>
        <w:rPr>
          <w:rFonts w:hint="eastAsia" w:hAnsi="宋体"/>
          <w:b/>
          <w:color w:val="auto"/>
          <w:sz w:val="24"/>
          <w:szCs w:val="24"/>
          <w:highlight w:val="none"/>
        </w:rPr>
        <w:t>四、知识产权</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4.1</w:t>
      </w:r>
      <w:r>
        <w:rPr>
          <w:rFonts w:hint="eastAsia" w:hAnsi="宋体"/>
          <w:color w:val="auto"/>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8"/>
        <w:adjustRightInd w:val="0"/>
        <w:snapToGrid w:val="0"/>
        <w:spacing w:before="120" w:after="120" w:line="360" w:lineRule="auto"/>
        <w:ind w:firstLine="660"/>
        <w:rPr>
          <w:rFonts w:hAnsi="宋体"/>
          <w:color w:val="auto"/>
          <w:sz w:val="24"/>
          <w:szCs w:val="24"/>
          <w:highlight w:val="none"/>
          <w:u w:val="single"/>
        </w:rPr>
      </w:pPr>
      <w:r>
        <w:rPr>
          <w:rFonts w:hint="eastAsia" w:hAnsi="宋体"/>
          <w:b/>
          <w:color w:val="auto"/>
          <w:sz w:val="24"/>
          <w:szCs w:val="24"/>
          <w:highlight w:val="none"/>
        </w:rPr>
        <w:t>五、产权担保</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5.1 </w:t>
      </w:r>
      <w:r>
        <w:rPr>
          <w:rFonts w:hint="eastAsia" w:hAnsi="宋体"/>
          <w:color w:val="auto"/>
          <w:sz w:val="24"/>
          <w:szCs w:val="24"/>
          <w:highlight w:val="none"/>
        </w:rPr>
        <w:t>乙方保证所交付的货物的所有权完全属于乙方且无任何抵押、查封等产权瑕疵。</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六、履约保证金</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6.1 </w:t>
      </w:r>
      <w:r>
        <w:rPr>
          <w:rFonts w:hint="eastAsia" w:hAnsi="宋体"/>
          <w:color w:val="auto"/>
          <w:sz w:val="24"/>
          <w:szCs w:val="24"/>
          <w:highlight w:val="none"/>
        </w:rPr>
        <w:t>乙方交纳人民币</w:t>
      </w:r>
      <w:r>
        <w:rPr>
          <w:rFonts w:hAnsi="宋体"/>
          <w:color w:val="auto"/>
          <w:sz w:val="24"/>
          <w:szCs w:val="24"/>
          <w:highlight w:val="none"/>
        </w:rPr>
        <w:t>_____</w:t>
      </w:r>
      <w:r>
        <w:rPr>
          <w:rFonts w:hint="eastAsia" w:hAnsi="宋体"/>
          <w:color w:val="auto"/>
          <w:sz w:val="24"/>
          <w:szCs w:val="24"/>
          <w:highlight w:val="none"/>
        </w:rPr>
        <w:t>元作为本合同的履约保证金。</w:t>
      </w:r>
    </w:p>
    <w:p>
      <w:pPr>
        <w:adjustRightInd w:val="0"/>
        <w:snapToGrid w:val="0"/>
        <w:spacing w:beforeLines="50" w:afterLines="50" w:line="360" w:lineRule="auto"/>
        <w:ind w:firstLine="480"/>
        <w:rPr>
          <w:rFonts w:ascii="宋体" w:cs="Courier New"/>
          <w:b/>
          <w:color w:val="auto"/>
          <w:sz w:val="24"/>
          <w:highlight w:val="none"/>
        </w:rPr>
      </w:pPr>
      <w:r>
        <w:rPr>
          <w:rFonts w:hint="eastAsia" w:ascii="宋体" w:hAnsi="宋体" w:cs="Courier New"/>
          <w:b/>
          <w:color w:val="auto"/>
          <w:sz w:val="24"/>
          <w:highlight w:val="none"/>
        </w:rPr>
        <w:t>七</w:t>
      </w:r>
      <w:r>
        <w:rPr>
          <w:rFonts w:ascii="宋体" w:cs="Courier New"/>
          <w:b/>
          <w:color w:val="auto"/>
          <w:sz w:val="24"/>
          <w:highlight w:val="none"/>
        </w:rPr>
        <w:t>.</w:t>
      </w:r>
      <w:r>
        <w:rPr>
          <w:rFonts w:hint="eastAsia" w:ascii="宋体" w:hAnsi="宋体" w:cs="Courier New"/>
          <w:b/>
          <w:color w:val="auto"/>
          <w:sz w:val="24"/>
          <w:highlight w:val="none"/>
        </w:rPr>
        <w:t>转包或分包</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7.1</w:t>
      </w:r>
      <w:r>
        <w:rPr>
          <w:rFonts w:hint="eastAsia" w:hAnsi="宋体"/>
          <w:color w:val="auto"/>
          <w:sz w:val="24"/>
          <w:szCs w:val="24"/>
          <w:highlight w:val="none"/>
        </w:rPr>
        <w:t>本合同范围的货物，应由乙方直接供应，不得转让他人供应；</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7.2</w:t>
      </w:r>
      <w:r>
        <w:rPr>
          <w:rFonts w:hint="eastAsia" w:hAnsi="宋体"/>
          <w:color w:val="auto"/>
          <w:sz w:val="24"/>
          <w:szCs w:val="24"/>
          <w:highlight w:val="none"/>
        </w:rPr>
        <w:t>除非得到甲方的书面同意，乙方不得部分分包给他人供应。</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7.3</w:t>
      </w:r>
      <w:r>
        <w:rPr>
          <w:rFonts w:hint="eastAsia" w:hAnsi="宋体"/>
          <w:color w:val="auto"/>
          <w:sz w:val="24"/>
          <w:szCs w:val="24"/>
          <w:highlight w:val="none"/>
        </w:rPr>
        <w:t>如有转让和未经甲方同意的分包行为，甲方有权给予终止合同。</w:t>
      </w:r>
    </w:p>
    <w:p>
      <w:pPr>
        <w:pStyle w:val="8"/>
        <w:adjustRightInd w:val="0"/>
        <w:snapToGrid w:val="0"/>
        <w:spacing w:before="120" w:after="120" w:line="360" w:lineRule="auto"/>
        <w:ind w:firstLine="660"/>
        <w:rPr>
          <w:rFonts w:hAnsi="宋体"/>
          <w:color w:val="auto"/>
          <w:sz w:val="24"/>
          <w:szCs w:val="24"/>
          <w:highlight w:val="none"/>
        </w:rPr>
      </w:pPr>
      <w:r>
        <w:rPr>
          <w:rFonts w:hint="eastAsia" w:hAnsi="宋体"/>
          <w:b/>
          <w:color w:val="auto"/>
          <w:sz w:val="24"/>
          <w:szCs w:val="24"/>
          <w:highlight w:val="none"/>
        </w:rPr>
        <w:t>八、质保期</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8.1 </w:t>
      </w:r>
      <w:r>
        <w:rPr>
          <w:rFonts w:hint="eastAsia" w:hAnsi="宋体"/>
          <w:color w:val="auto"/>
          <w:sz w:val="24"/>
          <w:szCs w:val="24"/>
          <w:highlight w:val="none"/>
        </w:rPr>
        <w:t>质保期3年。（自交货验收合格之日起计）</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九、交货期、交货方式及交货地点</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9.1 </w:t>
      </w:r>
      <w:r>
        <w:rPr>
          <w:rFonts w:hint="eastAsia" w:hAnsi="宋体"/>
          <w:color w:val="auto"/>
          <w:sz w:val="24"/>
          <w:szCs w:val="24"/>
          <w:highlight w:val="none"/>
        </w:rPr>
        <w:t>交货期：</w:t>
      </w:r>
      <w:r>
        <w:rPr>
          <w:rFonts w:hAnsi="宋体"/>
          <w:color w:val="auto"/>
          <w:sz w:val="24"/>
          <w:szCs w:val="24"/>
          <w:highlight w:val="none"/>
        </w:rPr>
        <w:t>_________</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9.2 </w:t>
      </w:r>
      <w:r>
        <w:rPr>
          <w:rFonts w:hint="eastAsia" w:hAnsi="宋体"/>
          <w:color w:val="auto"/>
          <w:sz w:val="24"/>
          <w:szCs w:val="24"/>
          <w:highlight w:val="none"/>
        </w:rPr>
        <w:t>交货方式：</w:t>
      </w:r>
      <w:r>
        <w:rPr>
          <w:rFonts w:hAnsi="宋体"/>
          <w:color w:val="auto"/>
          <w:sz w:val="24"/>
          <w:szCs w:val="24"/>
          <w:highlight w:val="none"/>
        </w:rPr>
        <w:t>_________</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9.3 </w:t>
      </w:r>
      <w:r>
        <w:rPr>
          <w:rFonts w:hint="eastAsia" w:hAnsi="宋体"/>
          <w:color w:val="auto"/>
          <w:sz w:val="24"/>
          <w:szCs w:val="24"/>
          <w:highlight w:val="none"/>
        </w:rPr>
        <w:t>交货地点：用户单位地点或用户指定地点。</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十、货款支付</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10.1</w:t>
      </w:r>
      <w:r>
        <w:rPr>
          <w:rFonts w:hint="eastAsia" w:hAnsi="宋体"/>
          <w:color w:val="auto"/>
          <w:sz w:val="24"/>
          <w:szCs w:val="24"/>
          <w:highlight w:val="none"/>
        </w:rPr>
        <w:t>付款方式：针对国内供应货物，签订合同后，20日内预付合同金额的30%，全部货物交货并验收合格后，凭验收凭证和货物验收合格等文件20内支付至合同金额的100%，质量保证金返还5%，剩余5%质量保证金质保期满后，</w:t>
      </w:r>
      <w:r>
        <w:rPr>
          <w:rFonts w:hAnsi="宋体"/>
          <w:color w:val="auto"/>
          <w:sz w:val="24"/>
          <w:szCs w:val="24"/>
          <w:highlight w:val="none"/>
        </w:rPr>
        <w:t>经有关单位确认无质量问题后，一次性</w:t>
      </w:r>
      <w:r>
        <w:rPr>
          <w:rFonts w:hint="eastAsia" w:hAnsi="宋体"/>
          <w:color w:val="auto"/>
          <w:sz w:val="24"/>
          <w:szCs w:val="24"/>
          <w:highlight w:val="none"/>
          <w:lang w:val="en-US" w:eastAsia="zh-CN"/>
        </w:rPr>
        <w:t>无息付清</w:t>
      </w:r>
      <w:r>
        <w:rPr>
          <w:rFonts w:hAnsi="宋体"/>
          <w:color w:val="auto"/>
          <w:sz w:val="24"/>
          <w:szCs w:val="24"/>
          <w:highlight w:val="none"/>
        </w:rPr>
        <w:t>。具体内容以最终签署的合同约定为准。</w:t>
      </w:r>
    </w:p>
    <w:p>
      <w:pPr>
        <w:pStyle w:val="8"/>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针对国外供应货物（进口货物），由外贸公司开具全额发票，外贸合同中采用100%信用证，90%见单即付，10%凭最终用户方签字和盖章的验收报告支付。</w:t>
      </w:r>
    </w:p>
    <w:p>
      <w:pPr>
        <w:ind w:firstLine="482" w:firstLineChars="200"/>
        <w:rPr>
          <w:rFonts w:ascii="宋体"/>
          <w:b/>
          <w:color w:val="auto"/>
          <w:sz w:val="24"/>
          <w:highlight w:val="none"/>
        </w:rPr>
      </w:pPr>
      <w:r>
        <w:rPr>
          <w:rFonts w:hint="eastAsia" w:ascii="宋体" w:hAnsi="宋体"/>
          <w:b/>
          <w:color w:val="auto"/>
          <w:sz w:val="24"/>
          <w:highlight w:val="none"/>
        </w:rPr>
        <w:t>十一、税</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11.1</w:t>
      </w:r>
      <w:r>
        <w:rPr>
          <w:rFonts w:hint="eastAsia" w:hAnsi="宋体"/>
          <w:color w:val="auto"/>
          <w:sz w:val="24"/>
          <w:szCs w:val="24"/>
          <w:highlight w:val="none"/>
        </w:rPr>
        <w:t>发票要求：针对国内供货的货物，乙方开具合同全额“增值税专用发票”。</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11.2</w:t>
      </w:r>
      <w:r>
        <w:rPr>
          <w:rFonts w:hint="eastAsia" w:hAnsi="宋体"/>
          <w:color w:val="auto"/>
          <w:sz w:val="24"/>
          <w:szCs w:val="24"/>
          <w:highlight w:val="none"/>
        </w:rPr>
        <w:t>本合同执行中相关的一切税费均由乙方负担。</w:t>
      </w:r>
    </w:p>
    <w:p>
      <w:pPr>
        <w:pStyle w:val="8"/>
        <w:adjustRightInd w:val="0"/>
        <w:snapToGrid w:val="0"/>
        <w:spacing w:before="120" w:after="120" w:line="360" w:lineRule="auto"/>
        <w:ind w:left="1" w:firstLine="660"/>
        <w:rPr>
          <w:rFonts w:hAnsi="宋体"/>
          <w:color w:val="auto"/>
          <w:sz w:val="24"/>
          <w:szCs w:val="24"/>
          <w:highlight w:val="none"/>
        </w:rPr>
      </w:pPr>
      <w:r>
        <w:rPr>
          <w:rFonts w:hint="eastAsia" w:hAnsi="宋体"/>
          <w:b/>
          <w:color w:val="auto"/>
          <w:sz w:val="24"/>
          <w:szCs w:val="24"/>
          <w:highlight w:val="none"/>
        </w:rPr>
        <w:t>十二、质量保证及售后服务</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12.1 </w:t>
      </w:r>
      <w:r>
        <w:rPr>
          <w:rFonts w:hint="eastAsia" w:hAnsi="宋体"/>
          <w:color w:val="auto"/>
          <w:sz w:val="24"/>
          <w:szCs w:val="24"/>
          <w:highlight w:val="none"/>
        </w:rPr>
        <w:t>乙方应按采购文件规定的货物性能、技术要求、质量标准向甲方提供未经使用的全新产品。</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12.2 </w:t>
      </w:r>
      <w:r>
        <w:rPr>
          <w:rFonts w:hint="eastAsia" w:hAnsi="宋体"/>
          <w:color w:val="auto"/>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）更换：由乙方承担所发生的全部费用。</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）贬值处理：由甲乙双方合议定价。</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）退货处理：乙方应退还甲方支付的合同款，同时应承担该货物的直接费用（运输、保险、检验、货款利息及银行手续费等）。</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12.3 </w:t>
      </w:r>
      <w:r>
        <w:rPr>
          <w:rFonts w:hint="eastAsia" w:hAnsi="宋体"/>
          <w:color w:val="auto"/>
          <w:sz w:val="24"/>
          <w:szCs w:val="24"/>
          <w:highlight w:val="none"/>
        </w:rPr>
        <w:t>如在使用过程中发生质量问题，乙方在接到甲方通知后在小时内到达甲方现场。</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12.4 </w:t>
      </w:r>
      <w:r>
        <w:rPr>
          <w:rFonts w:hint="eastAsia" w:hAnsi="宋体"/>
          <w:color w:val="auto"/>
          <w:sz w:val="24"/>
          <w:szCs w:val="24"/>
          <w:highlight w:val="none"/>
        </w:rPr>
        <w:t>在质保期内，乙方应对货物出现的质量及安全问题负责处理解决并承担一切费用。</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12.5</w:t>
      </w:r>
      <w:r>
        <w:rPr>
          <w:rFonts w:hint="eastAsia" w:hAnsi="宋体"/>
          <w:color w:val="auto"/>
          <w:sz w:val="24"/>
          <w:szCs w:val="24"/>
          <w:highlight w:val="none"/>
        </w:rPr>
        <w:t>上述的货物免费保修期为</w:t>
      </w:r>
      <w:r>
        <w:rPr>
          <w:rFonts w:hint="eastAsia" w:hAnsi="宋体"/>
          <w:color w:val="auto"/>
          <w:sz w:val="24"/>
          <w:szCs w:val="24"/>
          <w:highlight w:val="none"/>
          <w:u w:val="single"/>
        </w:rPr>
        <w:t xml:space="preserve">   </w:t>
      </w:r>
      <w:r>
        <w:rPr>
          <w:rFonts w:hint="eastAsia" w:hAnsi="宋体"/>
          <w:color w:val="auto"/>
          <w:sz w:val="24"/>
          <w:szCs w:val="24"/>
          <w:highlight w:val="none"/>
        </w:rPr>
        <w:t>年，因人为因素出现的故障不在免费保修范围内。超过保修期的机器设备，终生维修，维修时只收部件成本费。</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十三、调试和验收</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13.1 </w:t>
      </w:r>
      <w:r>
        <w:rPr>
          <w:rFonts w:hint="eastAsia" w:hAnsi="宋体"/>
          <w:color w:val="auto"/>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13.2 </w:t>
      </w:r>
      <w:r>
        <w:rPr>
          <w:rFonts w:hint="eastAsia" w:hAnsi="宋体"/>
          <w:color w:val="auto"/>
          <w:sz w:val="24"/>
          <w:szCs w:val="24"/>
          <w:highlight w:val="none"/>
        </w:rPr>
        <w:t>乙方交货前应对产品作出全面检查和对验收文件进行整理，并列出清单，作为甲方收货验收和使用的技术条件依据，检验的结果应随货物交甲方。</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13.3 </w:t>
      </w:r>
      <w:r>
        <w:rPr>
          <w:rFonts w:hint="eastAsia" w:hAnsi="宋体"/>
          <w:color w:val="auto"/>
          <w:sz w:val="24"/>
          <w:szCs w:val="24"/>
          <w:highlight w:val="none"/>
        </w:rPr>
        <w:t>甲方对乙方提供的货物在使用前进行调试时，乙方需负责安装并培训甲方的使用操作人员，并协助甲方一起调试，直到符合技术要求，甲方才做最终验收。</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13.4 </w:t>
      </w:r>
      <w:r>
        <w:rPr>
          <w:rFonts w:hint="eastAsia" w:hAnsi="宋体"/>
          <w:color w:val="auto"/>
          <w:sz w:val="24"/>
          <w:szCs w:val="24"/>
          <w:highlight w:val="none"/>
        </w:rPr>
        <w:t>对技术复杂的货物，甲方可请国家认可的专业检测机构参与初步验收及最终验收，并由其出具质量检测报告。</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13.5 </w:t>
      </w:r>
      <w:r>
        <w:rPr>
          <w:rFonts w:hint="eastAsia" w:hAnsi="宋体"/>
          <w:color w:val="auto"/>
          <w:sz w:val="24"/>
          <w:szCs w:val="24"/>
          <w:highlight w:val="none"/>
        </w:rPr>
        <w:t>验收时乙方必须在现场，验收完毕后作出验收结果报告，验收报告须经甲方最终用户签字和部门盖章。</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十四、货物包装、发运及运输</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14.1 </w:t>
      </w:r>
      <w:r>
        <w:rPr>
          <w:rFonts w:hint="eastAsia" w:hAnsi="宋体"/>
          <w:color w:val="auto"/>
          <w:sz w:val="24"/>
          <w:szCs w:val="24"/>
          <w:highlight w:val="none"/>
        </w:rPr>
        <w:t>乙方应在货物发运前对其进行满足运输距离、防潮、防震、防锈和防破损装卸等要求包装，以保证货物安全运达甲方指定地点。</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14.2 </w:t>
      </w:r>
      <w:r>
        <w:rPr>
          <w:rFonts w:hint="eastAsia" w:hAnsi="宋体"/>
          <w:color w:val="auto"/>
          <w:sz w:val="24"/>
          <w:szCs w:val="24"/>
          <w:highlight w:val="none"/>
        </w:rPr>
        <w:t>使用说明书、质量检验证明书、随配附件和工具以及清单一并附于货物内。</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14.3 </w:t>
      </w:r>
      <w:r>
        <w:rPr>
          <w:rFonts w:hint="eastAsia" w:hAnsi="宋体"/>
          <w:color w:val="auto"/>
          <w:sz w:val="24"/>
          <w:szCs w:val="24"/>
          <w:highlight w:val="none"/>
        </w:rPr>
        <w:t>乙方在货物发运手续办理完毕后</w:t>
      </w:r>
      <w:r>
        <w:rPr>
          <w:rFonts w:hAnsi="宋体"/>
          <w:color w:val="auto"/>
          <w:sz w:val="24"/>
          <w:szCs w:val="24"/>
          <w:highlight w:val="none"/>
        </w:rPr>
        <w:t>24</w:t>
      </w:r>
      <w:r>
        <w:rPr>
          <w:rFonts w:hint="eastAsia" w:hAnsi="宋体"/>
          <w:color w:val="auto"/>
          <w:sz w:val="24"/>
          <w:szCs w:val="24"/>
          <w:highlight w:val="none"/>
        </w:rPr>
        <w:t>小时内或货到甲方</w:t>
      </w:r>
      <w:r>
        <w:rPr>
          <w:rFonts w:hAnsi="宋体"/>
          <w:color w:val="auto"/>
          <w:sz w:val="24"/>
          <w:szCs w:val="24"/>
          <w:highlight w:val="none"/>
        </w:rPr>
        <w:t>48</w:t>
      </w:r>
      <w:r>
        <w:rPr>
          <w:rFonts w:hint="eastAsia" w:hAnsi="宋体"/>
          <w:color w:val="auto"/>
          <w:sz w:val="24"/>
          <w:szCs w:val="24"/>
          <w:highlight w:val="none"/>
        </w:rPr>
        <w:t>小时前通知甲方，以准备接货。</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14.4 </w:t>
      </w:r>
      <w:r>
        <w:rPr>
          <w:rFonts w:hint="eastAsia" w:hAnsi="宋体"/>
          <w:color w:val="auto"/>
          <w:sz w:val="24"/>
          <w:szCs w:val="24"/>
          <w:highlight w:val="none"/>
        </w:rPr>
        <w:t>货物在交付甲方前发生的风险均由乙方负责。</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14.5 </w:t>
      </w:r>
      <w:r>
        <w:rPr>
          <w:rFonts w:hint="eastAsia" w:hAnsi="宋体"/>
          <w:color w:val="auto"/>
          <w:sz w:val="24"/>
          <w:szCs w:val="24"/>
          <w:highlight w:val="none"/>
        </w:rPr>
        <w:t>货物在规定的交付期限内由乙方送达甲方指定的地点并经甲方验收合格视为交付，乙方同时需通知甲方货物已送达。</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十五、违约责任</w:t>
      </w:r>
    </w:p>
    <w:p>
      <w:pPr>
        <w:pStyle w:val="8"/>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15.1</w:t>
      </w:r>
      <w:r>
        <w:rPr>
          <w:rFonts w:hint="eastAsia" w:hAnsi="宋体"/>
          <w:color w:val="auto"/>
          <w:sz w:val="24"/>
          <w:szCs w:val="24"/>
          <w:highlight w:val="none"/>
        </w:rPr>
        <w:t>乙方逾期交付货物的，乙方应按逾期交货总额每日千分之六向甲方支付违约金，由甲方从待付货款中扣除。逾期超过约定日期</w:t>
      </w:r>
      <w:r>
        <w:rPr>
          <w:rFonts w:hAnsi="宋体"/>
          <w:color w:val="auto"/>
          <w:sz w:val="24"/>
          <w:szCs w:val="24"/>
          <w:highlight w:val="none"/>
        </w:rPr>
        <w:t>10</w:t>
      </w:r>
      <w:r>
        <w:rPr>
          <w:rFonts w:hint="eastAsia" w:hAnsi="宋体"/>
          <w:color w:val="auto"/>
          <w:sz w:val="24"/>
          <w:szCs w:val="24"/>
          <w:highlight w:val="none"/>
        </w:rPr>
        <w:t>个工作日不能交货的，甲方可解除本合同。乙方因逾期交货或因其他违约行为导致甲方解除合同的，乙方应向甲方支付合同总值</w:t>
      </w:r>
      <w:r>
        <w:rPr>
          <w:rFonts w:hAnsi="宋体"/>
          <w:color w:val="auto"/>
          <w:sz w:val="24"/>
          <w:szCs w:val="24"/>
          <w:highlight w:val="none"/>
        </w:rPr>
        <w:t>5%</w:t>
      </w:r>
      <w:r>
        <w:rPr>
          <w:rFonts w:hint="eastAsia" w:hAnsi="宋体"/>
          <w:color w:val="auto"/>
          <w:sz w:val="24"/>
          <w:szCs w:val="24"/>
          <w:highlight w:val="none"/>
        </w:rPr>
        <w:t>的违约金，如造成甲方损失超过违约金的，超出部分由乙方继续承担赔偿责任。</w:t>
      </w:r>
    </w:p>
    <w:p>
      <w:pPr>
        <w:pStyle w:val="8"/>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15.2</w:t>
      </w:r>
      <w:r>
        <w:rPr>
          <w:rFonts w:hint="eastAsia" w:hAnsi="宋体"/>
          <w:color w:val="auto"/>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十六、廉政条款</w:t>
      </w:r>
    </w:p>
    <w:p>
      <w:pPr>
        <w:pStyle w:val="8"/>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16.1</w:t>
      </w:r>
      <w:r>
        <w:rPr>
          <w:rFonts w:hint="eastAsia" w:hAnsi="宋体"/>
          <w:color w:val="auto"/>
          <w:sz w:val="24"/>
          <w:szCs w:val="24"/>
          <w:highlight w:val="none"/>
        </w:rPr>
        <w:t>乙方必须支持甲方的廉政建设，不得向甲方相关人员提供金钱和物质上的好处，一经发现处以合同金额</w:t>
      </w:r>
      <w:r>
        <w:rPr>
          <w:rFonts w:hAnsi="宋体"/>
          <w:color w:val="auto"/>
          <w:sz w:val="24"/>
          <w:szCs w:val="24"/>
          <w:highlight w:val="none"/>
        </w:rPr>
        <w:t>20%</w:t>
      </w:r>
      <w:r>
        <w:rPr>
          <w:rFonts w:hint="eastAsia" w:hAnsi="宋体"/>
          <w:color w:val="auto"/>
          <w:sz w:val="24"/>
          <w:szCs w:val="24"/>
          <w:highlight w:val="none"/>
        </w:rPr>
        <w:t>的罚款。</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十七、不可抗力事件处理</w:t>
      </w:r>
    </w:p>
    <w:p>
      <w:pPr>
        <w:pStyle w:val="8"/>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17.1 </w:t>
      </w:r>
      <w:r>
        <w:rPr>
          <w:rFonts w:hint="eastAsia" w:hAnsi="宋体"/>
          <w:color w:val="auto"/>
          <w:sz w:val="24"/>
          <w:szCs w:val="24"/>
          <w:highlight w:val="none"/>
        </w:rPr>
        <w:t>在合同有效期内，任何一方因不可抗力事件导致不能履行合同，则合同履行期可延长，其延长期与不可抗力影响期相同。</w:t>
      </w:r>
    </w:p>
    <w:p>
      <w:pPr>
        <w:pStyle w:val="8"/>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17.2 </w:t>
      </w:r>
      <w:r>
        <w:rPr>
          <w:rFonts w:hint="eastAsia" w:hAnsi="宋体"/>
          <w:color w:val="auto"/>
          <w:sz w:val="24"/>
          <w:szCs w:val="24"/>
          <w:highlight w:val="none"/>
        </w:rPr>
        <w:t>不可抗力事件发生后，应立即通知对方，并寄送有关权威机构出具的证明。</w:t>
      </w:r>
    </w:p>
    <w:p>
      <w:pPr>
        <w:pStyle w:val="8"/>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17.3 </w:t>
      </w:r>
      <w:r>
        <w:rPr>
          <w:rFonts w:hint="eastAsia" w:hAnsi="宋体"/>
          <w:color w:val="auto"/>
          <w:sz w:val="24"/>
          <w:szCs w:val="24"/>
          <w:highlight w:val="none"/>
        </w:rPr>
        <w:t>不可抗力事件延续</w:t>
      </w:r>
      <w:r>
        <w:rPr>
          <w:rFonts w:hAnsi="宋体"/>
          <w:color w:val="auto"/>
          <w:sz w:val="24"/>
          <w:szCs w:val="24"/>
          <w:highlight w:val="none"/>
        </w:rPr>
        <w:t>30</w:t>
      </w:r>
      <w:r>
        <w:rPr>
          <w:rFonts w:hint="eastAsia" w:hAnsi="宋体"/>
          <w:color w:val="auto"/>
          <w:sz w:val="24"/>
          <w:szCs w:val="24"/>
          <w:highlight w:val="none"/>
        </w:rPr>
        <w:t>天以上，双方应通过友好协商，确定是否继续履行合同。</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十八、诉讼</w:t>
      </w:r>
    </w:p>
    <w:p>
      <w:pPr>
        <w:pStyle w:val="8"/>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18.1 </w:t>
      </w:r>
      <w:r>
        <w:rPr>
          <w:rFonts w:hint="eastAsia" w:hAnsi="宋体"/>
          <w:color w:val="auto"/>
          <w:sz w:val="24"/>
          <w:szCs w:val="24"/>
          <w:highlight w:val="none"/>
        </w:rPr>
        <w:t>双方在执行合同中所发生的一切争议，应通过协商解决。如协商不成，可向合同签订地法院起诉，合同签订地在此约定为南京市。</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十九、合同文件的优先顺序</w:t>
      </w:r>
      <w:r>
        <w:rPr>
          <w:rFonts w:hint="eastAsia" w:hAnsi="宋体"/>
          <w:color w:val="auto"/>
          <w:sz w:val="24"/>
          <w:szCs w:val="24"/>
          <w:highlight w:val="none"/>
        </w:rPr>
        <w:t xml:space="preserve"> </w:t>
      </w:r>
    </w:p>
    <w:p>
      <w:pPr>
        <w:pStyle w:val="8"/>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 xml:space="preserve">组成合同的各项文件应互相解释，互为说明。除专用合同条款另有约定外，解释合同文件的优先顺序如下： </w:t>
      </w:r>
    </w:p>
    <w:p>
      <w:pPr>
        <w:pStyle w:val="8"/>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 xml:space="preserve">（1）合同协议书； </w:t>
      </w:r>
    </w:p>
    <w:p>
      <w:pPr>
        <w:pStyle w:val="8"/>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（2）中标通知书；</w:t>
      </w:r>
    </w:p>
    <w:p>
      <w:pPr>
        <w:pStyle w:val="8"/>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（3）招标文件；</w:t>
      </w:r>
    </w:p>
    <w:p>
      <w:pPr>
        <w:pStyle w:val="8"/>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（4）投标函及其附录（如果有）；</w:t>
      </w:r>
    </w:p>
    <w:p>
      <w:pPr>
        <w:pStyle w:val="8"/>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（5）专用合同条款及其附件；</w:t>
      </w:r>
    </w:p>
    <w:p>
      <w:pPr>
        <w:pStyle w:val="8"/>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 xml:space="preserve">（6）通用合同条款； </w:t>
      </w:r>
    </w:p>
    <w:p>
      <w:pPr>
        <w:pStyle w:val="8"/>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（7）技术标准和要求；</w:t>
      </w:r>
    </w:p>
    <w:p>
      <w:pPr>
        <w:pStyle w:val="8"/>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（8）其他合同文件。</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二十、合同生效及其它</w:t>
      </w:r>
    </w:p>
    <w:p>
      <w:pPr>
        <w:pStyle w:val="8"/>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19.1 </w:t>
      </w:r>
      <w:r>
        <w:rPr>
          <w:rFonts w:hint="eastAsia" w:hAnsi="宋体"/>
          <w:color w:val="auto"/>
          <w:sz w:val="24"/>
          <w:szCs w:val="24"/>
          <w:highlight w:val="none"/>
        </w:rPr>
        <w:t>合同经双方法定代表人或授权委托代表人签字并加盖单位公章后生效。</w:t>
      </w:r>
    </w:p>
    <w:p>
      <w:pPr>
        <w:pStyle w:val="8"/>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19.2</w:t>
      </w:r>
      <w:r>
        <w:rPr>
          <w:rFonts w:hint="eastAsia" w:hAnsi="宋体"/>
          <w:color w:val="auto"/>
          <w:sz w:val="24"/>
          <w:szCs w:val="24"/>
          <w:highlight w:val="none"/>
        </w:rPr>
        <w:t>本合同未尽事宜，遵照《合同法》有关条文执行。</w:t>
      </w:r>
    </w:p>
    <w:p>
      <w:pPr>
        <w:pStyle w:val="8"/>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19.3 </w:t>
      </w:r>
      <w:r>
        <w:rPr>
          <w:rFonts w:hint="eastAsia" w:hAnsi="宋体"/>
          <w:color w:val="auto"/>
          <w:sz w:val="24"/>
          <w:szCs w:val="24"/>
          <w:highlight w:val="none"/>
        </w:rPr>
        <w:t>本合同正本一式四份，具有同等法律效力，甲方、乙方各执两份。</w:t>
      </w:r>
    </w:p>
    <w:p>
      <w:pPr>
        <w:pStyle w:val="8"/>
        <w:adjustRightInd w:val="0"/>
        <w:snapToGrid w:val="0"/>
        <w:spacing w:before="120" w:after="120" w:line="360" w:lineRule="auto"/>
        <w:ind w:left="420" w:leftChars="200" w:firstLine="240" w:firstLineChars="100"/>
        <w:rPr>
          <w:rFonts w:hAnsi="宋体"/>
          <w:color w:val="auto"/>
          <w:sz w:val="24"/>
          <w:szCs w:val="24"/>
          <w:highlight w:val="none"/>
        </w:rPr>
      </w:pPr>
      <w:r>
        <w:rPr>
          <w:rFonts w:hint="eastAsia" w:hAnsi="宋体"/>
          <w:color w:val="auto"/>
          <w:sz w:val="24"/>
          <w:szCs w:val="24"/>
          <w:highlight w:val="none"/>
        </w:rPr>
        <w:t>甲方：乙方：</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地址：地址：</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法定代表人或授权代表：</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项目负责人</w:t>
      </w:r>
      <w:r>
        <w:rPr>
          <w:rFonts w:hAnsi="宋体"/>
          <w:color w:val="auto"/>
          <w:sz w:val="24"/>
          <w:szCs w:val="24"/>
          <w:highlight w:val="none"/>
        </w:rPr>
        <w:t xml:space="preserve">:                              </w:t>
      </w:r>
      <w:r>
        <w:rPr>
          <w:rFonts w:hint="eastAsia" w:hAnsi="宋体"/>
          <w:color w:val="auto"/>
          <w:sz w:val="24"/>
          <w:szCs w:val="24"/>
          <w:highlight w:val="none"/>
        </w:rPr>
        <w:t>法定代表人或授权代表：</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项目联系人</w:t>
      </w:r>
      <w:r>
        <w:rPr>
          <w:rFonts w:hAnsi="宋体"/>
          <w:color w:val="auto"/>
          <w:sz w:val="24"/>
          <w:szCs w:val="24"/>
          <w:highlight w:val="none"/>
        </w:rPr>
        <w:t>:</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联系电话：联系电话：</w:t>
      </w:r>
    </w:p>
    <w:p>
      <w:pPr>
        <w:pStyle w:val="8"/>
        <w:adjustRightInd w:val="0"/>
        <w:snapToGrid w:val="0"/>
        <w:spacing w:before="120" w:after="120" w:line="360" w:lineRule="auto"/>
        <w:ind w:firstLine="767"/>
        <w:rPr>
          <w:rFonts w:cs="仿宋"/>
          <w:color w:val="auto"/>
          <w:sz w:val="24"/>
          <w:highlight w:val="none"/>
        </w:rPr>
      </w:pPr>
      <w:r>
        <w:rPr>
          <w:rFonts w:hint="eastAsia"/>
          <w:color w:val="auto"/>
          <w:sz w:val="28"/>
          <w:szCs w:val="28"/>
          <w:highlight w:val="none"/>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Open Sans 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b/>
      </w:rPr>
      <w:fldChar w:fldCharType="begin"/>
    </w:r>
    <w:r>
      <w:rPr>
        <w:b/>
      </w:rPr>
      <w:instrText xml:space="preserve">PAGE  \* Arabic  \* MERGEFORMAT</w:instrText>
    </w:r>
    <w:r>
      <w:rPr>
        <w:b/>
      </w:rPr>
      <w:fldChar w:fldCharType="separate"/>
    </w:r>
    <w:r>
      <w:rPr>
        <w:b/>
        <w:lang w:val="zh-CN"/>
      </w:rPr>
      <w:t>18</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24</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cs="宋体"/>
        <w:b/>
        <w:bCs/>
        <w:kern w:val="0"/>
        <w:sz w:val="15"/>
        <w:szCs w:val="15"/>
      </w:rPr>
    </w:pPr>
    <w:r>
      <w:rPr>
        <w:rFonts w:hint="eastAsia" w:ascii="宋体" w:hAnsi="宋体" w:cs="宋体"/>
        <w:b/>
        <w:bCs/>
        <w:kern w:val="0"/>
        <w:sz w:val="15"/>
        <w:szCs w:val="15"/>
      </w:rPr>
      <w:t>南京信息工程大学财务处20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201076"/>
    <w:rsid w:val="0000144D"/>
    <w:rsid w:val="00002B2D"/>
    <w:rsid w:val="00003305"/>
    <w:rsid w:val="00003606"/>
    <w:rsid w:val="000054CA"/>
    <w:rsid w:val="0000571D"/>
    <w:rsid w:val="00010CA4"/>
    <w:rsid w:val="00022B05"/>
    <w:rsid w:val="00023D12"/>
    <w:rsid w:val="00026E76"/>
    <w:rsid w:val="0002772F"/>
    <w:rsid w:val="00030600"/>
    <w:rsid w:val="00030DF4"/>
    <w:rsid w:val="000317FC"/>
    <w:rsid w:val="000319F3"/>
    <w:rsid w:val="00034A15"/>
    <w:rsid w:val="000430D6"/>
    <w:rsid w:val="00043F02"/>
    <w:rsid w:val="000441D9"/>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B6B59"/>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377"/>
    <w:rsid w:val="00533F15"/>
    <w:rsid w:val="00537018"/>
    <w:rsid w:val="00540A3F"/>
    <w:rsid w:val="00541B97"/>
    <w:rsid w:val="005425A9"/>
    <w:rsid w:val="00544BF1"/>
    <w:rsid w:val="00545F0F"/>
    <w:rsid w:val="00546198"/>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67771"/>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D0A59"/>
    <w:rsid w:val="007D0D89"/>
    <w:rsid w:val="007D2503"/>
    <w:rsid w:val="007D2EE1"/>
    <w:rsid w:val="007D52A8"/>
    <w:rsid w:val="007D52CD"/>
    <w:rsid w:val="007D5FAC"/>
    <w:rsid w:val="007D6479"/>
    <w:rsid w:val="007D7BC7"/>
    <w:rsid w:val="007E2EBE"/>
    <w:rsid w:val="007E2F82"/>
    <w:rsid w:val="007E3568"/>
    <w:rsid w:val="007E443E"/>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723F"/>
    <w:rsid w:val="009B2876"/>
    <w:rsid w:val="009B3202"/>
    <w:rsid w:val="009B4732"/>
    <w:rsid w:val="009B5355"/>
    <w:rsid w:val="009B5A13"/>
    <w:rsid w:val="009B5D2C"/>
    <w:rsid w:val="009B5E85"/>
    <w:rsid w:val="009B7C1E"/>
    <w:rsid w:val="009B7FB8"/>
    <w:rsid w:val="009C018C"/>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1A075F8"/>
    <w:rsid w:val="05B517B2"/>
    <w:rsid w:val="09637941"/>
    <w:rsid w:val="0B7E7699"/>
    <w:rsid w:val="0BB54FD5"/>
    <w:rsid w:val="0BDF51D7"/>
    <w:rsid w:val="0C3615C8"/>
    <w:rsid w:val="0C4861BD"/>
    <w:rsid w:val="0D873213"/>
    <w:rsid w:val="0D9425DE"/>
    <w:rsid w:val="0D99361C"/>
    <w:rsid w:val="107D340A"/>
    <w:rsid w:val="10BA236E"/>
    <w:rsid w:val="10EB4170"/>
    <w:rsid w:val="10F05838"/>
    <w:rsid w:val="113C24CA"/>
    <w:rsid w:val="119D0D41"/>
    <w:rsid w:val="12162C3B"/>
    <w:rsid w:val="130F1D58"/>
    <w:rsid w:val="1378563C"/>
    <w:rsid w:val="146723C1"/>
    <w:rsid w:val="14896182"/>
    <w:rsid w:val="155010AB"/>
    <w:rsid w:val="1584594C"/>
    <w:rsid w:val="15907301"/>
    <w:rsid w:val="15A90346"/>
    <w:rsid w:val="16AA09BD"/>
    <w:rsid w:val="17833DE3"/>
    <w:rsid w:val="1C121D57"/>
    <w:rsid w:val="1C4A137C"/>
    <w:rsid w:val="1F11313D"/>
    <w:rsid w:val="1F956998"/>
    <w:rsid w:val="1FE602DC"/>
    <w:rsid w:val="20DC5C02"/>
    <w:rsid w:val="20FE711F"/>
    <w:rsid w:val="21A70E96"/>
    <w:rsid w:val="21D448E9"/>
    <w:rsid w:val="22891E2D"/>
    <w:rsid w:val="22D33607"/>
    <w:rsid w:val="23FD2509"/>
    <w:rsid w:val="243943F8"/>
    <w:rsid w:val="24E05430"/>
    <w:rsid w:val="267A7579"/>
    <w:rsid w:val="27961F1E"/>
    <w:rsid w:val="27AD7C03"/>
    <w:rsid w:val="29062B05"/>
    <w:rsid w:val="29127A38"/>
    <w:rsid w:val="2AB43BC5"/>
    <w:rsid w:val="2B556F15"/>
    <w:rsid w:val="2B7F4BC3"/>
    <w:rsid w:val="2B9E13D6"/>
    <w:rsid w:val="2CE81BAF"/>
    <w:rsid w:val="2DAC05D8"/>
    <w:rsid w:val="2E726843"/>
    <w:rsid w:val="2EDC02FF"/>
    <w:rsid w:val="300A335B"/>
    <w:rsid w:val="3172033E"/>
    <w:rsid w:val="3227588C"/>
    <w:rsid w:val="325F6558"/>
    <w:rsid w:val="331653E5"/>
    <w:rsid w:val="351529A9"/>
    <w:rsid w:val="355A74E9"/>
    <w:rsid w:val="35FD1F7A"/>
    <w:rsid w:val="366D672C"/>
    <w:rsid w:val="36E3150F"/>
    <w:rsid w:val="385D644E"/>
    <w:rsid w:val="38F33167"/>
    <w:rsid w:val="39C83C69"/>
    <w:rsid w:val="39CE5E1D"/>
    <w:rsid w:val="3A9701E9"/>
    <w:rsid w:val="3B672AF6"/>
    <w:rsid w:val="3C003247"/>
    <w:rsid w:val="3C8E6F2D"/>
    <w:rsid w:val="3D6145DC"/>
    <w:rsid w:val="3EDB4EA4"/>
    <w:rsid w:val="3FC31914"/>
    <w:rsid w:val="3FFE51E4"/>
    <w:rsid w:val="407143F1"/>
    <w:rsid w:val="42643A73"/>
    <w:rsid w:val="42AA1012"/>
    <w:rsid w:val="43FB66E3"/>
    <w:rsid w:val="448A14B1"/>
    <w:rsid w:val="44DC7F4B"/>
    <w:rsid w:val="45651876"/>
    <w:rsid w:val="46AA377D"/>
    <w:rsid w:val="471701BD"/>
    <w:rsid w:val="49363676"/>
    <w:rsid w:val="4A4A5361"/>
    <w:rsid w:val="4A4B48E3"/>
    <w:rsid w:val="4B5137BF"/>
    <w:rsid w:val="4DA86B45"/>
    <w:rsid w:val="51497070"/>
    <w:rsid w:val="51E025FE"/>
    <w:rsid w:val="520D0DEA"/>
    <w:rsid w:val="52467DEC"/>
    <w:rsid w:val="52FD675A"/>
    <w:rsid w:val="532B7AD5"/>
    <w:rsid w:val="53D80FA7"/>
    <w:rsid w:val="5473349C"/>
    <w:rsid w:val="54B6223B"/>
    <w:rsid w:val="54E15A0F"/>
    <w:rsid w:val="55344B23"/>
    <w:rsid w:val="56553687"/>
    <w:rsid w:val="56C21B98"/>
    <w:rsid w:val="57360F05"/>
    <w:rsid w:val="581F495D"/>
    <w:rsid w:val="58484116"/>
    <w:rsid w:val="58DA78C0"/>
    <w:rsid w:val="5AC859BF"/>
    <w:rsid w:val="5B7C54E2"/>
    <w:rsid w:val="5C0F2072"/>
    <w:rsid w:val="5CF75A85"/>
    <w:rsid w:val="5CFC1D50"/>
    <w:rsid w:val="5E6C25B6"/>
    <w:rsid w:val="5E84123F"/>
    <w:rsid w:val="607E0927"/>
    <w:rsid w:val="60921C53"/>
    <w:rsid w:val="614E4CAE"/>
    <w:rsid w:val="619D5BCC"/>
    <w:rsid w:val="61E7481B"/>
    <w:rsid w:val="6233128F"/>
    <w:rsid w:val="62635DDC"/>
    <w:rsid w:val="62FE3555"/>
    <w:rsid w:val="638D53F9"/>
    <w:rsid w:val="63D7368B"/>
    <w:rsid w:val="64BA65BC"/>
    <w:rsid w:val="665A104A"/>
    <w:rsid w:val="68A603CF"/>
    <w:rsid w:val="69E27B06"/>
    <w:rsid w:val="6A0F3694"/>
    <w:rsid w:val="6A5C1E75"/>
    <w:rsid w:val="6AB76CFB"/>
    <w:rsid w:val="6BC1702A"/>
    <w:rsid w:val="6C282248"/>
    <w:rsid w:val="6CBD55AC"/>
    <w:rsid w:val="6DE86594"/>
    <w:rsid w:val="753E278B"/>
    <w:rsid w:val="75BE6EB5"/>
    <w:rsid w:val="7815375E"/>
    <w:rsid w:val="790F579B"/>
    <w:rsid w:val="7AE40810"/>
    <w:rsid w:val="7BBB6C68"/>
    <w:rsid w:val="7C574749"/>
    <w:rsid w:val="7C8E2CF6"/>
    <w:rsid w:val="7C967B8B"/>
    <w:rsid w:val="7CD015B7"/>
    <w:rsid w:val="7EEF6C2A"/>
    <w:rsid w:val="7F074C20"/>
    <w:rsid w:val="7F363A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9"/>
    <w:pPr>
      <w:keepNext/>
      <w:keepLines/>
      <w:spacing w:before="340" w:after="330" w:line="578" w:lineRule="auto"/>
      <w:outlineLvl w:val="0"/>
    </w:pPr>
    <w:rPr>
      <w:b/>
      <w:kern w:val="44"/>
      <w:sz w:val="44"/>
      <w:szCs w:val="20"/>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locked/>
    <w:uiPriority w:val="99"/>
    <w:pPr>
      <w:spacing w:after="120"/>
      <w:ind w:left="1440" w:leftChars="700" w:right="1440" w:rightChars="700"/>
    </w:pPr>
  </w:style>
  <w:style w:type="paragraph" w:styleId="4">
    <w:name w:val="annotation text"/>
    <w:basedOn w:val="1"/>
    <w:link w:val="21"/>
    <w:qFormat/>
    <w:uiPriority w:val="99"/>
    <w:pPr>
      <w:jc w:val="left"/>
    </w:pPr>
    <w:rPr>
      <w:sz w:val="24"/>
      <w:szCs w:val="20"/>
    </w:rPr>
  </w:style>
  <w:style w:type="paragraph" w:styleId="5">
    <w:name w:val="Body Text"/>
    <w:basedOn w:val="1"/>
    <w:link w:val="40"/>
    <w:unhideWhenUsed/>
    <w:qFormat/>
    <w:locked/>
    <w:uiPriority w:val="99"/>
    <w:pPr>
      <w:spacing w:after="120"/>
    </w:pPr>
  </w:style>
  <w:style w:type="paragraph" w:styleId="6">
    <w:name w:val="Body Text Indent"/>
    <w:basedOn w:val="1"/>
    <w:link w:val="22"/>
    <w:qFormat/>
    <w:uiPriority w:val="99"/>
    <w:pPr>
      <w:ind w:firstLine="575" w:firstLineChars="274"/>
    </w:pPr>
    <w:rPr>
      <w:rFonts w:ascii="等线" w:eastAsia="等线"/>
      <w:sz w:val="22"/>
      <w:szCs w:val="20"/>
    </w:rPr>
  </w:style>
  <w:style w:type="paragraph" w:styleId="7">
    <w:name w:val="index 4"/>
    <w:basedOn w:val="1"/>
    <w:next w:val="1"/>
    <w:qFormat/>
    <w:uiPriority w:val="99"/>
    <w:pPr>
      <w:ind w:left="600" w:leftChars="600"/>
    </w:pPr>
    <w:rPr>
      <w:rFonts w:ascii="Verdana" w:hAnsi="Verdana"/>
    </w:rPr>
  </w:style>
  <w:style w:type="paragraph" w:styleId="8">
    <w:name w:val="Plain Text"/>
    <w:basedOn w:val="1"/>
    <w:link w:val="23"/>
    <w:qFormat/>
    <w:uiPriority w:val="0"/>
    <w:rPr>
      <w:rFonts w:ascii="宋体" w:hAnsi="Courier New"/>
      <w:szCs w:val="20"/>
    </w:rPr>
  </w:style>
  <w:style w:type="paragraph" w:styleId="9">
    <w:name w:val="Date"/>
    <w:basedOn w:val="1"/>
    <w:next w:val="1"/>
    <w:link w:val="24"/>
    <w:qFormat/>
    <w:uiPriority w:val="99"/>
    <w:pPr>
      <w:ind w:left="100" w:leftChars="2500"/>
    </w:pPr>
    <w:rPr>
      <w:sz w:val="24"/>
      <w:szCs w:val="20"/>
    </w:rPr>
  </w:style>
  <w:style w:type="paragraph" w:styleId="10">
    <w:name w:val="Balloon Text"/>
    <w:basedOn w:val="1"/>
    <w:link w:val="25"/>
    <w:semiHidden/>
    <w:qFormat/>
    <w:uiPriority w:val="99"/>
    <w:rPr>
      <w:kern w:val="0"/>
      <w:sz w:val="2"/>
      <w:szCs w:val="20"/>
    </w:rPr>
  </w:style>
  <w:style w:type="paragraph" w:styleId="11">
    <w:name w:val="footer"/>
    <w:basedOn w:val="1"/>
    <w:link w:val="26"/>
    <w:qFormat/>
    <w:uiPriority w:val="99"/>
    <w:pPr>
      <w:tabs>
        <w:tab w:val="center" w:pos="4153"/>
        <w:tab w:val="right" w:pos="8306"/>
      </w:tabs>
      <w:snapToGrid w:val="0"/>
      <w:jc w:val="left"/>
    </w:pPr>
    <w:rPr>
      <w:kern w:val="0"/>
      <w:sz w:val="18"/>
      <w:szCs w:val="18"/>
    </w:rPr>
  </w:style>
  <w:style w:type="paragraph" w:styleId="12">
    <w:name w:val="header"/>
    <w:basedOn w:val="1"/>
    <w:link w:val="27"/>
    <w:qFormat/>
    <w:uiPriority w:val="99"/>
    <w:pPr>
      <w:pBdr>
        <w:bottom w:val="single" w:color="auto" w:sz="6" w:space="1"/>
      </w:pBdr>
      <w:tabs>
        <w:tab w:val="center" w:pos="4153"/>
        <w:tab w:val="right" w:pos="8306"/>
      </w:tabs>
      <w:snapToGrid w:val="0"/>
      <w:jc w:val="center"/>
    </w:pPr>
    <w:rPr>
      <w:sz w:val="18"/>
      <w:szCs w:val="20"/>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4">
    <w:name w:val="annotation subject"/>
    <w:basedOn w:val="4"/>
    <w:next w:val="4"/>
    <w:link w:val="28"/>
    <w:qFormat/>
    <w:uiPriority w:val="99"/>
    <w:rPr>
      <w:b/>
    </w:r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qFormat/>
    <w:uiPriority w:val="99"/>
    <w:rPr>
      <w:rFonts w:cs="Times New Roman"/>
      <w:color w:val="0563C1"/>
      <w:u w:val="single"/>
    </w:rPr>
  </w:style>
  <w:style w:type="character" w:styleId="19">
    <w:name w:val="annotation reference"/>
    <w:basedOn w:val="17"/>
    <w:qFormat/>
    <w:uiPriority w:val="99"/>
    <w:rPr>
      <w:rFonts w:cs="Times New Roman"/>
      <w:sz w:val="21"/>
    </w:rPr>
  </w:style>
  <w:style w:type="character" w:customStyle="1" w:styleId="20">
    <w:name w:val="标题 1 Char"/>
    <w:link w:val="3"/>
    <w:qFormat/>
    <w:locked/>
    <w:uiPriority w:val="99"/>
    <w:rPr>
      <w:rFonts w:cs="Times New Roman"/>
      <w:b/>
      <w:kern w:val="44"/>
      <w:sz w:val="44"/>
    </w:rPr>
  </w:style>
  <w:style w:type="character" w:customStyle="1" w:styleId="21">
    <w:name w:val="批注文字 Char"/>
    <w:link w:val="4"/>
    <w:qFormat/>
    <w:locked/>
    <w:uiPriority w:val="99"/>
    <w:rPr>
      <w:rFonts w:cs="Times New Roman"/>
      <w:kern w:val="2"/>
      <w:sz w:val="24"/>
    </w:rPr>
  </w:style>
  <w:style w:type="character" w:customStyle="1" w:styleId="22">
    <w:name w:val="正文文本缩进 Char"/>
    <w:link w:val="6"/>
    <w:qFormat/>
    <w:locked/>
    <w:uiPriority w:val="99"/>
    <w:rPr>
      <w:rFonts w:ascii="等线" w:eastAsia="等线" w:cs="Times New Roman"/>
      <w:kern w:val="2"/>
      <w:sz w:val="22"/>
    </w:rPr>
  </w:style>
  <w:style w:type="character" w:customStyle="1" w:styleId="23">
    <w:name w:val="纯文本 Char"/>
    <w:link w:val="8"/>
    <w:qFormat/>
    <w:locked/>
    <w:uiPriority w:val="0"/>
    <w:rPr>
      <w:rFonts w:ascii="宋体" w:hAnsi="Courier New" w:cs="Times New Roman"/>
      <w:kern w:val="2"/>
      <w:sz w:val="21"/>
    </w:rPr>
  </w:style>
  <w:style w:type="character" w:customStyle="1" w:styleId="24">
    <w:name w:val="日期 Char"/>
    <w:link w:val="9"/>
    <w:qFormat/>
    <w:locked/>
    <w:uiPriority w:val="99"/>
    <w:rPr>
      <w:rFonts w:cs="Times New Roman"/>
      <w:kern w:val="2"/>
      <w:sz w:val="24"/>
    </w:rPr>
  </w:style>
  <w:style w:type="character" w:customStyle="1" w:styleId="25">
    <w:name w:val="批注框文本 Char"/>
    <w:link w:val="10"/>
    <w:semiHidden/>
    <w:qFormat/>
    <w:locked/>
    <w:uiPriority w:val="99"/>
    <w:rPr>
      <w:rFonts w:cs="Times New Roman"/>
      <w:sz w:val="2"/>
    </w:rPr>
  </w:style>
  <w:style w:type="character" w:customStyle="1" w:styleId="26">
    <w:name w:val="页脚 Char"/>
    <w:link w:val="11"/>
    <w:semiHidden/>
    <w:qFormat/>
    <w:locked/>
    <w:uiPriority w:val="99"/>
    <w:rPr>
      <w:rFonts w:cs="Times New Roman"/>
      <w:sz w:val="18"/>
      <w:szCs w:val="18"/>
    </w:rPr>
  </w:style>
  <w:style w:type="character" w:customStyle="1" w:styleId="27">
    <w:name w:val="页眉 Char"/>
    <w:link w:val="12"/>
    <w:qFormat/>
    <w:locked/>
    <w:uiPriority w:val="99"/>
    <w:rPr>
      <w:rFonts w:cs="Times New Roman"/>
      <w:kern w:val="2"/>
      <w:sz w:val="18"/>
    </w:rPr>
  </w:style>
  <w:style w:type="character" w:customStyle="1" w:styleId="28">
    <w:name w:val="批注主题 Char"/>
    <w:link w:val="14"/>
    <w:qFormat/>
    <w:locked/>
    <w:uiPriority w:val="99"/>
    <w:rPr>
      <w:rFonts w:cs="Times New Roman"/>
      <w:b/>
      <w:kern w:val="2"/>
      <w:sz w:val="24"/>
    </w:rPr>
  </w:style>
  <w:style w:type="paragraph" w:customStyle="1" w:styleId="29">
    <w:name w:val="Char"/>
    <w:basedOn w:val="1"/>
    <w:qFormat/>
    <w:uiPriority w:val="99"/>
    <w:pPr>
      <w:tabs>
        <w:tab w:val="left" w:pos="360"/>
      </w:tabs>
    </w:pPr>
    <w:rPr>
      <w:sz w:val="24"/>
    </w:rPr>
  </w:style>
  <w:style w:type="character" w:customStyle="1" w:styleId="30">
    <w:name w:val="列出段落 Char"/>
    <w:link w:val="31"/>
    <w:qFormat/>
    <w:locked/>
    <w:uiPriority w:val="0"/>
  </w:style>
  <w:style w:type="paragraph" w:styleId="31">
    <w:name w:val="List Paragraph"/>
    <w:basedOn w:val="1"/>
    <w:link w:val="30"/>
    <w:qFormat/>
    <w:uiPriority w:val="34"/>
    <w:pPr>
      <w:widowControl/>
      <w:ind w:firstLine="420" w:firstLineChars="200"/>
      <w:jc w:val="left"/>
    </w:pPr>
    <w:rPr>
      <w:kern w:val="0"/>
      <w:sz w:val="20"/>
      <w:szCs w:val="20"/>
    </w:rPr>
  </w:style>
  <w:style w:type="table" w:customStyle="1" w:styleId="32">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Placeholder Text"/>
    <w:semiHidden/>
    <w:qFormat/>
    <w:uiPriority w:val="99"/>
    <w:rPr>
      <w:rFonts w:cs="Times New Roman"/>
      <w:color w:val="808080"/>
    </w:rPr>
  </w:style>
  <w:style w:type="paragraph" w:customStyle="1" w:styleId="34">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5">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6">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
    <w:name w:val="列出段落2"/>
    <w:basedOn w:val="1"/>
    <w:qFormat/>
    <w:uiPriority w:val="99"/>
    <w:pPr>
      <w:ind w:firstLine="420" w:firstLineChars="200"/>
    </w:pPr>
    <w:rPr>
      <w:rFonts w:ascii="Calibri" w:hAnsi="Calibri"/>
      <w:szCs w:val="22"/>
    </w:rPr>
  </w:style>
  <w:style w:type="character" w:customStyle="1" w:styleId="38">
    <w:name w:val="标题 2 Char Char Char"/>
    <w:qFormat/>
    <w:uiPriority w:val="99"/>
    <w:rPr>
      <w:rFonts w:ascii="Arial" w:hAnsi="Arial" w:eastAsia="黑体"/>
      <w:b/>
      <w:kern w:val="2"/>
      <w:sz w:val="32"/>
      <w:lang w:val="en-US" w:eastAsia="zh-CN"/>
    </w:rPr>
  </w:style>
  <w:style w:type="paragraph" w:customStyle="1" w:styleId="39">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0">
    <w:name w:val="正文文本 Char"/>
    <w:link w:val="5"/>
    <w:qFormat/>
    <w:uiPriority w:val="99"/>
    <w:rPr>
      <w:kern w:val="2"/>
      <w:sz w:val="21"/>
      <w:szCs w:val="24"/>
    </w:rPr>
  </w:style>
  <w:style w:type="paragraph" w:customStyle="1" w:styleId="41">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2">
    <w:name w:val="正文2"/>
    <w:basedOn w:val="1"/>
    <w:qFormat/>
    <w:uiPriority w:val="0"/>
    <w:pPr>
      <w:spacing w:before="156" w:line="360" w:lineRule="auto"/>
      <w:ind w:firstLine="510" w:firstLineChars="200"/>
    </w:pPr>
    <w:rPr>
      <w:sz w:val="24"/>
    </w:rPr>
  </w:style>
  <w:style w:type="paragraph" w:customStyle="1" w:styleId="43">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4">
    <w:name w:val="A9"/>
    <w:qFormat/>
    <w:uiPriority w:val="0"/>
    <w:rPr>
      <w:rFonts w:cs="PSFEIH+StoneSans"/>
      <w:color w:val="262424"/>
      <w:sz w:val="20"/>
      <w:szCs w:val="20"/>
    </w:rPr>
  </w:style>
  <w:style w:type="paragraph" w:customStyle="1" w:styleId="45">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6">
    <w:name w:val="A14"/>
    <w:qFormat/>
    <w:uiPriority w:val="99"/>
    <w:rPr>
      <w:rFonts w:cs="Open Sans Light"/>
      <w:color w:val="FFFFFF"/>
      <w:sz w:val="13"/>
      <w:szCs w:val="13"/>
    </w:rPr>
  </w:style>
  <w:style w:type="paragraph" w:customStyle="1" w:styleId="47">
    <w:name w:val="表格文字"/>
    <w:basedOn w:val="1"/>
    <w:next w:val="5"/>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3E40B3-C79F-4761-BE35-043A2A203BC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2369</Words>
  <Characters>13509</Characters>
  <Lines>112</Lines>
  <Paragraphs>31</Paragraphs>
  <TotalTime>2</TotalTime>
  <ScaleCrop>false</ScaleCrop>
  <LinksUpToDate>false</LinksUpToDate>
  <CharactersWithSpaces>15847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2020-06-29T09:00:00Z</dcterms:created>
  <dc:creator>微软用户</dc:creator>
  <cp:lastModifiedBy>nxdlu</cp:lastModifiedBy>
  <cp:lastPrinted>2019-11-22T01:53:00Z</cp:lastPrinted>
  <dcterms:modified xsi:type="dcterms:W3CDTF">2020-07-02T11:38:36Z</dcterms:modified>
  <dc:title>淮海工学院A8-10号楼学生宿舍家具招标书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