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rPr>
        <w:t>环境科学与工程学院流式细胞仪采购</w:t>
      </w:r>
      <w:r>
        <w:rPr>
          <w:b/>
          <w:sz w:val="44"/>
          <w:szCs w:val="44"/>
          <w:highlight w:val="none"/>
        </w:rPr>
        <w:t>项目招标文件</w:t>
      </w:r>
    </w:p>
    <w:p>
      <w:pPr>
        <w:pStyle w:val="7"/>
        <w:ind w:left="1470" w:right="1470"/>
        <w:rPr>
          <w:highlight w:val="none"/>
        </w:rPr>
      </w:pPr>
    </w:p>
    <w:p>
      <w:pPr>
        <w:adjustRightInd w:val="0"/>
        <w:snapToGrid w:val="0"/>
        <w:spacing w:line="360" w:lineRule="auto"/>
        <w:jc w:val="center"/>
        <w:rPr>
          <w:rFonts w:ascii="宋体" w:hAnsi="宋体" w:cs="仿宋"/>
          <w:sz w:val="28"/>
          <w:szCs w:val="28"/>
          <w:highlight w:val="none"/>
        </w:rPr>
      </w:pPr>
      <w:r>
        <w:rPr>
          <w:rFonts w:hint="eastAsia" w:ascii="宋体" w:hAnsi="宋体" w:cs="仿宋"/>
          <w:sz w:val="28"/>
          <w:szCs w:val="28"/>
          <w:highlight w:val="none"/>
        </w:rPr>
        <w:t>（招标编号：SBC2020050）</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20年07月</w:t>
      </w:r>
      <w:r>
        <w:rPr>
          <w:rFonts w:hint="eastAsia" w:ascii="宋体" w:hAnsi="宋体" w:cs="仿宋"/>
          <w:sz w:val="28"/>
          <w:szCs w:val="28"/>
          <w:highlight w:val="none"/>
          <w:u w:val="single"/>
          <w:lang w:val="en-US" w:eastAsia="zh-CN"/>
        </w:rPr>
        <w:t>17</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21</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科研工作需要，受校实验室与设备管理处委托，就</w:t>
      </w:r>
      <w:r>
        <w:rPr>
          <w:rFonts w:hint="eastAsia" w:ascii="宋体" w:hAnsi="宋体"/>
          <w:sz w:val="28"/>
          <w:szCs w:val="28"/>
          <w:highlight w:val="none"/>
        </w:rPr>
        <w:t>环境科学与工程学院流式细胞仪采购项目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2"/>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2"/>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sz w:val="28"/>
          <w:szCs w:val="28"/>
          <w:highlight w:val="none"/>
        </w:rPr>
        <w:t>环境科学与工程学院流式细胞仪</w:t>
      </w:r>
      <w:r>
        <w:rPr>
          <w:rFonts w:ascii="宋体" w:hAnsi="宋体"/>
          <w:sz w:val="28"/>
          <w:szCs w:val="28"/>
          <w:highlight w:val="none"/>
        </w:rPr>
        <w:t>采购</w:t>
      </w:r>
      <w:r>
        <w:rPr>
          <w:rFonts w:hint="eastAsia" w:ascii="宋体" w:hAnsi="宋体"/>
          <w:sz w:val="28"/>
          <w:szCs w:val="28"/>
          <w:highlight w:val="none"/>
        </w:rPr>
        <w:t>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19"/>
          <w:b/>
          <w:color w:val="auto"/>
          <w:sz w:val="24"/>
          <w:highlight w:val="none"/>
        </w:rPr>
        <w:t>https://bulletin.nuist.edu.cn/779/lis</w:t>
      </w:r>
      <w:r>
        <w:rPr>
          <w:rStyle w:val="19"/>
          <w:color w:val="auto"/>
          <w:sz w:val="24"/>
          <w:highlight w:val="none"/>
        </w:rPr>
        <w:t>t.htm</w:t>
      </w:r>
      <w:r>
        <w:rPr>
          <w:rStyle w:val="19"/>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rPr>
        <w:t>zbc.nuist.edu.cn</w:t>
      </w:r>
      <w:r>
        <w:rPr>
          <w:rFonts w:ascii="宋体" w:hAnsi="宋体"/>
          <w:b/>
          <w:sz w:val="24"/>
          <w:szCs w:val="28"/>
          <w:highlight w:val="non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w:t>
      </w:r>
      <w:r>
        <w:rPr>
          <w:rFonts w:hint="eastAsia" w:ascii="宋体" w:hAnsi="宋体"/>
          <w:sz w:val="28"/>
          <w:szCs w:val="28"/>
          <w:highlight w:val="none"/>
          <w:lang w:val="en-US" w:eastAsia="zh-CN"/>
        </w:rPr>
        <w:t>招标办</w:t>
      </w:r>
      <w:r>
        <w:rPr>
          <w:rFonts w:hint="eastAsia" w:ascii="宋体" w:hAnsi="宋体"/>
          <w:sz w:val="28"/>
          <w:szCs w:val="28"/>
          <w:highlight w:val="none"/>
        </w:rPr>
        <w:t>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w:t>
      </w:r>
      <w:r>
        <w:rPr>
          <w:rFonts w:hint="eastAsia" w:ascii="宋体" w:hAnsi="宋体" w:cs="宋体"/>
          <w:sz w:val="28"/>
          <w:szCs w:val="28"/>
          <w:highlight w:val="none"/>
          <w:lang w:val="en-US" w:eastAsia="zh-CN"/>
        </w:rPr>
        <w:t>招标办</w:t>
      </w:r>
      <w:r>
        <w:rPr>
          <w:rFonts w:hint="eastAsia" w:ascii="宋体" w:hAnsi="宋体" w:cs="宋体"/>
          <w:sz w:val="28"/>
          <w:szCs w:val="28"/>
          <w:highlight w:val="none"/>
        </w:rPr>
        <w:t>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sz w:val="28"/>
          <w:szCs w:val="28"/>
          <w:highlight w:val="none"/>
        </w:rPr>
      </w:pPr>
      <w:r>
        <w:rPr>
          <w:rFonts w:ascii="宋体" w:hAnsi="宋体"/>
          <w:sz w:val="28"/>
          <w:szCs w:val="28"/>
          <w:highlight w:val="none"/>
        </w:rPr>
        <w:t>5.</w:t>
      </w:r>
      <w:r>
        <w:rPr>
          <w:rFonts w:hint="eastAsia" w:ascii="宋体" w:hAnsi="宋体"/>
          <w:sz w:val="28"/>
          <w:szCs w:val="28"/>
          <w:highlight w:val="none"/>
        </w:rPr>
        <w:t>正式的答疑回复文件也按上述方式处理留存。</w:t>
      </w:r>
    </w:p>
    <w:p>
      <w:pPr>
        <w:pStyle w:val="40"/>
        <w:adjustRightInd w:val="0"/>
        <w:snapToGrid w:val="0"/>
        <w:spacing w:before="0" w:beforeAutospacing="0" w:after="0" w:afterAutospacing="0" w:line="360" w:lineRule="auto"/>
        <w:ind w:firstLine="560" w:firstLineChars="200"/>
        <w:rPr>
          <w:rFonts w:cs="Times New Roman"/>
          <w:color w:val="auto"/>
          <w:kern w:val="2"/>
          <w:sz w:val="28"/>
          <w:szCs w:val="28"/>
          <w:highlight w:val="none"/>
        </w:rPr>
      </w:pPr>
      <w:r>
        <w:rPr>
          <w:rFonts w:cs="Times New Roman"/>
          <w:color w:val="auto"/>
          <w:kern w:val="2"/>
          <w:sz w:val="28"/>
          <w:szCs w:val="28"/>
          <w:highlight w:val="none"/>
        </w:rPr>
        <w:t>6.</w:t>
      </w:r>
      <w:r>
        <w:rPr>
          <w:rFonts w:hint="eastAsia" w:cs="Times New Roman"/>
          <w:color w:val="auto"/>
          <w:kern w:val="2"/>
          <w:sz w:val="28"/>
          <w:szCs w:val="28"/>
          <w:highlight w:val="none"/>
        </w:rPr>
        <w:t>投标有效期：自开标之日起90天内投标有效。</w:t>
      </w:r>
    </w:p>
    <w:p>
      <w:pPr>
        <w:pStyle w:val="40"/>
        <w:adjustRightInd w:val="0"/>
        <w:snapToGrid w:val="0"/>
        <w:spacing w:before="0" w:beforeAutospacing="0" w:after="0" w:afterAutospacing="0" w:line="360" w:lineRule="auto"/>
        <w:ind w:firstLine="560" w:firstLineChars="200"/>
        <w:rPr>
          <w:rFonts w:cs="Times New Roman"/>
          <w:color w:val="auto"/>
          <w:sz w:val="28"/>
          <w:szCs w:val="28"/>
          <w:highlight w:val="none"/>
        </w:rPr>
      </w:pPr>
      <w:r>
        <w:rPr>
          <w:rFonts w:hint="eastAsia" w:cs="Times New Roman"/>
          <w:color w:val="auto"/>
          <w:kern w:val="2"/>
          <w:sz w:val="28"/>
          <w:szCs w:val="28"/>
          <w:highlight w:val="none"/>
        </w:rPr>
        <w:t>7.</w:t>
      </w:r>
      <w:r>
        <w:rPr>
          <w:rFonts w:hint="eastAsia" w:cs="Times New Roman"/>
          <w:color w:val="auto"/>
          <w:sz w:val="28"/>
          <w:szCs w:val="28"/>
          <w:highlight w:val="none"/>
        </w:rPr>
        <w:t>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Arial"/>
          <w:i/>
          <w:iCs/>
          <w:sz w:val="28"/>
          <w:szCs w:val="28"/>
          <w:highlight w:val="none"/>
          <w:u w:val="single"/>
        </w:rPr>
        <w:t>1.具有独立承担民事责任的能力</w:t>
      </w:r>
      <w:r>
        <w:rPr>
          <w:rFonts w:hint="eastAsia" w:ascii="宋体" w:hAnsi="宋体"/>
          <w:i/>
          <w:iCs/>
          <w:sz w:val="28"/>
          <w:szCs w:val="28"/>
          <w:highlight w:val="none"/>
          <w:u w:val="single"/>
        </w:rPr>
        <w:t>：须为独立法人企业，需提供企业法人营业执照；</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2.具有良好的商业信誉和健全的财务会计制度</w:t>
      </w:r>
      <w:r>
        <w:rPr>
          <w:rFonts w:hint="eastAsia" w:ascii="宋体" w:hAnsi="宋体"/>
          <w:i/>
          <w:iCs/>
          <w:sz w:val="28"/>
          <w:szCs w:val="28"/>
          <w:highlight w:val="none"/>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4.有依法缴纳税收和社会保障资金的良好记录</w:t>
      </w:r>
      <w:r>
        <w:rPr>
          <w:rFonts w:hint="eastAsia" w:ascii="宋体" w:hAnsi="宋体"/>
          <w:i/>
          <w:iCs/>
          <w:sz w:val="28"/>
          <w:szCs w:val="28"/>
          <w:highlight w:val="none"/>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sz w:val="28"/>
          <w:szCs w:val="28"/>
          <w:highlight w:val="none"/>
          <w:u w:val="single"/>
        </w:rPr>
      </w:pPr>
      <w:r>
        <w:rPr>
          <w:rFonts w:hint="eastAsia" w:ascii="宋体" w:hAnsi="宋体" w:cs="宋体"/>
          <w:i/>
          <w:iCs/>
          <w:kern w:val="0"/>
          <w:sz w:val="28"/>
          <w:szCs w:val="28"/>
          <w:highlight w:val="none"/>
          <w:u w:val="single"/>
        </w:rPr>
        <w:t>5.参加政府采购活动前三年内，在经营活动中没有违法记录</w:t>
      </w:r>
      <w:r>
        <w:rPr>
          <w:rFonts w:hint="eastAsia" w:ascii="宋体" w:hAnsi="宋体"/>
          <w:i/>
          <w:iCs/>
          <w:sz w:val="28"/>
          <w:szCs w:val="28"/>
          <w:highlight w:val="none"/>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6.法律、行政法规规定的其他条件：无。</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（二）投标人不得存在下列情形之一</w:t>
      </w:r>
      <w:r>
        <w:rPr>
          <w:rFonts w:hint="eastAsia" w:ascii="宋体" w:hAnsi="宋体"/>
          <w:i/>
          <w:iCs/>
          <w:sz w:val="28"/>
          <w:szCs w:val="28"/>
          <w:highlight w:val="none"/>
          <w:u w:val="single"/>
        </w:rPr>
        <w:t>（</w:t>
      </w:r>
      <w:r>
        <w:rPr>
          <w:rFonts w:hint="eastAsia" w:ascii="宋体" w:hAnsi="宋体"/>
          <w:b/>
          <w:i/>
          <w:iCs/>
          <w:sz w:val="28"/>
          <w:szCs w:val="28"/>
          <w:highlight w:val="none"/>
          <w:u w:val="single"/>
        </w:rPr>
        <w:t>提供加盖投标人公章的承诺书）</w:t>
      </w:r>
      <w:r>
        <w:rPr>
          <w:rFonts w:hint="eastAsia" w:ascii="宋体" w:hAnsi="宋体" w:cs="宋体"/>
          <w:i/>
          <w:iCs/>
          <w:kern w:val="0"/>
          <w:sz w:val="28"/>
          <w:szCs w:val="28"/>
          <w:highlight w:val="none"/>
          <w:u w:val="single"/>
        </w:rPr>
        <w:t>：</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（1）为招标人不具有独立法人资格的附属机构（单位）；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（2）与招标人存在利害关系可能影响招标公正性的；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（3）单位负责人为同一人或者存在控股、管理关系的不同单位；</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kern w:val="0"/>
          <w:sz w:val="28"/>
          <w:szCs w:val="28"/>
          <w:highlight w:val="none"/>
          <w:u w:val="single"/>
        </w:rPr>
      </w:pPr>
      <w:r>
        <w:rPr>
          <w:rFonts w:hint="eastAsia" w:ascii="宋体" w:hAnsi="宋体" w:cs="宋体"/>
          <w:i/>
          <w:iCs/>
          <w:kern w:val="0"/>
          <w:sz w:val="28"/>
          <w:szCs w:val="28"/>
          <w:highlight w:val="none"/>
          <w:u w:val="single"/>
        </w:rPr>
        <w:t>（三）</w:t>
      </w:r>
      <w:r>
        <w:rPr>
          <w:rFonts w:hint="eastAsia" w:ascii="宋体" w:hAnsi="宋体" w:cs="宋体"/>
          <w:bCs/>
          <w:i/>
          <w:iCs/>
          <w:kern w:val="0"/>
          <w:sz w:val="28"/>
          <w:szCs w:val="28"/>
          <w:highlight w:val="none"/>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kern w:val="0"/>
          <w:sz w:val="28"/>
          <w:szCs w:val="28"/>
          <w:highlight w:val="none"/>
          <w:u w:val="single"/>
        </w:rPr>
      </w:pPr>
      <w:r>
        <w:rPr>
          <w:rFonts w:hint="eastAsia" w:ascii="宋体" w:hAnsi="宋体" w:cs="宋体"/>
          <w:i/>
          <w:iCs/>
          <w:sz w:val="28"/>
          <w:szCs w:val="28"/>
          <w:highlight w:val="none"/>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highlight w:val="none"/>
          <w:u w:val="single"/>
        </w:rPr>
        <w:t>（提供本项目报名截止日后的</w:t>
      </w:r>
      <w:r>
        <w:rPr>
          <w:rFonts w:hint="eastAsia" w:ascii="宋体" w:hAnsi="宋体" w:cs="宋体"/>
          <w:b/>
          <w:i/>
          <w:iCs/>
          <w:sz w:val="28"/>
          <w:szCs w:val="28"/>
          <w:highlight w:val="none"/>
          <w:u w:val="single"/>
          <w:lang w:val="en-US" w:eastAsia="zh-CN"/>
        </w:rPr>
        <w:t>以上两个</w:t>
      </w:r>
      <w:r>
        <w:rPr>
          <w:rFonts w:hint="eastAsia" w:ascii="宋体" w:hAnsi="宋体" w:cs="宋体"/>
          <w:b/>
          <w:i/>
          <w:iCs/>
          <w:sz w:val="28"/>
          <w:szCs w:val="28"/>
          <w:highlight w:val="none"/>
          <w:u w:val="single"/>
        </w:rPr>
        <w:t>网站截图并加盖单位公章）</w:t>
      </w:r>
      <w:r>
        <w:rPr>
          <w:rFonts w:hint="eastAsia" w:ascii="宋体" w:hAnsi="宋体" w:cs="宋体"/>
          <w:i/>
          <w:iCs/>
          <w:sz w:val="28"/>
          <w:szCs w:val="28"/>
          <w:highlight w:val="none"/>
          <w:u w:val="singl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30个工作日内完成设备运输（含上、下力）、安装调试等，所有费用由供方承担，安装调试完毕后需方用户负责试用并签收。</w:t>
      </w:r>
    </w:p>
    <w:p>
      <w:pPr>
        <w:pStyle w:val="40"/>
        <w:adjustRightInd w:val="0"/>
        <w:snapToGrid w:val="0"/>
        <w:spacing w:before="0" w:beforeAutospacing="0" w:after="0" w:afterAutospacing="0" w:line="360" w:lineRule="auto"/>
        <w:ind w:firstLine="560" w:firstLineChars="200"/>
        <w:rPr>
          <w:color w:val="auto"/>
          <w:kern w:val="2"/>
          <w:sz w:val="28"/>
          <w:szCs w:val="28"/>
          <w:highlight w:val="none"/>
        </w:rPr>
      </w:pPr>
      <w:r>
        <w:rPr>
          <w:rFonts w:hint="eastAsia"/>
          <w:color w:val="auto"/>
          <w:kern w:val="2"/>
          <w:sz w:val="28"/>
          <w:szCs w:val="28"/>
          <w:highlight w:val="none"/>
        </w:rPr>
        <w:t>六、本项目预算价为35</w:t>
      </w:r>
      <w:r>
        <w:rPr>
          <w:rFonts w:hint="eastAsia"/>
          <w:color w:val="auto"/>
          <w:kern w:val="2"/>
          <w:sz w:val="28"/>
          <w:szCs w:val="28"/>
          <w:highlight w:val="none"/>
          <w:lang w:val="en-US" w:eastAsia="zh-CN"/>
        </w:rPr>
        <w:t>.00</w:t>
      </w:r>
      <w:r>
        <w:rPr>
          <w:rFonts w:hint="eastAsia"/>
          <w:color w:val="auto"/>
          <w:kern w:val="2"/>
          <w:sz w:val="28"/>
          <w:szCs w:val="28"/>
          <w:highlight w:val="none"/>
        </w:rPr>
        <w:t>万元，本项目只接受人民币报价。</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七、进口货物的外贸代理公司由投标人（中标人）在我校确定的两家外贸代理公司中自行选择（江苏苏美达仪器设备有限公司，练经理：025-84531280，15205153042；江苏海外集团国际技术工程有限公司，方经理：025-84795955，15996350251），代理费由投标人与所选外贸公司协商确定并含在报价中。我校协助办理入关、免税等相关证明材料手续。</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spacing w:line="360" w:lineRule="auto"/>
        <w:ind w:firstLine="548" w:firstLineChars="196"/>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“SBC2020050资料费”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w:t>
      </w:r>
      <w:r>
        <w:rPr>
          <w:rFonts w:hint="eastAsia" w:ascii="宋体" w:hAnsi="宋体" w:cs="宋体"/>
          <w:sz w:val="28"/>
          <w:szCs w:val="28"/>
          <w:highlight w:val="none"/>
          <w:lang w:val="en-US" w:eastAsia="zh-CN"/>
        </w:rPr>
        <w:t>招标办</w:t>
      </w:r>
      <w:r>
        <w:rPr>
          <w:rFonts w:hint="eastAsia" w:ascii="宋体" w:hAnsi="宋体" w:cs="宋体"/>
          <w:sz w:val="28"/>
          <w:szCs w:val="28"/>
          <w:highlight w:val="none"/>
        </w:rPr>
        <w:t>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w:t>
      </w:r>
      <w:r>
        <w:rPr>
          <w:rFonts w:hint="eastAsia" w:ascii="宋体" w:hAnsi="宋体" w:cs="宋体"/>
          <w:sz w:val="28"/>
          <w:szCs w:val="28"/>
          <w:highlight w:val="none"/>
          <w:lang w:val="en-US" w:eastAsia="zh-CN"/>
        </w:rPr>
        <w:t>价</w:t>
      </w:r>
      <w:r>
        <w:rPr>
          <w:rFonts w:hint="eastAsia" w:ascii="宋体" w:hAnsi="宋体" w:cs="宋体"/>
          <w:sz w:val="28"/>
          <w:szCs w:val="28"/>
          <w:highlight w:val="none"/>
        </w:rPr>
        <w:t>的10%作为履约保证金并前来我校领取《中标通知书》（一式二份）。</w:t>
      </w:r>
      <w:r>
        <w:rPr>
          <w:rFonts w:hint="eastAsia" w:ascii="宋体" w:hAnsi="宋体" w:cs="宋体"/>
          <w:sz w:val="28"/>
          <w:szCs w:val="28"/>
          <w:highlight w:val="none"/>
        </w:rPr>
        <w:t>服务完成，验收合格后返还50%履约保证金，另50%履约保证金转为质量保证金。</w:t>
      </w:r>
    </w:p>
    <w:p>
      <w:pPr>
        <w:spacing w:line="360" w:lineRule="auto"/>
        <w:ind w:firstLine="548" w:firstLineChars="196"/>
        <w:rPr>
          <w:rFonts w:hint="eastAsia"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rPr>
          <w:rFonts w:hint="default" w:eastAsia="宋体"/>
          <w:highlight w:val="none"/>
          <w:lang w:val="en-US" w:eastAsia="zh-CN"/>
        </w:rPr>
      </w:pP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3</w:t>
      </w:r>
      <w:r>
        <w:rPr>
          <w:rFonts w:hint="eastAsia" w:ascii="宋体" w:hAnsi="宋体" w:cs="宋体"/>
          <w:sz w:val="28"/>
          <w:szCs w:val="28"/>
          <w:highlight w:val="none"/>
          <w:lang w:eastAsia="zh-CN"/>
        </w:rPr>
        <w:t>）</w:t>
      </w:r>
      <w:r>
        <w:rPr>
          <w:rFonts w:hint="eastAsia" w:ascii="宋体" w:hAnsi="宋体" w:cs="宋体"/>
          <w:sz w:val="28"/>
          <w:szCs w:val="28"/>
          <w:highlight w:val="none"/>
          <w:lang w:val="en-US" w:eastAsia="zh-CN"/>
        </w:rPr>
        <w:t>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针对国内供应货物，签订合同后，20日内预付合同金额的30%，全部货物交货并验收合格后，凭验收凭证和货物验收合格等文件20内支付至合同金额的100%，</w:t>
      </w:r>
      <w:r>
        <w:rPr>
          <w:rFonts w:hint="eastAsia" w:ascii="宋体" w:hAnsi="宋体" w:cs="宋体"/>
          <w:sz w:val="28"/>
          <w:szCs w:val="28"/>
          <w:highlight w:val="none"/>
        </w:rPr>
        <w:t>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）我校不接收现金或支付宝等方式交费。各投标人务必通过单位银行基本账户提前将资料费汇至我校以下账号：户名：南京信息工程大学；账号：</w:t>
      </w:r>
      <w:r>
        <w:rPr>
          <w:rFonts w:ascii="宋体" w:hAnsi="宋体" w:cs="宋体"/>
          <w:sz w:val="28"/>
          <w:szCs w:val="28"/>
          <w:highlight w:val="none"/>
        </w:rPr>
        <w:t>10115401040000228</w:t>
      </w:r>
      <w:r>
        <w:rPr>
          <w:rFonts w:hint="eastAsia" w:ascii="宋体" w:hAnsi="宋体" w:cs="宋体"/>
          <w:sz w:val="28"/>
          <w:szCs w:val="28"/>
          <w:highlight w:val="none"/>
        </w:rPr>
        <w:t>；开户银行：中国农业银行南京盘城支行。请各投标人务必在转账留言栏备注填写</w:t>
      </w:r>
      <w:r>
        <w:rPr>
          <w:rFonts w:hint="eastAsia" w:ascii="宋体" w:hAnsi="宋体" w:cs="宋体"/>
          <w:b/>
          <w:sz w:val="28"/>
          <w:szCs w:val="28"/>
          <w:highlight w:val="none"/>
        </w:rPr>
        <w:t>“SBC2020050资料费”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w:t>
      </w:r>
      <w:r>
        <w:rPr>
          <w:rFonts w:hint="eastAsia" w:ascii="宋体" w:hAnsi="宋体" w:cs="宋体"/>
          <w:b/>
          <w:bCs/>
          <w:sz w:val="28"/>
          <w:szCs w:val="28"/>
          <w:highlight w:val="none"/>
          <w:lang w:val="en-US" w:eastAsia="zh-CN"/>
        </w:rPr>
        <w:t>办</w:t>
      </w:r>
      <w:r>
        <w:rPr>
          <w:rFonts w:hint="eastAsia" w:ascii="宋体" w:hAnsi="宋体" w:cs="宋体"/>
          <w:b/>
          <w:bCs/>
          <w:sz w:val="28"/>
          <w:szCs w:val="28"/>
          <w:highlight w:val="none"/>
        </w:rPr>
        <w:t>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履约保证金（或投标保证金）：</w:t>
      </w:r>
      <w:r>
        <w:rPr>
          <w:rFonts w:hint="eastAsia" w:ascii="宋体" w:hAnsi="宋体" w:cs="宋体"/>
          <w:sz w:val="28"/>
          <w:szCs w:val="28"/>
          <w:highlight w:val="none"/>
          <w:u w:val="single"/>
        </w:rPr>
        <w:t>中标价的10%</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w:t>
      </w:r>
      <w:r>
        <w:rPr>
          <w:rFonts w:hint="eastAsia" w:ascii="宋体" w:hAnsi="宋体" w:cs="宋体"/>
          <w:sz w:val="28"/>
          <w:szCs w:val="28"/>
          <w:highlight w:val="none"/>
          <w:lang w:val="en-US" w:eastAsia="zh-CN"/>
        </w:rPr>
        <w:t>招标办</w:t>
      </w:r>
      <w:bookmarkStart w:id="11" w:name="_GoBack"/>
      <w:bookmarkEnd w:id="11"/>
      <w:r>
        <w:rPr>
          <w:rFonts w:hint="eastAsia" w:ascii="宋体" w:hAnsi="宋体" w:cs="宋体"/>
          <w:sz w:val="28"/>
          <w:szCs w:val="28"/>
          <w:highlight w:val="none"/>
        </w:rPr>
        <w:t>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w:t>
      </w:r>
      <w:r>
        <w:rPr>
          <w:rFonts w:hint="eastAsia" w:ascii="宋体" w:hAnsi="宋体"/>
          <w:sz w:val="28"/>
          <w:szCs w:val="28"/>
          <w:highlight w:val="none"/>
        </w:rPr>
        <w:t>请在</w:t>
      </w:r>
      <w:r>
        <w:rPr>
          <w:rFonts w:ascii="宋体" w:hAnsi="宋体"/>
          <w:b/>
          <w:sz w:val="28"/>
          <w:szCs w:val="28"/>
          <w:highlight w:val="none"/>
          <w:u w:val="single"/>
        </w:rPr>
        <w:t>2020</w:t>
      </w:r>
      <w:r>
        <w:rPr>
          <w:rFonts w:hint="eastAsia" w:ascii="宋体" w:hAnsi="宋体"/>
          <w:b/>
          <w:sz w:val="28"/>
          <w:szCs w:val="28"/>
          <w:highlight w:val="none"/>
          <w:u w:val="single"/>
        </w:rPr>
        <w:t>年07月</w:t>
      </w:r>
      <w:r>
        <w:rPr>
          <w:rFonts w:hint="eastAsia" w:ascii="宋体" w:hAnsi="宋体"/>
          <w:b/>
          <w:sz w:val="28"/>
          <w:szCs w:val="28"/>
          <w:highlight w:val="none"/>
          <w:u w:val="single"/>
          <w:lang w:val="en-US" w:eastAsia="zh-CN"/>
        </w:rPr>
        <w:t>23</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w:t>
      </w:r>
      <w:r>
        <w:rPr>
          <w:rFonts w:hint="eastAsia" w:ascii="宋体" w:hAnsi="宋体"/>
          <w:sz w:val="28"/>
          <w:szCs w:val="28"/>
          <w:highlight w:val="none"/>
          <w:lang w:val="en-US" w:eastAsia="zh-CN"/>
        </w:rPr>
        <w:t>招标办</w:t>
      </w:r>
      <w:r>
        <w:rPr>
          <w:rFonts w:hint="eastAsia" w:ascii="宋体" w:hAnsi="宋体"/>
          <w:sz w:val="28"/>
          <w:szCs w:val="28"/>
          <w:highlight w:val="none"/>
        </w:rPr>
        <w:t>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w:t>
      </w:r>
      <w:r>
        <w:rPr>
          <w:rFonts w:hint="eastAsia" w:ascii="宋体" w:hAnsi="宋体"/>
          <w:sz w:val="28"/>
          <w:szCs w:val="28"/>
          <w:highlight w:val="none"/>
        </w:rPr>
        <w:t>2020年</w:t>
      </w:r>
      <w:r>
        <w:rPr>
          <w:rFonts w:hint="eastAsia" w:ascii="宋体" w:hAnsi="宋体"/>
          <w:sz w:val="28"/>
          <w:szCs w:val="28"/>
          <w:highlight w:val="none"/>
          <w:lang w:val="en-US" w:eastAsia="zh-CN"/>
        </w:rPr>
        <w:t>08</w:t>
      </w:r>
      <w:r>
        <w:rPr>
          <w:rFonts w:hint="eastAsia" w:ascii="宋体" w:hAnsi="宋体"/>
          <w:sz w:val="28"/>
          <w:szCs w:val="28"/>
          <w:highlight w:val="none"/>
        </w:rPr>
        <w:t>月</w:t>
      </w:r>
      <w:r>
        <w:rPr>
          <w:rFonts w:hint="eastAsia" w:ascii="宋体" w:hAnsi="宋体"/>
          <w:sz w:val="28"/>
          <w:szCs w:val="28"/>
          <w:highlight w:val="none"/>
          <w:lang w:val="en-US" w:eastAsia="zh-CN"/>
        </w:rPr>
        <w:t>06</w:t>
      </w:r>
      <w:r>
        <w:rPr>
          <w:rFonts w:hint="eastAsia" w:ascii="宋体" w:hAnsi="宋体"/>
          <w:sz w:val="28"/>
          <w:szCs w:val="28"/>
          <w:highlight w:val="none"/>
        </w:rPr>
        <w:t>日09：00。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lang w:val="en-US" w:eastAsia="zh-CN"/>
        </w:rPr>
        <w:t>招标办</w:t>
      </w:r>
      <w:r>
        <w:rPr>
          <w:rFonts w:hint="eastAsia" w:ascii="宋体" w:hAnsi="宋体" w:cs="宋体"/>
          <w:kern w:val="0"/>
          <w:sz w:val="28"/>
          <w:szCs w:val="28"/>
          <w:highlight w:val="none"/>
        </w:rPr>
        <w:t>。联系人：马老师、罗老师</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w:t>
      </w:r>
      <w:r>
        <w:rPr>
          <w:rFonts w:hint="eastAsia" w:ascii="宋体" w:hAnsi="宋体"/>
          <w:sz w:val="28"/>
          <w:szCs w:val="28"/>
          <w:highlight w:val="none"/>
        </w:rPr>
        <w:t>2020年</w:t>
      </w:r>
      <w:r>
        <w:rPr>
          <w:rFonts w:hint="eastAsia" w:ascii="宋体" w:hAnsi="宋体"/>
          <w:sz w:val="28"/>
          <w:szCs w:val="28"/>
          <w:highlight w:val="none"/>
          <w:lang w:val="en-US" w:eastAsia="zh-CN"/>
        </w:rPr>
        <w:t>08</w:t>
      </w:r>
      <w:r>
        <w:rPr>
          <w:rFonts w:hint="eastAsia" w:ascii="宋体" w:hAnsi="宋体"/>
          <w:sz w:val="28"/>
          <w:szCs w:val="28"/>
          <w:highlight w:val="none"/>
        </w:rPr>
        <w:t>月</w:t>
      </w:r>
      <w:r>
        <w:rPr>
          <w:rFonts w:hint="eastAsia" w:ascii="宋体" w:hAnsi="宋体"/>
          <w:sz w:val="28"/>
          <w:szCs w:val="28"/>
          <w:highlight w:val="none"/>
          <w:lang w:val="en-US" w:eastAsia="zh-CN"/>
        </w:rPr>
        <w:t>06</w:t>
      </w:r>
      <w:r>
        <w:rPr>
          <w:rFonts w:hint="eastAsia" w:ascii="宋体" w:hAnsi="宋体"/>
          <w:sz w:val="28"/>
          <w:szCs w:val="28"/>
          <w:highlight w:val="none"/>
        </w:rPr>
        <w:t>日09：00</w:t>
      </w:r>
      <w:r>
        <w:rPr>
          <w:rFonts w:hint="eastAsia" w:ascii="宋体" w:hAnsi="宋体"/>
          <w:sz w:val="28"/>
          <w:szCs w:val="28"/>
          <w:highlight w:val="none"/>
        </w:rPr>
        <w:t>；(不安排公开开标、唱标，由</w:t>
      </w:r>
      <w:r>
        <w:rPr>
          <w:rFonts w:hint="eastAsia" w:ascii="宋体" w:hAnsi="宋体"/>
          <w:sz w:val="28"/>
          <w:szCs w:val="28"/>
          <w:highlight w:val="none"/>
          <w:lang w:val="en-US" w:eastAsia="zh-CN"/>
        </w:rPr>
        <w:t>招标办</w:t>
      </w:r>
      <w:r>
        <w:rPr>
          <w:rFonts w:hint="eastAsia" w:ascii="宋体" w:hAnsi="宋体"/>
          <w:sz w:val="28"/>
          <w:szCs w:val="28"/>
          <w:highlight w:val="none"/>
        </w:rPr>
        <w:t>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w:t>
      </w:r>
      <w:r>
        <w:rPr>
          <w:rFonts w:hint="eastAsia" w:ascii="宋体" w:hAnsi="宋体"/>
          <w:sz w:val="28"/>
          <w:szCs w:val="28"/>
          <w:highlight w:val="none"/>
          <w:lang w:val="en-US" w:eastAsia="zh-CN"/>
        </w:rPr>
        <w:t>招标办</w:t>
      </w:r>
      <w:r>
        <w:rPr>
          <w:rFonts w:hint="eastAsia" w:ascii="宋体" w:hAnsi="宋体"/>
          <w:sz w:val="28"/>
          <w:szCs w:val="28"/>
          <w:highlight w:val="none"/>
        </w:rPr>
        <w:t>（招投标管理业务单位）：联系电话：</w:t>
      </w:r>
      <w:r>
        <w:rPr>
          <w:rFonts w:ascii="宋体" w:hAnsi="宋体"/>
          <w:sz w:val="28"/>
          <w:szCs w:val="28"/>
          <w:highlight w:val="none"/>
        </w:rPr>
        <w:t>025-58731441</w:t>
      </w:r>
      <w:r>
        <w:rPr>
          <w:rFonts w:hint="eastAsia" w:ascii="宋体" w:hAnsi="宋体"/>
          <w:sz w:val="28"/>
          <w:szCs w:val="28"/>
          <w:highlight w:val="none"/>
        </w:rPr>
        <w:t>，联系人：马老师、罗老师；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用户单位联系电话：15850551662，联系人：张老师。</w:t>
      </w:r>
    </w:p>
    <w:p>
      <w:pPr>
        <w:pStyle w:val="7"/>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rPr>
          <w:rFonts w:hint="default" w:ascii="宋体" w:eastAsia="宋体"/>
          <w:b/>
          <w:sz w:val="28"/>
          <w:szCs w:val="28"/>
          <w:highlight w:val="none"/>
          <w:lang w:val="en-US" w:eastAsia="zh-CN"/>
        </w:rPr>
      </w:pPr>
      <w:bookmarkStart w:id="8" w:name="_Hlk9866962"/>
      <w:r>
        <w:rPr>
          <w:rFonts w:hint="eastAsia" w:ascii="宋体" w:hAnsi="宋体"/>
          <w:b/>
          <w:sz w:val="28"/>
          <w:szCs w:val="28"/>
          <w:highlight w:val="none"/>
        </w:rPr>
        <w:t>南京信息工程大学</w:t>
      </w:r>
      <w:r>
        <w:rPr>
          <w:rFonts w:hint="eastAsia" w:ascii="宋体" w:hAnsi="宋体"/>
          <w:b/>
          <w:sz w:val="28"/>
          <w:szCs w:val="28"/>
          <w:highlight w:val="none"/>
          <w:lang w:val="en-US" w:eastAsia="zh-CN"/>
        </w:rPr>
        <w:t>招标办</w:t>
      </w:r>
    </w:p>
    <w:p>
      <w:pPr>
        <w:pStyle w:val="10"/>
        <w:spacing w:line="360" w:lineRule="auto"/>
        <w:ind w:left="99" w:leftChars="47" w:firstLine="4919" w:firstLineChars="1750"/>
        <w:rPr>
          <w:rStyle w:val="39"/>
          <w:rFonts w:ascii="宋体" w:hAnsi="Times New Roman" w:eastAsia="宋体"/>
          <w:sz w:val="28"/>
          <w:szCs w:val="28"/>
          <w:highlight w:val="none"/>
        </w:rPr>
      </w:pPr>
      <w:r>
        <w:rPr>
          <w:rStyle w:val="39"/>
          <w:rFonts w:ascii="宋体" w:hAnsi="宋体" w:eastAsia="宋体"/>
          <w:sz w:val="28"/>
          <w:szCs w:val="28"/>
          <w:highlight w:val="none"/>
        </w:rPr>
        <w:t>20</w:t>
      </w:r>
      <w:r>
        <w:rPr>
          <w:rStyle w:val="39"/>
          <w:rFonts w:hint="eastAsia" w:ascii="宋体" w:hAnsi="宋体" w:eastAsia="宋体"/>
          <w:sz w:val="28"/>
          <w:szCs w:val="28"/>
          <w:highlight w:val="none"/>
        </w:rPr>
        <w:t>20年0</w:t>
      </w:r>
      <w:r>
        <w:rPr>
          <w:rStyle w:val="39"/>
          <w:rFonts w:hint="eastAsia" w:ascii="宋体" w:hAnsi="宋体"/>
          <w:sz w:val="28"/>
          <w:szCs w:val="28"/>
          <w:highlight w:val="none"/>
        </w:rPr>
        <w:t>7</w:t>
      </w:r>
      <w:r>
        <w:rPr>
          <w:rStyle w:val="39"/>
          <w:rFonts w:hint="eastAsia" w:ascii="宋体" w:hAnsi="宋体" w:eastAsia="宋体"/>
          <w:sz w:val="28"/>
          <w:szCs w:val="28"/>
          <w:highlight w:val="none"/>
        </w:rPr>
        <w:t>月</w:t>
      </w:r>
      <w:r>
        <w:rPr>
          <w:rStyle w:val="39"/>
          <w:rFonts w:hint="eastAsia" w:ascii="宋体" w:hAnsi="宋体"/>
          <w:sz w:val="28"/>
          <w:szCs w:val="28"/>
          <w:highlight w:val="none"/>
          <w:lang w:val="en-US"/>
        </w:rPr>
        <w:t>17</w:t>
      </w:r>
      <w:r>
        <w:rPr>
          <w:rStyle w:val="39"/>
          <w:rFonts w:hint="eastAsia" w:ascii="宋体" w:hAnsi="宋体" w:eastAsia="宋体"/>
          <w:sz w:val="28"/>
          <w:szCs w:val="28"/>
          <w:highlight w:val="none"/>
        </w:rPr>
        <w:t>日</w:t>
      </w:r>
    </w:p>
    <w:bookmarkEnd w:id="8"/>
    <w:p>
      <w:pPr>
        <w:pStyle w:val="9"/>
        <w:adjustRightInd w:val="0"/>
        <w:snapToGrid w:val="0"/>
        <w:spacing w:before="120" w:after="120" w:line="360" w:lineRule="auto"/>
        <w:rPr>
          <w:rStyle w:val="39"/>
          <w:rFonts w:ascii="宋体" w:hAnsi="宋体" w:eastAsia="宋体"/>
          <w:b w:val="0"/>
          <w:sz w:val="28"/>
          <w:szCs w:val="28"/>
          <w:highlight w:val="none"/>
        </w:rPr>
      </w:pPr>
      <w:r>
        <w:rPr>
          <w:rStyle w:val="39"/>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32"/>
          <w:szCs w:val="32"/>
          <w:highlight w:val="none"/>
        </w:rPr>
      </w:pPr>
      <w:r>
        <w:rPr>
          <w:rFonts w:hint="eastAsia" w:hAnsi="宋体"/>
          <w:b/>
          <w:sz w:val="32"/>
          <w:szCs w:val="32"/>
          <w:highlight w:val="none"/>
        </w:rPr>
        <w:t>招标项目设备名称、数量、主要技术要求及其他要求</w:t>
      </w:r>
    </w:p>
    <w:tbl>
      <w:tblPr>
        <w:tblStyle w:val="16"/>
        <w:tblW w:w="5000" w:type="pct"/>
        <w:tblInd w:w="0" w:type="dxa"/>
        <w:tblLayout w:type="fixed"/>
        <w:tblCellMar>
          <w:top w:w="15" w:type="dxa"/>
          <w:left w:w="15" w:type="dxa"/>
          <w:bottom w:w="15" w:type="dxa"/>
          <w:right w:w="15" w:type="dxa"/>
        </w:tblCellMar>
      </w:tblPr>
      <w:tblGrid>
        <w:gridCol w:w="513"/>
        <w:gridCol w:w="2555"/>
        <w:gridCol w:w="1425"/>
        <w:gridCol w:w="1425"/>
        <w:gridCol w:w="815"/>
        <w:gridCol w:w="3503"/>
      </w:tblGrid>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highlight w:val="none"/>
              </w:rPr>
            </w:pPr>
            <w:r>
              <w:rPr>
                <w:color w:val="000000"/>
                <w:kern w:val="0"/>
                <w:sz w:val="24"/>
                <w:highlight w:val="none"/>
              </w:rPr>
              <w:t>分包</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highlight w:val="none"/>
              </w:rPr>
            </w:pPr>
            <w:r>
              <w:rPr>
                <w:color w:val="000000"/>
                <w:kern w:val="0"/>
                <w:sz w:val="24"/>
                <w:highlight w:val="none"/>
              </w:rPr>
              <w:t>仪器设备名称</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highlight w:val="none"/>
              </w:rPr>
            </w:pPr>
            <w:r>
              <w:rPr>
                <w:color w:val="000000"/>
                <w:kern w:val="0"/>
                <w:sz w:val="24"/>
                <w:highlight w:val="none"/>
              </w:rPr>
              <w:t>参考型号</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highlight w:val="none"/>
              </w:rPr>
            </w:pPr>
            <w:r>
              <w:rPr>
                <w:color w:val="000000"/>
                <w:kern w:val="0"/>
                <w:sz w:val="24"/>
                <w:highlight w:val="none"/>
              </w:rPr>
              <w:t>单位</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highlight w:val="none"/>
              </w:rPr>
            </w:pPr>
            <w:r>
              <w:rPr>
                <w:color w:val="000000"/>
                <w:kern w:val="0"/>
                <w:sz w:val="24"/>
                <w:highlight w:val="none"/>
              </w:rPr>
              <w:t>数量</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highlight w:val="none"/>
              </w:rPr>
            </w:pPr>
            <w:r>
              <w:rPr>
                <w:color w:val="000000"/>
                <w:kern w:val="0"/>
                <w:sz w:val="24"/>
                <w:highlight w:val="none"/>
              </w:rPr>
              <w:t>主要配置或技术参数</w:t>
            </w:r>
          </w:p>
        </w:tc>
      </w:tr>
      <w:tr>
        <w:tblPrEx>
          <w:tblCellMar>
            <w:top w:w="15" w:type="dxa"/>
            <w:left w:w="15" w:type="dxa"/>
            <w:bottom w:w="15" w:type="dxa"/>
            <w:right w:w="15" w:type="dxa"/>
          </w:tblCellMar>
        </w:tblPrEx>
        <w:tc>
          <w:tcPr>
            <w:tcW w:w="25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000000"/>
                <w:sz w:val="24"/>
                <w:highlight w:val="none"/>
              </w:rPr>
            </w:pPr>
            <w:r>
              <w:rPr>
                <w:color w:val="000000"/>
                <w:kern w:val="0"/>
                <w:sz w:val="24"/>
                <w:highlight w:val="none"/>
              </w:rPr>
              <w:t>1</w:t>
            </w:r>
          </w:p>
        </w:tc>
        <w:tc>
          <w:tcPr>
            <w:tcW w:w="124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eastAsiaTheme="minorEastAsia"/>
                <w:color w:val="FF0000"/>
                <w:sz w:val="24"/>
                <w:highlight w:val="none"/>
              </w:rPr>
            </w:pPr>
            <w:r>
              <w:rPr>
                <w:rFonts w:hint="eastAsia" w:eastAsiaTheme="minorEastAsia"/>
                <w:sz w:val="24"/>
                <w:highlight w:val="none"/>
              </w:rPr>
              <w:t>流式细胞仪</w:t>
            </w: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color w:val="FF0000"/>
                <w:kern w:val="0"/>
                <w:sz w:val="24"/>
                <w:highlight w:val="none"/>
              </w:rPr>
            </w:pPr>
          </w:p>
        </w:tc>
        <w:tc>
          <w:tcPr>
            <w:tcW w:w="6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sz w:val="24"/>
                <w:highlight w:val="none"/>
              </w:rPr>
              <w:t>台</w:t>
            </w:r>
          </w:p>
        </w:tc>
        <w:tc>
          <w:tcPr>
            <w:tcW w:w="398"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sz w:val="24"/>
                <w:highlight w:val="none"/>
              </w:rPr>
            </w:pPr>
            <w:r>
              <w:rPr>
                <w:kern w:val="0"/>
                <w:sz w:val="24"/>
                <w:highlight w:val="none"/>
              </w:rPr>
              <w:t>1</w:t>
            </w:r>
          </w:p>
        </w:tc>
        <w:tc>
          <w:tcPr>
            <w:tcW w:w="1711"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color w:val="000000"/>
                <w:sz w:val="24"/>
                <w:highlight w:val="none"/>
              </w:rPr>
            </w:pPr>
            <w:r>
              <w:rPr>
                <w:color w:val="000000"/>
                <w:sz w:val="24"/>
                <w:highlight w:val="none"/>
              </w:rPr>
              <w:t>详见表后内容</w:t>
            </w:r>
          </w:p>
        </w:tc>
      </w:tr>
    </w:tbl>
    <w:p>
      <w:pPr>
        <w:pStyle w:val="7"/>
        <w:ind w:left="1470" w:right="1470"/>
        <w:rPr>
          <w:highlight w:val="none"/>
        </w:rPr>
      </w:pPr>
    </w:p>
    <w:p>
      <w:pPr>
        <w:widowControl/>
        <w:spacing w:line="360" w:lineRule="auto"/>
        <w:jc w:val="left"/>
        <w:rPr>
          <w:rFonts w:ascii="宋体" w:hAnsi="宋体" w:cs="Arial"/>
          <w:b/>
          <w:sz w:val="24"/>
          <w:highlight w:val="none"/>
        </w:rPr>
      </w:pPr>
      <w:r>
        <w:rPr>
          <w:rFonts w:hint="eastAsia"/>
          <w:b/>
          <w:color w:val="000000"/>
          <w:kern w:val="0"/>
          <w:sz w:val="24"/>
          <w:highlight w:val="none"/>
        </w:rPr>
        <w:t>一、</w:t>
      </w:r>
      <w:r>
        <w:rPr>
          <w:b/>
          <w:color w:val="000000"/>
          <w:kern w:val="0"/>
          <w:sz w:val="24"/>
          <w:highlight w:val="none"/>
        </w:rPr>
        <w:t>主要配置或技术参数</w:t>
      </w:r>
      <w:r>
        <w:rPr>
          <w:b/>
          <w:highlight w:val="none"/>
        </w:rPr>
        <w:t>：</w:t>
      </w:r>
    </w:p>
    <w:p>
      <w:pPr>
        <w:spacing w:line="360" w:lineRule="auto"/>
        <w:rPr>
          <w:rFonts w:ascii="宋体" w:hAnsi="宋体" w:cs="Arial"/>
          <w:sz w:val="24"/>
          <w:highlight w:val="none"/>
        </w:rPr>
      </w:pPr>
      <w:r>
        <w:rPr>
          <w:rFonts w:hint="eastAsia" w:ascii="宋体" w:hAnsi="宋体"/>
          <w:color w:val="000000"/>
          <w:szCs w:val="21"/>
          <w:highlight w:val="none"/>
        </w:rPr>
        <w:t>1.★</w:t>
      </w:r>
      <w:r>
        <w:rPr>
          <w:rFonts w:hint="eastAsia" w:ascii="宋体" w:hAnsi="宋体" w:cs="Arial"/>
          <w:sz w:val="24"/>
          <w:highlight w:val="none"/>
        </w:rPr>
        <w:t>激光器：</w:t>
      </w:r>
      <w:r>
        <w:rPr>
          <w:rFonts w:ascii="宋体" w:hAnsi="宋体" w:cs="Arial"/>
          <w:sz w:val="24"/>
          <w:highlight w:val="none"/>
        </w:rPr>
        <w:t>20mW 488nm蓝色</w:t>
      </w:r>
      <w:r>
        <w:rPr>
          <w:rFonts w:hint="eastAsia" w:ascii="宋体" w:hAnsi="宋体" w:cs="Arial"/>
          <w:sz w:val="24"/>
          <w:highlight w:val="none"/>
        </w:rPr>
        <w:t>全</w:t>
      </w:r>
      <w:r>
        <w:rPr>
          <w:rFonts w:ascii="宋体" w:hAnsi="宋体" w:cs="Arial"/>
          <w:sz w:val="24"/>
          <w:highlight w:val="none"/>
        </w:rPr>
        <w:t>固</w:t>
      </w:r>
      <w:r>
        <w:rPr>
          <w:rFonts w:hint="eastAsia" w:ascii="宋体" w:hAnsi="宋体" w:cs="Arial"/>
          <w:sz w:val="24"/>
          <w:highlight w:val="none"/>
        </w:rPr>
        <w:t>态</w:t>
      </w:r>
      <w:r>
        <w:rPr>
          <w:rFonts w:ascii="宋体" w:hAnsi="宋体" w:cs="Arial"/>
          <w:sz w:val="24"/>
          <w:highlight w:val="none"/>
        </w:rPr>
        <w:t>激光器，</w:t>
      </w:r>
      <w:r>
        <w:rPr>
          <w:rFonts w:hint="eastAsia" w:ascii="宋体" w:hAnsi="宋体" w:cs="Arial"/>
          <w:sz w:val="24"/>
          <w:highlight w:val="none"/>
        </w:rPr>
        <w:t xml:space="preserve"> 40</w:t>
      </w:r>
      <w:r>
        <w:rPr>
          <w:rFonts w:ascii="宋体" w:hAnsi="宋体" w:cs="Arial"/>
          <w:sz w:val="24"/>
          <w:highlight w:val="none"/>
        </w:rPr>
        <w:t>mW 6</w:t>
      </w:r>
      <w:r>
        <w:rPr>
          <w:rFonts w:hint="eastAsia" w:ascii="宋体" w:hAnsi="宋体" w:cs="Arial"/>
          <w:sz w:val="24"/>
          <w:highlight w:val="none"/>
        </w:rPr>
        <w:t>40</w:t>
      </w:r>
      <w:r>
        <w:rPr>
          <w:rFonts w:ascii="宋体" w:hAnsi="宋体" w:cs="Arial"/>
          <w:sz w:val="24"/>
          <w:highlight w:val="none"/>
        </w:rPr>
        <w:t>nm</w:t>
      </w:r>
      <w:r>
        <w:rPr>
          <w:rFonts w:hint="eastAsia" w:ascii="宋体" w:hAnsi="宋体" w:cs="Arial"/>
          <w:sz w:val="24"/>
          <w:highlight w:val="none"/>
        </w:rPr>
        <w:t>红色全固态激光器，为避免温度变化带来的能量波动和激光光斑漂移，同时延长使用寿命，激光器须自带半导体温控（TEC）模块，可对激光器进行精确加热和降温</w:t>
      </w:r>
    </w:p>
    <w:p>
      <w:pPr>
        <w:spacing w:line="360" w:lineRule="auto"/>
        <w:rPr>
          <w:rFonts w:ascii="宋体" w:hAnsi="宋体" w:cs="Arial"/>
          <w:sz w:val="24"/>
          <w:highlight w:val="none"/>
        </w:rPr>
      </w:pPr>
      <w:r>
        <w:rPr>
          <w:rFonts w:hint="eastAsia" w:ascii="宋体" w:hAnsi="宋体" w:cs="Arial"/>
          <w:sz w:val="24"/>
          <w:highlight w:val="none"/>
        </w:rPr>
        <w:t>2.激光</w:t>
      </w:r>
      <w:r>
        <w:rPr>
          <w:rFonts w:hint="eastAsia" w:ascii="宋体" w:hAnsi="宋体"/>
          <w:sz w:val="24"/>
          <w:highlight w:val="none"/>
        </w:rPr>
        <w:t>激发方式：立体空间激发</w:t>
      </w:r>
    </w:p>
    <w:p>
      <w:pPr>
        <w:spacing w:line="360" w:lineRule="auto"/>
        <w:rPr>
          <w:rFonts w:ascii="宋体" w:hAnsi="宋体" w:cs="Arial"/>
          <w:sz w:val="24"/>
          <w:highlight w:val="none"/>
        </w:rPr>
      </w:pPr>
      <w:r>
        <w:rPr>
          <w:rFonts w:hint="eastAsia" w:ascii="宋体" w:hAnsi="宋体"/>
          <w:color w:val="000000"/>
          <w:szCs w:val="21"/>
          <w:highlight w:val="none"/>
        </w:rPr>
        <w:t>3.</w:t>
      </w:r>
      <w:r>
        <w:rPr>
          <w:rFonts w:hint="eastAsia" w:ascii="宋体" w:hAnsi="宋体" w:cs="Arial"/>
          <w:sz w:val="24"/>
          <w:highlight w:val="none"/>
        </w:rPr>
        <w:t>荧光检测器：为保证检测结果稳定性，采用光电倍增管，非对温度敏感的雪崩式二极管</w:t>
      </w:r>
    </w:p>
    <w:p>
      <w:pPr>
        <w:spacing w:line="360" w:lineRule="auto"/>
        <w:rPr>
          <w:rFonts w:ascii="宋体" w:hAnsi="宋体" w:cs="Arial"/>
          <w:sz w:val="24"/>
          <w:highlight w:val="none"/>
        </w:rPr>
      </w:pPr>
      <w:r>
        <w:rPr>
          <w:rFonts w:hint="eastAsia" w:ascii="宋体" w:hAnsi="宋体"/>
          <w:color w:val="000000"/>
          <w:szCs w:val="21"/>
          <w:highlight w:val="none"/>
        </w:rPr>
        <w:t>4.</w:t>
      </w:r>
      <w:r>
        <w:rPr>
          <w:rFonts w:hint="eastAsia" w:ascii="宋体" w:hAnsi="宋体" w:cs="Arial"/>
          <w:sz w:val="24"/>
          <w:highlight w:val="none"/>
        </w:rPr>
        <w:t>光路传导：为避免光纤传输带来的光量子耦合损失，确保荧光收集效率和提高灵敏度，</w:t>
      </w:r>
      <w:r>
        <w:rPr>
          <w:rFonts w:hint="eastAsia" w:ascii="宋体" w:hAnsi="宋体"/>
          <w:sz w:val="24"/>
          <w:highlight w:val="none"/>
        </w:rPr>
        <w:t>激光传递和荧光传导采用空气传导，非光纤传导</w:t>
      </w:r>
    </w:p>
    <w:p>
      <w:pPr>
        <w:spacing w:line="360" w:lineRule="auto"/>
        <w:rPr>
          <w:rFonts w:ascii="宋体" w:hAnsi="宋体" w:cs="Arial"/>
          <w:sz w:val="24"/>
          <w:highlight w:val="none"/>
        </w:rPr>
      </w:pPr>
      <w:r>
        <w:rPr>
          <w:rFonts w:hint="eastAsia" w:ascii="宋体" w:hAnsi="宋体"/>
          <w:sz w:val="24"/>
          <w:highlight w:val="none"/>
        </w:rPr>
        <w:t>5.检测通道：</w:t>
      </w:r>
      <w:r>
        <w:rPr>
          <w:rFonts w:hint="eastAsia" w:ascii="宋体" w:hAnsi="宋体" w:cs="Arial"/>
          <w:sz w:val="24"/>
          <w:highlight w:val="none"/>
        </w:rPr>
        <w:t>FS</w:t>
      </w:r>
      <w:r>
        <w:rPr>
          <w:rFonts w:ascii="宋体" w:hAnsi="宋体" w:cs="Arial"/>
          <w:sz w:val="24"/>
          <w:highlight w:val="none"/>
        </w:rPr>
        <w:t>C</w:t>
      </w:r>
      <w:r>
        <w:rPr>
          <w:rFonts w:hint="eastAsia" w:ascii="宋体" w:hAnsi="宋体" w:cs="Arial"/>
          <w:sz w:val="24"/>
          <w:highlight w:val="none"/>
        </w:rPr>
        <w:t>，SSC， FL1，FL2，FL3，FL4</w:t>
      </w:r>
    </w:p>
    <w:p>
      <w:pPr>
        <w:widowControl/>
        <w:spacing w:line="360" w:lineRule="auto"/>
        <w:jc w:val="left"/>
        <w:rPr>
          <w:rFonts w:ascii="宋体" w:hAnsi="宋体" w:cs="Arial"/>
          <w:sz w:val="24"/>
          <w:highlight w:val="none"/>
        </w:rPr>
      </w:pPr>
      <w:r>
        <w:rPr>
          <w:rFonts w:hint="eastAsia" w:ascii="宋体" w:hAnsi="宋体" w:cs="Arial"/>
          <w:sz w:val="24"/>
          <w:highlight w:val="none"/>
        </w:rPr>
        <w:t>6.检测参数：包括所有通道面积（A</w:t>
      </w:r>
      <w:r>
        <w:rPr>
          <w:rFonts w:ascii="宋体" w:hAnsi="宋体" w:cs="Arial"/>
          <w:sz w:val="24"/>
          <w:highlight w:val="none"/>
        </w:rPr>
        <w:t>）</w:t>
      </w:r>
      <w:r>
        <w:rPr>
          <w:rFonts w:hint="eastAsia" w:ascii="宋体" w:hAnsi="宋体" w:cs="Arial"/>
          <w:sz w:val="24"/>
          <w:highlight w:val="none"/>
        </w:rPr>
        <w:t>，宽度（W），高度（H）以及时间，有效区分粘连细胞和单个细胞</w:t>
      </w:r>
    </w:p>
    <w:p>
      <w:pPr>
        <w:widowControl/>
        <w:spacing w:line="360" w:lineRule="auto"/>
        <w:jc w:val="left"/>
        <w:rPr>
          <w:rFonts w:ascii="宋体" w:hAnsi="宋体" w:cs="Arial"/>
          <w:sz w:val="24"/>
          <w:highlight w:val="none"/>
        </w:rPr>
      </w:pPr>
      <w:r>
        <w:rPr>
          <w:rFonts w:hint="eastAsia" w:ascii="宋体" w:hAnsi="宋体" w:cs="Arial"/>
          <w:sz w:val="24"/>
          <w:highlight w:val="none"/>
        </w:rPr>
        <w:t>7.散射光分辨率：F</w:t>
      </w:r>
      <w:r>
        <w:rPr>
          <w:rFonts w:ascii="宋体" w:hAnsi="宋体" w:cs="Arial"/>
          <w:sz w:val="24"/>
          <w:highlight w:val="none"/>
        </w:rPr>
        <w:t>SC</w:t>
      </w:r>
      <w:r>
        <w:rPr>
          <w:rFonts w:hint="eastAsia" w:ascii="宋体" w:hAnsi="宋体" w:cs="Arial"/>
          <w:sz w:val="24"/>
          <w:highlight w:val="none"/>
        </w:rPr>
        <w:t>：0.5um; S</w:t>
      </w:r>
      <w:r>
        <w:rPr>
          <w:rFonts w:ascii="宋体" w:hAnsi="宋体" w:cs="Arial"/>
          <w:sz w:val="24"/>
          <w:highlight w:val="none"/>
        </w:rPr>
        <w:t>SC</w:t>
      </w:r>
      <w:r>
        <w:rPr>
          <w:rFonts w:hint="eastAsia" w:ascii="宋体" w:hAnsi="宋体" w:cs="Arial"/>
          <w:sz w:val="24"/>
          <w:highlight w:val="none"/>
        </w:rPr>
        <w:t>：0.2um</w:t>
      </w:r>
    </w:p>
    <w:p>
      <w:pPr>
        <w:widowControl/>
        <w:spacing w:line="360" w:lineRule="auto"/>
        <w:jc w:val="left"/>
        <w:rPr>
          <w:rFonts w:ascii="宋体" w:hAnsi="宋体" w:cs="宋体"/>
          <w:sz w:val="24"/>
          <w:highlight w:val="none"/>
        </w:rPr>
      </w:pPr>
      <w:r>
        <w:rPr>
          <w:rFonts w:hint="eastAsia" w:ascii="宋体" w:hAnsi="宋体" w:cs="宋体"/>
          <w:sz w:val="24"/>
          <w:highlight w:val="none"/>
        </w:rPr>
        <w:t>8.检测颗粒直径：0.2～50μm</w:t>
      </w:r>
    </w:p>
    <w:p>
      <w:pPr>
        <w:widowControl/>
        <w:spacing w:line="360" w:lineRule="auto"/>
        <w:jc w:val="left"/>
        <w:rPr>
          <w:rFonts w:ascii="宋体" w:hAnsi="宋体" w:cs="Arial"/>
          <w:sz w:val="24"/>
          <w:highlight w:val="none"/>
        </w:rPr>
      </w:pPr>
      <w:r>
        <w:rPr>
          <w:rFonts w:hint="eastAsia" w:ascii="宋体" w:hAnsi="宋体" w:cs="宋体"/>
          <w:sz w:val="24"/>
          <w:highlight w:val="none"/>
        </w:rPr>
        <w:t>9.荧光</w:t>
      </w:r>
      <w:r>
        <w:rPr>
          <w:rFonts w:hint="eastAsia" w:ascii="宋体" w:hAnsi="宋体" w:cs="Arial"/>
          <w:sz w:val="24"/>
          <w:highlight w:val="none"/>
        </w:rPr>
        <w:t>灵敏度: FITC&lt;1</w:t>
      </w:r>
      <w:r>
        <w:rPr>
          <w:rFonts w:ascii="宋体" w:hAnsi="宋体" w:cs="Arial"/>
          <w:sz w:val="24"/>
          <w:highlight w:val="none"/>
        </w:rPr>
        <w:t>0</w:t>
      </w:r>
      <w:r>
        <w:rPr>
          <w:rFonts w:hint="eastAsia" w:ascii="宋体" w:hAnsi="宋体" w:cs="Arial"/>
          <w:sz w:val="24"/>
          <w:highlight w:val="none"/>
        </w:rPr>
        <w:t>MESF;PE&lt;10MESF（要求提供第三方检测报告）</w:t>
      </w:r>
    </w:p>
    <w:p>
      <w:pPr>
        <w:widowControl/>
        <w:spacing w:line="360" w:lineRule="auto"/>
        <w:jc w:val="left"/>
        <w:rPr>
          <w:rFonts w:ascii="宋体" w:hAnsi="宋体" w:cs="Arial"/>
          <w:sz w:val="24"/>
          <w:highlight w:val="none"/>
        </w:rPr>
      </w:pPr>
      <w:r>
        <w:rPr>
          <w:rFonts w:hint="eastAsia" w:ascii="宋体" w:hAnsi="宋体"/>
          <w:color w:val="000000"/>
          <w:szCs w:val="21"/>
          <w:highlight w:val="none"/>
        </w:rPr>
        <w:t>10. ★</w:t>
      </w:r>
      <w:r>
        <w:rPr>
          <w:rFonts w:hint="eastAsia" w:ascii="宋体" w:hAnsi="宋体" w:cs="Arial"/>
          <w:sz w:val="24"/>
          <w:highlight w:val="none"/>
        </w:rPr>
        <w:t>获取速率：35，000</w:t>
      </w:r>
      <w:r>
        <w:rPr>
          <w:rFonts w:ascii="宋体" w:hAnsi="宋体" w:cs="Arial"/>
          <w:sz w:val="24"/>
          <w:highlight w:val="none"/>
        </w:rPr>
        <w:t xml:space="preserve"> </w:t>
      </w:r>
      <w:r>
        <w:rPr>
          <w:rFonts w:hint="eastAsia" w:ascii="宋体" w:hAnsi="宋体" w:cs="Arial"/>
          <w:sz w:val="24"/>
          <w:highlight w:val="none"/>
        </w:rPr>
        <w:t>events/s</w:t>
      </w:r>
    </w:p>
    <w:p>
      <w:pPr>
        <w:widowControl/>
        <w:spacing w:line="360" w:lineRule="auto"/>
        <w:jc w:val="left"/>
        <w:rPr>
          <w:rFonts w:ascii="宋体" w:hAnsi="宋体" w:cs="Arial"/>
          <w:sz w:val="24"/>
          <w:highlight w:val="none"/>
        </w:rPr>
      </w:pPr>
      <w:r>
        <w:rPr>
          <w:rFonts w:hint="eastAsia" w:ascii="宋体" w:hAnsi="宋体" w:cs="宋体"/>
          <w:sz w:val="24"/>
          <w:highlight w:val="none"/>
        </w:rPr>
        <w:t>11.</w:t>
      </w:r>
      <w:r>
        <w:rPr>
          <w:rFonts w:hint="eastAsia" w:ascii="宋体" w:hAnsi="宋体"/>
          <w:color w:val="000000"/>
          <w:szCs w:val="21"/>
          <w:highlight w:val="none"/>
        </w:rPr>
        <w:t xml:space="preserve"> ★</w:t>
      </w:r>
      <w:r>
        <w:rPr>
          <w:rFonts w:hint="eastAsia" w:ascii="宋体" w:hAnsi="宋体" w:cs="Arial"/>
          <w:sz w:val="24"/>
          <w:highlight w:val="none"/>
        </w:rPr>
        <w:t>交叉污染：&lt;0.1%</w:t>
      </w:r>
    </w:p>
    <w:p>
      <w:pPr>
        <w:spacing w:line="360" w:lineRule="auto"/>
        <w:rPr>
          <w:rFonts w:ascii="宋体" w:hAnsi="宋体" w:cs="Arial"/>
          <w:sz w:val="24"/>
          <w:highlight w:val="none"/>
        </w:rPr>
      </w:pPr>
      <w:r>
        <w:rPr>
          <w:rFonts w:hint="eastAsia" w:ascii="宋体" w:hAnsi="宋体" w:cs="Arial"/>
          <w:sz w:val="24"/>
          <w:highlight w:val="none"/>
        </w:rPr>
        <w:t>12.全峰宽变异系数：CV&lt;2%</w:t>
      </w:r>
    </w:p>
    <w:p>
      <w:pPr>
        <w:widowControl/>
        <w:spacing w:line="360" w:lineRule="auto"/>
        <w:jc w:val="left"/>
        <w:rPr>
          <w:rFonts w:ascii="宋体" w:hAnsi="宋体" w:cs="Arial"/>
          <w:sz w:val="24"/>
          <w:highlight w:val="none"/>
        </w:rPr>
      </w:pPr>
      <w:r>
        <w:rPr>
          <w:rFonts w:hint="eastAsia" w:ascii="宋体" w:hAnsi="宋体" w:cs="Arial"/>
          <w:sz w:val="24"/>
          <w:highlight w:val="none"/>
        </w:rPr>
        <w:t>13.绝对计数：标配无需微球绝对计数功能，精度误差在±5%</w:t>
      </w:r>
      <w:r>
        <w:rPr>
          <w:rFonts w:ascii="宋体" w:hAnsi="宋体" w:cs="Arial"/>
          <w:sz w:val="24"/>
          <w:highlight w:val="none"/>
        </w:rPr>
        <w:t xml:space="preserve"> 以内</w:t>
      </w:r>
    </w:p>
    <w:p>
      <w:pPr>
        <w:widowControl/>
        <w:spacing w:line="360" w:lineRule="auto"/>
        <w:jc w:val="left"/>
        <w:rPr>
          <w:rFonts w:ascii="宋体" w:hAnsi="宋体" w:cs="Arial"/>
          <w:sz w:val="24"/>
          <w:highlight w:val="none"/>
        </w:rPr>
      </w:pPr>
      <w:r>
        <w:rPr>
          <w:rFonts w:hint="eastAsia" w:ascii="宋体" w:hAnsi="宋体"/>
          <w:color w:val="000000"/>
          <w:szCs w:val="21"/>
          <w:highlight w:val="none"/>
        </w:rPr>
        <w:t>14.</w:t>
      </w:r>
      <w:r>
        <w:rPr>
          <w:rFonts w:hint="eastAsia" w:ascii="宋体" w:hAnsi="宋体" w:cs="Arial"/>
          <w:sz w:val="24"/>
          <w:highlight w:val="none"/>
        </w:rPr>
        <w:t>信号处理：24位动态范围（10</w:t>
      </w:r>
      <w:r>
        <w:rPr>
          <w:rFonts w:ascii="宋体" w:hAnsi="宋体" w:cs="Arial"/>
          <w:sz w:val="24"/>
          <w:highlight w:val="none"/>
          <w:vertAlign w:val="superscript"/>
        </w:rPr>
        <w:t>7</w:t>
      </w:r>
      <w:r>
        <w:rPr>
          <w:rFonts w:hint="eastAsia" w:ascii="宋体" w:hAnsi="宋体" w:cs="Arial"/>
          <w:sz w:val="24"/>
          <w:highlight w:val="none"/>
          <w:vertAlign w:val="superscript"/>
        </w:rPr>
        <w:t>。2</w:t>
      </w:r>
      <w:r>
        <w:rPr>
          <w:rFonts w:hint="eastAsia" w:ascii="宋体" w:hAnsi="宋体" w:cs="Arial"/>
          <w:sz w:val="24"/>
          <w:highlight w:val="none"/>
        </w:rPr>
        <w:t>动态范围），PMT支持免调电压和可调电压双重模式</w:t>
      </w:r>
    </w:p>
    <w:p>
      <w:pPr>
        <w:widowControl/>
        <w:spacing w:line="360" w:lineRule="auto"/>
        <w:jc w:val="left"/>
        <w:rPr>
          <w:rFonts w:ascii="宋体" w:hAnsi="宋体" w:cs="Arial"/>
          <w:sz w:val="24"/>
          <w:highlight w:val="none"/>
        </w:rPr>
      </w:pPr>
      <w:r>
        <w:rPr>
          <w:rFonts w:hint="eastAsia" w:ascii="宋体" w:hAnsi="宋体" w:cs="Arial"/>
          <w:sz w:val="24"/>
          <w:highlight w:val="none"/>
        </w:rPr>
        <w:t>15.荧光补偿：可在线和离线补偿，补偿方式为数字矩阵补偿、快速补偿、自动补偿</w:t>
      </w:r>
    </w:p>
    <w:p>
      <w:pPr>
        <w:widowControl/>
        <w:spacing w:line="360" w:lineRule="auto"/>
        <w:jc w:val="left"/>
        <w:rPr>
          <w:rFonts w:ascii="宋体" w:hAnsi="宋体" w:cs="Arial"/>
          <w:sz w:val="24"/>
          <w:highlight w:val="none"/>
        </w:rPr>
      </w:pPr>
      <w:r>
        <w:rPr>
          <w:rFonts w:hint="eastAsia" w:ascii="宋体" w:hAnsi="宋体" w:cs="Arial"/>
          <w:sz w:val="24"/>
          <w:highlight w:val="none"/>
        </w:rPr>
        <w:t>16.软件：标配中英文版本软件，具细胞周期自动拟合功能</w:t>
      </w:r>
    </w:p>
    <w:p>
      <w:pPr>
        <w:spacing w:line="360" w:lineRule="auto"/>
        <w:ind w:right="1470"/>
        <w:rPr>
          <w:rFonts w:ascii="宋体" w:hAnsi="宋体" w:cs="Arial"/>
          <w:sz w:val="24"/>
          <w:highlight w:val="none"/>
        </w:rPr>
      </w:pPr>
      <w:r>
        <w:rPr>
          <w:rFonts w:hint="eastAsia" w:ascii="宋体" w:hAnsi="宋体" w:cs="Arial"/>
          <w:sz w:val="24"/>
          <w:highlight w:val="none"/>
        </w:rPr>
        <w:t>17.进样检测的同时，支持分析数据：采集样本时，软件支持同时分析已经采集完成的样本。</w:t>
      </w:r>
    </w:p>
    <w:p>
      <w:pPr>
        <w:widowControl/>
        <w:spacing w:line="360" w:lineRule="auto"/>
        <w:jc w:val="left"/>
        <w:rPr>
          <w:rFonts w:ascii="宋体" w:hAnsi="宋体" w:cs="Arial"/>
          <w:sz w:val="24"/>
          <w:highlight w:val="none"/>
        </w:rPr>
      </w:pPr>
      <w:r>
        <w:rPr>
          <w:rFonts w:hint="eastAsia" w:ascii="宋体" w:hAnsi="宋体" w:cs="Arial"/>
          <w:sz w:val="24"/>
          <w:highlight w:val="none"/>
        </w:rPr>
        <w:t>18.质控：可以检测仪器各荧光通道的状态，生成Levey-Jennings图形文件，自动跟踪监测仪器性能</w:t>
      </w:r>
    </w:p>
    <w:p>
      <w:pPr>
        <w:widowControl/>
        <w:spacing w:line="360" w:lineRule="auto"/>
        <w:jc w:val="left"/>
        <w:rPr>
          <w:rFonts w:ascii="宋体" w:hAnsi="宋体" w:cs="Arial"/>
          <w:sz w:val="24"/>
          <w:highlight w:val="none"/>
        </w:rPr>
      </w:pPr>
      <w:r>
        <w:rPr>
          <w:rFonts w:hint="eastAsia" w:ascii="宋体" w:hAnsi="宋体" w:cs="Arial"/>
          <w:sz w:val="24"/>
          <w:highlight w:val="none"/>
        </w:rPr>
        <w:t>19.液路设计：采用经典的鞘液聚焦，有效提高液流稳定性</w:t>
      </w:r>
    </w:p>
    <w:p>
      <w:pPr>
        <w:widowControl/>
        <w:spacing w:line="360" w:lineRule="auto"/>
        <w:jc w:val="left"/>
        <w:rPr>
          <w:rFonts w:ascii="宋体" w:hAnsi="宋体" w:cs="Arial"/>
          <w:sz w:val="24"/>
          <w:highlight w:val="none"/>
        </w:rPr>
      </w:pPr>
      <w:r>
        <w:rPr>
          <w:rFonts w:hint="eastAsia" w:ascii="宋体" w:hAnsi="宋体"/>
          <w:color w:val="000000"/>
          <w:szCs w:val="21"/>
          <w:highlight w:val="none"/>
        </w:rPr>
        <w:t>20. ★</w:t>
      </w:r>
      <w:r>
        <w:rPr>
          <w:rFonts w:hint="eastAsia" w:ascii="宋体" w:hAnsi="宋体" w:cs="Arial"/>
          <w:sz w:val="24"/>
          <w:highlight w:val="none"/>
        </w:rPr>
        <w:t>液路动力：为防止管路堵塞，提供强液路压力，采用注射泵驱动，非蠕动泵驱动，同时无需定期更换管路耗材</w:t>
      </w:r>
    </w:p>
    <w:p>
      <w:pPr>
        <w:widowControl/>
        <w:spacing w:line="360" w:lineRule="auto"/>
        <w:jc w:val="left"/>
        <w:rPr>
          <w:rFonts w:ascii="宋体" w:hAnsi="宋体" w:cs="Arial"/>
          <w:sz w:val="24"/>
          <w:highlight w:val="none"/>
        </w:rPr>
      </w:pPr>
      <w:r>
        <w:rPr>
          <w:rFonts w:hint="eastAsia" w:ascii="宋体" w:hAnsi="宋体" w:cs="Arial"/>
          <w:sz w:val="24"/>
          <w:highlight w:val="none"/>
        </w:rPr>
        <w:t>21.样本流速：5-</w:t>
      </w:r>
      <w:r>
        <w:rPr>
          <w:rFonts w:ascii="宋体" w:hAnsi="宋体" w:cs="Arial"/>
          <w:sz w:val="24"/>
          <w:highlight w:val="none"/>
        </w:rPr>
        <w:t>120</w:t>
      </w:r>
      <w:r>
        <w:rPr>
          <w:rFonts w:hint="eastAsia" w:ascii="宋体" w:hAnsi="宋体" w:cs="Arial"/>
          <w:sz w:val="24"/>
          <w:highlight w:val="none"/>
        </w:rPr>
        <w:t>ul</w:t>
      </w:r>
      <w:r>
        <w:rPr>
          <w:rFonts w:ascii="宋体" w:hAnsi="宋体" w:cs="Arial"/>
          <w:sz w:val="24"/>
          <w:highlight w:val="none"/>
        </w:rPr>
        <w:t>/</w:t>
      </w:r>
      <w:r>
        <w:rPr>
          <w:rFonts w:hint="eastAsia" w:ascii="宋体" w:hAnsi="宋体" w:cs="Arial"/>
          <w:sz w:val="24"/>
          <w:highlight w:val="none"/>
        </w:rPr>
        <w:t>min，高中低三档可选，同时支持流速连续调节</w:t>
      </w:r>
    </w:p>
    <w:p>
      <w:pPr>
        <w:widowControl/>
        <w:spacing w:line="360" w:lineRule="auto"/>
        <w:jc w:val="left"/>
        <w:rPr>
          <w:rFonts w:ascii="宋体" w:hAnsi="宋体" w:cs="Arial"/>
          <w:sz w:val="24"/>
          <w:highlight w:val="none"/>
        </w:rPr>
      </w:pPr>
      <w:r>
        <w:rPr>
          <w:rFonts w:hint="eastAsia" w:ascii="宋体" w:hAnsi="宋体" w:cs="宋体"/>
          <w:bCs/>
          <w:sz w:val="24"/>
          <w:highlight w:val="none"/>
        </w:rPr>
        <w:t>22.清洗</w:t>
      </w:r>
      <w:r>
        <w:rPr>
          <w:rFonts w:hint="eastAsia" w:ascii="宋体" w:hAnsi="宋体" w:cs="Arial"/>
          <w:sz w:val="24"/>
          <w:highlight w:val="none"/>
        </w:rPr>
        <w:t>维护：一键式开关机，全自动液路清洗维护，每个样本做完后机器支持自动清洗管路和进样针的内壁和外壁，全程无需人员参与。无需进行周清洗和月清洗</w:t>
      </w:r>
    </w:p>
    <w:p>
      <w:pPr>
        <w:widowControl/>
        <w:spacing w:line="360" w:lineRule="auto"/>
        <w:jc w:val="left"/>
        <w:rPr>
          <w:rFonts w:ascii="宋体" w:hAnsi="宋体" w:cs="Arial"/>
          <w:sz w:val="24"/>
          <w:highlight w:val="none"/>
        </w:rPr>
      </w:pPr>
      <w:r>
        <w:rPr>
          <w:rFonts w:hint="eastAsia" w:ascii="宋体" w:hAnsi="宋体" w:cs="Arial"/>
          <w:sz w:val="24"/>
          <w:highlight w:val="none"/>
        </w:rPr>
        <w:t>23.上样方式：兼容标准流式管、E</w:t>
      </w:r>
      <w:r>
        <w:rPr>
          <w:rFonts w:ascii="宋体" w:hAnsi="宋体" w:cs="Arial"/>
          <w:sz w:val="24"/>
          <w:highlight w:val="none"/>
        </w:rPr>
        <w:t>P</w:t>
      </w:r>
      <w:r>
        <w:rPr>
          <w:rFonts w:hint="eastAsia" w:ascii="宋体" w:hAnsi="宋体" w:cs="Arial"/>
          <w:sz w:val="24"/>
          <w:highlight w:val="none"/>
        </w:rPr>
        <w:t>管等上样</w:t>
      </w:r>
    </w:p>
    <w:p>
      <w:pPr>
        <w:widowControl/>
        <w:spacing w:line="360" w:lineRule="auto"/>
        <w:jc w:val="left"/>
        <w:rPr>
          <w:rFonts w:ascii="宋体" w:hAnsi="宋体" w:cs="Arial"/>
          <w:sz w:val="24"/>
          <w:highlight w:val="none"/>
        </w:rPr>
      </w:pPr>
      <w:r>
        <w:rPr>
          <w:rFonts w:hint="eastAsia" w:ascii="宋体" w:hAnsi="宋体" w:cs="Arial"/>
          <w:sz w:val="24"/>
          <w:highlight w:val="none"/>
        </w:rPr>
        <w:t>24.可插拨式滤光片，支持通道配置更改</w:t>
      </w:r>
    </w:p>
    <w:p>
      <w:pPr>
        <w:spacing w:line="360" w:lineRule="auto"/>
        <w:rPr>
          <w:b/>
          <w:highlight w:val="none"/>
        </w:rPr>
      </w:pPr>
      <w:r>
        <w:rPr>
          <w:rFonts w:hint="eastAsia"/>
          <w:b/>
          <w:highlight w:val="none"/>
        </w:rPr>
        <w:t>（标注“</w:t>
      </w:r>
      <w:r>
        <w:rPr>
          <w:rFonts w:hint="eastAsia" w:ascii="宋体" w:hAnsi="宋体" w:cs="宋体"/>
          <w:kern w:val="0"/>
          <w:sz w:val="20"/>
          <w:szCs w:val="20"/>
          <w:highlight w:val="none"/>
        </w:rPr>
        <w:t>★</w:t>
      </w:r>
      <w:r>
        <w:rPr>
          <w:rFonts w:hint="eastAsia"/>
          <w:b/>
          <w:highlight w:val="none"/>
        </w:rPr>
        <w:t>”为核心指标，系必须满足项，否则，按无效标处理。）</w:t>
      </w:r>
    </w:p>
    <w:p>
      <w:pPr>
        <w:spacing w:line="360" w:lineRule="auto"/>
        <w:rPr>
          <w:b/>
          <w:sz w:val="24"/>
          <w:highlight w:val="none"/>
        </w:rPr>
      </w:pPr>
      <w:r>
        <w:rPr>
          <w:b/>
          <w:sz w:val="24"/>
          <w:highlight w:val="none"/>
        </w:rPr>
        <w:t>二、配置</w:t>
      </w:r>
    </w:p>
    <w:p>
      <w:pPr>
        <w:rPr>
          <w:rFonts w:ascii="宋体" w:hAnsi="宋体" w:cs="Arial"/>
          <w:sz w:val="24"/>
          <w:highlight w:val="none"/>
        </w:rPr>
      </w:pPr>
      <w:r>
        <w:rPr>
          <w:rFonts w:ascii="宋体" w:hAnsi="宋体" w:cs="Arial"/>
          <w:sz w:val="24"/>
          <w:highlight w:val="none"/>
        </w:rPr>
        <w:t xml:space="preserve">2.1 </w:t>
      </w:r>
      <w:r>
        <w:rPr>
          <w:rFonts w:hint="eastAsia" w:ascii="宋体" w:hAnsi="宋体" w:cs="Arial"/>
          <w:sz w:val="24"/>
          <w:highlight w:val="none"/>
        </w:rPr>
        <w:t>流式细胞仪主机          1台</w:t>
      </w:r>
    </w:p>
    <w:p>
      <w:pPr>
        <w:widowControl/>
        <w:spacing w:line="360" w:lineRule="auto"/>
        <w:jc w:val="left"/>
        <w:rPr>
          <w:rFonts w:ascii="宋体" w:hAnsi="宋体" w:cs="Arial"/>
          <w:sz w:val="24"/>
          <w:highlight w:val="none"/>
        </w:rPr>
      </w:pPr>
      <w:r>
        <w:rPr>
          <w:rFonts w:ascii="宋体" w:hAnsi="宋体" w:cs="Arial"/>
          <w:sz w:val="24"/>
          <w:highlight w:val="none"/>
        </w:rPr>
        <w:t>2.2</w:t>
      </w:r>
      <w:r>
        <w:rPr>
          <w:rFonts w:hint="eastAsia" w:ascii="宋体" w:hAnsi="宋体" w:cs="Arial"/>
          <w:sz w:val="24"/>
          <w:highlight w:val="none"/>
        </w:rPr>
        <w:t>储液台                   1个</w:t>
      </w:r>
    </w:p>
    <w:p>
      <w:pPr>
        <w:widowControl/>
        <w:spacing w:line="360" w:lineRule="auto"/>
        <w:jc w:val="left"/>
        <w:rPr>
          <w:rFonts w:ascii="宋体" w:hAnsi="宋体" w:cs="Arial"/>
          <w:sz w:val="24"/>
          <w:highlight w:val="none"/>
        </w:rPr>
      </w:pPr>
      <w:r>
        <w:rPr>
          <w:rFonts w:hint="eastAsia" w:ascii="宋体" w:hAnsi="宋体" w:cs="Arial"/>
          <w:sz w:val="24"/>
          <w:highlight w:val="none"/>
        </w:rPr>
        <w:t>2.3鞘液瓶（</w:t>
      </w:r>
      <w:r>
        <w:rPr>
          <w:rFonts w:ascii="宋体" w:hAnsi="宋体" w:cs="Arial"/>
          <w:sz w:val="24"/>
          <w:highlight w:val="none"/>
        </w:rPr>
        <w:t>3L</w:t>
      </w:r>
      <w:r>
        <w:rPr>
          <w:rFonts w:hint="eastAsia" w:ascii="宋体" w:hAnsi="宋体" w:cs="Arial"/>
          <w:sz w:val="24"/>
          <w:highlight w:val="none"/>
        </w:rPr>
        <w:t>）             1个</w:t>
      </w:r>
    </w:p>
    <w:p>
      <w:pPr>
        <w:widowControl/>
        <w:spacing w:line="360" w:lineRule="auto"/>
        <w:jc w:val="left"/>
        <w:rPr>
          <w:rFonts w:ascii="宋体" w:hAnsi="宋体" w:cs="Arial"/>
          <w:sz w:val="24"/>
          <w:highlight w:val="none"/>
        </w:rPr>
      </w:pPr>
      <w:r>
        <w:rPr>
          <w:rFonts w:hint="eastAsia" w:ascii="宋体" w:hAnsi="宋体" w:cs="Arial"/>
          <w:sz w:val="24"/>
          <w:highlight w:val="none"/>
        </w:rPr>
        <w:t>2.4清洗液瓶（</w:t>
      </w:r>
      <w:r>
        <w:rPr>
          <w:rFonts w:ascii="宋体" w:hAnsi="宋体" w:cs="Arial"/>
          <w:sz w:val="24"/>
          <w:highlight w:val="none"/>
        </w:rPr>
        <w:t>500ML</w:t>
      </w:r>
      <w:r>
        <w:rPr>
          <w:rFonts w:hint="eastAsia" w:ascii="宋体" w:hAnsi="宋体" w:cs="Arial"/>
          <w:sz w:val="24"/>
          <w:highlight w:val="none"/>
        </w:rPr>
        <w:t>）        1个</w:t>
      </w:r>
    </w:p>
    <w:p>
      <w:pPr>
        <w:widowControl/>
        <w:spacing w:line="360" w:lineRule="auto"/>
        <w:jc w:val="left"/>
        <w:rPr>
          <w:rFonts w:ascii="宋体" w:hAnsi="宋体" w:cs="Arial"/>
          <w:sz w:val="24"/>
          <w:highlight w:val="none"/>
        </w:rPr>
      </w:pPr>
      <w:r>
        <w:rPr>
          <w:rFonts w:hint="eastAsia" w:ascii="宋体" w:hAnsi="宋体" w:cs="Arial"/>
          <w:sz w:val="24"/>
          <w:highlight w:val="none"/>
        </w:rPr>
        <w:t>2.5冲洗液瓶（</w:t>
      </w:r>
      <w:r>
        <w:rPr>
          <w:rFonts w:ascii="宋体" w:hAnsi="宋体" w:cs="Arial"/>
          <w:sz w:val="24"/>
          <w:highlight w:val="none"/>
        </w:rPr>
        <w:t>500ML</w:t>
      </w:r>
      <w:r>
        <w:rPr>
          <w:rFonts w:hint="eastAsia" w:ascii="宋体" w:hAnsi="宋体" w:cs="Arial"/>
          <w:sz w:val="24"/>
          <w:highlight w:val="none"/>
        </w:rPr>
        <w:t>）        1个</w:t>
      </w:r>
    </w:p>
    <w:p>
      <w:pPr>
        <w:widowControl/>
        <w:spacing w:line="360" w:lineRule="auto"/>
        <w:jc w:val="left"/>
        <w:rPr>
          <w:rFonts w:ascii="宋体" w:hAnsi="宋体" w:cs="Arial"/>
          <w:sz w:val="24"/>
          <w:highlight w:val="none"/>
        </w:rPr>
      </w:pPr>
      <w:r>
        <w:rPr>
          <w:rFonts w:hint="eastAsia" w:ascii="宋体" w:hAnsi="宋体" w:cs="Arial"/>
          <w:sz w:val="24"/>
          <w:highlight w:val="none"/>
        </w:rPr>
        <w:t>2.6 电脑                    1台</w:t>
      </w:r>
    </w:p>
    <w:p>
      <w:pPr>
        <w:widowControl/>
        <w:spacing w:line="360" w:lineRule="auto"/>
        <w:jc w:val="left"/>
        <w:rPr>
          <w:rFonts w:ascii="宋体" w:hAnsi="宋体" w:cs="Arial"/>
          <w:sz w:val="24"/>
          <w:highlight w:val="none"/>
        </w:rPr>
      </w:pPr>
      <w:r>
        <w:rPr>
          <w:rFonts w:hint="eastAsia" w:ascii="宋体" w:hAnsi="宋体" w:cs="Arial"/>
          <w:sz w:val="24"/>
          <w:highlight w:val="none"/>
        </w:rPr>
        <w:t>2.7 软件操作系统            1份</w:t>
      </w:r>
    </w:p>
    <w:p>
      <w:pPr>
        <w:widowControl/>
        <w:spacing w:line="360" w:lineRule="auto"/>
        <w:jc w:val="left"/>
        <w:rPr>
          <w:rFonts w:ascii="宋体" w:hAnsi="宋体" w:cs="Arial"/>
          <w:sz w:val="24"/>
          <w:highlight w:val="none"/>
        </w:rPr>
      </w:pPr>
      <w:r>
        <w:rPr>
          <w:rFonts w:hint="eastAsia" w:ascii="宋体" w:hAnsi="宋体" w:cs="Arial"/>
          <w:sz w:val="24"/>
          <w:highlight w:val="none"/>
        </w:rPr>
        <w:t>2.8过滤器                   1套</w:t>
      </w:r>
    </w:p>
    <w:p>
      <w:pPr>
        <w:widowControl/>
        <w:jc w:val="left"/>
        <w:rPr>
          <w:rFonts w:hAnsi="宋体"/>
          <w:b/>
          <w:sz w:val="28"/>
          <w:szCs w:val="28"/>
          <w:highlight w:val="none"/>
        </w:rPr>
      </w:pPr>
    </w:p>
    <w:p>
      <w:pPr>
        <w:widowControl/>
        <w:jc w:val="left"/>
        <w:rPr>
          <w:rFonts w:hAnsi="宋体"/>
          <w:b/>
          <w:sz w:val="28"/>
          <w:szCs w:val="28"/>
          <w:highlight w:val="none"/>
        </w:rPr>
      </w:pPr>
    </w:p>
    <w:p>
      <w:pPr>
        <w:pStyle w:val="9"/>
        <w:adjustRightInd w:val="0"/>
        <w:snapToGrid w:val="0"/>
        <w:spacing w:before="120" w:after="120" w:line="360" w:lineRule="auto"/>
        <w:rPr>
          <w:rFonts w:hAnsi="宋体"/>
          <w:b/>
          <w:sz w:val="28"/>
          <w:szCs w:val="28"/>
          <w:highlight w:val="none"/>
        </w:rPr>
      </w:pPr>
      <w:r>
        <w:rPr>
          <w:rFonts w:hint="eastAsia" w:hAnsi="宋体"/>
          <w:b/>
          <w:sz w:val="28"/>
          <w:szCs w:val="28"/>
          <w:highlight w:val="none"/>
        </w:rPr>
        <w:t>注：</w:t>
      </w:r>
      <w:r>
        <w:rPr>
          <w:rFonts w:hint="eastAsia" w:hAnsi="宋体"/>
          <w:b/>
          <w:sz w:val="28"/>
          <w:szCs w:val="28"/>
          <w:highlight w:val="none"/>
          <w:u w:val="single"/>
        </w:rPr>
        <w:t>报价时必须注明或说明品牌中具体投标品牌，否则投标无效。</w:t>
      </w:r>
    </w:p>
    <w:p>
      <w:pPr>
        <w:widowControl/>
        <w:jc w:val="left"/>
        <w:rPr>
          <w:rFonts w:hAnsi="宋体"/>
          <w:b/>
          <w:sz w:val="28"/>
          <w:szCs w:val="28"/>
          <w:highlight w:val="none"/>
        </w:rPr>
      </w:pPr>
      <w:r>
        <w:rPr>
          <w:rFonts w:hint="eastAsia" w:ascii="宋体" w:hAnsi="宋体"/>
          <w:b/>
          <w:sz w:val="28"/>
          <w:szCs w:val="28"/>
          <w:highlight w:val="none"/>
        </w:rPr>
        <w:t>★</w:t>
      </w:r>
      <w:r>
        <w:rPr>
          <w:rFonts w:hint="eastAsia"/>
          <w:sz w:val="28"/>
          <w:szCs w:val="28"/>
          <w:highlight w:val="none"/>
        </w:rPr>
        <w:t>▲</w:t>
      </w:r>
      <w:r>
        <w:rPr>
          <w:rFonts w:hint="eastAsia" w:ascii="宋体" w:hAnsi="宋体"/>
          <w:b/>
          <w:sz w:val="28"/>
          <w:szCs w:val="28"/>
          <w:highlight w:val="none"/>
        </w:rPr>
        <w:t>投标时需提供承诺并在中标公示之日起，五个工作日内取得所投上述要求原厂授权函、售后服务承诺函、原厂保修等均须提供原厂项目授权书与售后服务承诺书，否则取消中标资格。</w:t>
      </w: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6"/>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0"/>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rPr>
        <w:t>1.</w:t>
      </w:r>
      <w:r>
        <w:rPr>
          <w:rFonts w:hint="eastAsia" w:ascii="宋体" w:hAnsi="宋体"/>
          <w:sz w:val="24"/>
          <w:highlight w:val="none"/>
          <w:lang w:val="zh-CN"/>
        </w:rPr>
        <w:t>供货商在接到用户安装通知后，须在30工作日内安排有经验的工程师到现场安装仪器，并在30工作日内安装、调试完毕；</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rPr>
        <w:t>2.</w:t>
      </w:r>
      <w:r>
        <w:rPr>
          <w:rFonts w:hint="eastAsia" w:ascii="宋体" w:hAnsi="宋体"/>
          <w:sz w:val="24"/>
          <w:highlight w:val="none"/>
          <w:lang w:val="zh-CN"/>
        </w:rPr>
        <w:t>厂家安装、调试后，应进行仪器操作、数据处理等系列培训，培训费用有投标人承担。</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rPr>
        <w:t>3.</w:t>
      </w:r>
      <w:r>
        <w:rPr>
          <w:rFonts w:hint="eastAsia" w:ascii="宋体" w:hAnsi="宋体"/>
          <w:sz w:val="24"/>
          <w:highlight w:val="none"/>
          <w:lang w:val="zh-CN"/>
        </w:rPr>
        <w:t>售后服务：设备要求整机自最终验收合格之日起享受原厂质保服务，保质期1年；</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rPr>
        <w:t>4.</w:t>
      </w:r>
      <w:r>
        <w:rPr>
          <w:rFonts w:hint="eastAsia" w:ascii="宋体" w:hAnsi="宋体"/>
          <w:sz w:val="24"/>
          <w:highlight w:val="none"/>
          <w:lang w:val="zh-CN"/>
        </w:rPr>
        <w:t>质保期内维修响应时间3小时，若电话指导无法排除故障，供方技术员应在≦48小时到场进行检查、维修，12小时内排除故障并出具维修维护报告（包括故障原因、处理情况等）供用户备案；免费更换损坏的零部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rPr>
        <w:t>5.</w:t>
      </w:r>
      <w:r>
        <w:rPr>
          <w:rFonts w:hint="eastAsia" w:ascii="宋体" w:hAnsi="宋体"/>
          <w:sz w:val="24"/>
          <w:highlight w:val="none"/>
          <w:lang w:val="zh-CN"/>
        </w:rPr>
        <w:t>质保期满后，供方应提供终身维修，软件免费升级。</w:t>
      </w:r>
    </w:p>
    <w:p>
      <w:pPr>
        <w:autoSpaceDE w:val="0"/>
        <w:autoSpaceDN w:val="0"/>
        <w:adjustRightInd w:val="0"/>
        <w:spacing w:line="300" w:lineRule="auto"/>
        <w:ind w:firstLine="482" w:firstLineChars="200"/>
        <w:rPr>
          <w:rFonts w:ascii="宋体" w:hAnsi="宋体"/>
          <w:b/>
          <w:bCs/>
          <w:sz w:val="24"/>
          <w:highlight w:val="none"/>
          <w:lang w:val="zh-CN"/>
        </w:rPr>
      </w:pPr>
    </w:p>
    <w:p>
      <w:pPr>
        <w:autoSpaceDE w:val="0"/>
        <w:autoSpaceDN w:val="0"/>
        <w:adjustRightInd w:val="0"/>
        <w:spacing w:line="300" w:lineRule="auto"/>
        <w:ind w:firstLine="482" w:firstLineChars="200"/>
        <w:rPr>
          <w:rFonts w:ascii="宋体" w:hAnsi="宋体"/>
          <w:sz w:val="24"/>
          <w:highlight w:val="none"/>
        </w:rPr>
      </w:pPr>
      <w:r>
        <w:rPr>
          <w:rFonts w:hint="eastAsia" w:ascii="宋体" w:hAnsi="宋体"/>
          <w:b/>
          <w:bCs/>
          <w:sz w:val="24"/>
          <w:highlight w:val="none"/>
          <w:lang w:val="zh-CN"/>
        </w:rPr>
        <w:t>备注：</w:t>
      </w:r>
      <w:r>
        <w:rPr>
          <w:rFonts w:hint="eastAsia" w:ascii="宋体" w:hAnsi="宋体"/>
          <w:sz w:val="24"/>
          <w:highlight w:val="none"/>
          <w:lang w:val="zh-CN"/>
        </w:rPr>
        <w:t>为保证仪器为原装正品，此项需要投标人提供投标产品授权证明原件，投标商无偿提供专人送货上门、安装维护及技术支持等相关服务，不接受物流、快递方式送修服务；投标人存在欺诈行为，中标后未能满足投标条款的，采购人有权</w:t>
      </w:r>
      <w:r>
        <w:rPr>
          <w:rFonts w:hint="eastAsia" w:ascii="宋体" w:hAnsi="宋体"/>
          <w:sz w:val="24"/>
          <w:highlight w:val="none"/>
        </w:rPr>
        <w:t>取消其</w:t>
      </w:r>
      <w:r>
        <w:rPr>
          <w:rFonts w:hint="eastAsia" w:ascii="宋体" w:hAnsi="宋体"/>
          <w:sz w:val="24"/>
          <w:highlight w:val="none"/>
          <w:lang w:val="zh-CN"/>
        </w:rPr>
        <w:t>中标</w:t>
      </w:r>
      <w:r>
        <w:rPr>
          <w:rFonts w:hint="eastAsia" w:ascii="宋体" w:hAnsi="宋体"/>
          <w:sz w:val="24"/>
          <w:highlight w:val="none"/>
        </w:rPr>
        <w:t>资格，并列入</w:t>
      </w:r>
      <w:r>
        <w:rPr>
          <w:rFonts w:hint="eastAsia" w:ascii="宋体" w:hAnsi="宋体"/>
          <w:sz w:val="24"/>
          <w:highlight w:val="none"/>
          <w:lang w:val="zh-CN"/>
        </w:rPr>
        <w:t>我校投标不诚信单位名单，三年内不得参加我校任何项目投标。</w:t>
      </w:r>
    </w:p>
    <w:p>
      <w:pPr>
        <w:pStyle w:val="7"/>
        <w:ind w:left="0" w:leftChars="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pStyle w:val="2"/>
        <w:rPr>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rFonts w:ascii="宋体"/>
          <w:sz w:val="24"/>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p>
    <w:tbl>
      <w:tblPr>
        <w:tblStyle w:val="16"/>
        <w:tblpPr w:leftFromText="180" w:rightFromText="180" w:vertAnchor="text" w:tblpXSpec="center" w:tblpY="1"/>
        <w:tblOverlap w:val="never"/>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06"/>
        <w:gridCol w:w="7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序号</w:t>
            </w:r>
          </w:p>
        </w:tc>
        <w:tc>
          <w:tcPr>
            <w:tcW w:w="1306"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评审因素</w:t>
            </w:r>
          </w:p>
        </w:tc>
        <w:tc>
          <w:tcPr>
            <w:tcW w:w="7396"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1</w:t>
            </w:r>
          </w:p>
        </w:tc>
        <w:tc>
          <w:tcPr>
            <w:tcW w:w="1306"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投标报价</w:t>
            </w:r>
          </w:p>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（30分）</w:t>
            </w:r>
          </w:p>
        </w:tc>
        <w:tc>
          <w:tcPr>
            <w:tcW w:w="7396" w:type="dxa"/>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价格分采用低价优先法计算，即满足招标文件要求且投标价格最低的投标报价为评标基准价，其价格分为满分30分。其他投标人的价格分按照下列公式计算：</w:t>
            </w:r>
          </w:p>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投标报价得分=（评标基准价／投标报价）×30（精确到小数点后两位）。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9" w:hRule="atLeast"/>
        </w:trPr>
        <w:tc>
          <w:tcPr>
            <w:tcW w:w="748" w:type="dxa"/>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2</w:t>
            </w:r>
          </w:p>
        </w:tc>
        <w:tc>
          <w:tcPr>
            <w:tcW w:w="1306" w:type="dxa"/>
            <w:tcBorders>
              <w:top w:val="single" w:color="auto" w:sz="4" w:space="0"/>
              <w:left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技术参数</w:t>
            </w:r>
          </w:p>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（5</w:t>
            </w:r>
            <w:r>
              <w:rPr>
                <w:rFonts w:hint="eastAsia" w:asciiTheme="minorEastAsia" w:hAnsiTheme="minorEastAsia" w:eastAsiaTheme="minorEastAsia"/>
                <w:kern w:val="0"/>
                <w:sz w:val="24"/>
                <w:highlight w:val="none"/>
              </w:rPr>
              <w:t>5</w:t>
            </w:r>
            <w:r>
              <w:rPr>
                <w:rFonts w:asciiTheme="minorEastAsia" w:hAnsiTheme="minorEastAsia" w:eastAsiaTheme="minorEastAsia"/>
                <w:kern w:val="0"/>
                <w:sz w:val="24"/>
                <w:highlight w:val="none"/>
              </w:rPr>
              <w:t>分）</w:t>
            </w:r>
          </w:p>
        </w:tc>
        <w:tc>
          <w:tcPr>
            <w:tcW w:w="7396" w:type="dxa"/>
            <w:tcBorders>
              <w:top w:val="single" w:color="auto" w:sz="4" w:space="0"/>
              <w:left w:val="single" w:color="auto" w:sz="4" w:space="0"/>
              <w:right w:val="single" w:color="auto" w:sz="4" w:space="0"/>
            </w:tcBorders>
            <w:vAlign w:val="center"/>
          </w:tcPr>
          <w:p>
            <w:pPr>
              <w:spacing w:line="360" w:lineRule="exac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设备技术参数全部满足招标要求的得满分；打</w:t>
            </w:r>
            <w:r>
              <w:rPr>
                <w:rFonts w:hint="eastAsia" w:cs="小塚明朝 Pr6N M" w:asciiTheme="minorEastAsia" w:hAnsiTheme="minorEastAsia" w:eastAsiaTheme="minorEastAsia"/>
                <w:kern w:val="0"/>
                <w:sz w:val="24"/>
                <w:highlight w:val="none"/>
              </w:rPr>
              <w:t>★</w:t>
            </w:r>
            <w:r>
              <w:rPr>
                <w:rFonts w:asciiTheme="minorEastAsia" w:hAnsiTheme="minorEastAsia" w:eastAsiaTheme="minorEastAsia"/>
                <w:kern w:val="0"/>
                <w:sz w:val="24"/>
                <w:highlight w:val="none"/>
              </w:rPr>
              <w:t>号指标为核心指标项，如有负偏离按无效投标处理；非打</w:t>
            </w:r>
            <w:r>
              <w:rPr>
                <w:rFonts w:hint="eastAsia" w:cs="小塚明朝 Pr6N M" w:asciiTheme="minorEastAsia" w:hAnsiTheme="minorEastAsia" w:eastAsiaTheme="minorEastAsia"/>
                <w:kern w:val="0"/>
                <w:sz w:val="24"/>
                <w:highlight w:val="none"/>
              </w:rPr>
              <w:t>★</w:t>
            </w:r>
            <w:r>
              <w:rPr>
                <w:rFonts w:asciiTheme="minorEastAsia" w:hAnsiTheme="minorEastAsia" w:eastAsiaTheme="minorEastAsia"/>
                <w:kern w:val="0"/>
                <w:sz w:val="24"/>
                <w:highlight w:val="none"/>
              </w:rPr>
              <w:t>号指标，有一项负偏离扣</w:t>
            </w:r>
            <w:r>
              <w:rPr>
                <w:rFonts w:hint="eastAsia" w:asciiTheme="minorEastAsia" w:hAnsiTheme="minorEastAsia" w:eastAsiaTheme="minorEastAsia"/>
                <w:kern w:val="0"/>
                <w:sz w:val="24"/>
                <w:highlight w:val="none"/>
              </w:rPr>
              <w:t>3</w:t>
            </w:r>
            <w:r>
              <w:rPr>
                <w:rFonts w:asciiTheme="minorEastAsia" w:hAnsiTheme="minorEastAsia" w:eastAsiaTheme="minorEastAsia"/>
                <w:kern w:val="0"/>
                <w:sz w:val="24"/>
                <w:highlight w:val="none"/>
              </w:rPr>
              <w:t>分，扣完为止。严重负偏离影响设备性能的经半数以上评委认定，本项得零分。</w:t>
            </w:r>
          </w:p>
          <w:p>
            <w:pPr>
              <w:jc w:val="left"/>
              <w:rPr>
                <w:rFonts w:asciiTheme="minorEastAsia" w:hAnsiTheme="minorEastAsia" w:eastAsiaTheme="minorEastAsia"/>
                <w:kern w:val="0"/>
                <w:sz w:val="24"/>
                <w:highlight w:val="none"/>
              </w:rPr>
            </w:pPr>
            <w:r>
              <w:rPr>
                <w:rFonts w:hint="eastAsia" w:ascii="宋体" w:hAnsi="宋体" w:cs="仿宋"/>
                <w:sz w:val="24"/>
                <w:highlight w:val="none"/>
              </w:rPr>
              <w:t>各投标供应商均应如实填写偏离情况，核心指标与重要指标需提供证明其应标参数的证明材料(加盖单位公章)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748" w:type="dxa"/>
            <w:tcBorders>
              <w:left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3</w:t>
            </w:r>
          </w:p>
        </w:tc>
        <w:tc>
          <w:tcPr>
            <w:tcW w:w="1306" w:type="dxa"/>
            <w:tcBorders>
              <w:left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厂商信誉（</w:t>
            </w:r>
            <w:r>
              <w:rPr>
                <w:rFonts w:hint="eastAsia" w:asciiTheme="minorEastAsia" w:hAnsiTheme="minorEastAsia" w:eastAsiaTheme="minorEastAsia"/>
                <w:kern w:val="0"/>
                <w:sz w:val="24"/>
                <w:highlight w:val="none"/>
              </w:rPr>
              <w:t>4</w:t>
            </w:r>
            <w:r>
              <w:rPr>
                <w:rFonts w:asciiTheme="minorEastAsia" w:hAnsiTheme="minorEastAsia" w:eastAsiaTheme="minorEastAsia"/>
                <w:kern w:val="0"/>
                <w:sz w:val="24"/>
                <w:highlight w:val="none"/>
              </w:rPr>
              <w:t>分）</w:t>
            </w:r>
          </w:p>
        </w:tc>
        <w:tc>
          <w:tcPr>
            <w:tcW w:w="7396" w:type="dxa"/>
            <w:tcBorders>
              <w:top w:val="single" w:color="auto" w:sz="4" w:space="0"/>
              <w:left w:val="single" w:color="auto" w:sz="4" w:space="0"/>
              <w:right w:val="single" w:color="auto" w:sz="4" w:space="0"/>
            </w:tcBorders>
            <w:vAlign w:val="center"/>
          </w:tcPr>
          <w:p>
            <w:pPr>
              <w:autoSpaceDE w:val="0"/>
              <w:autoSpaceDN w:val="0"/>
              <w:adjustRightInd w:val="0"/>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近3年承担</w:t>
            </w:r>
            <w:r>
              <w:rPr>
                <w:rFonts w:hint="eastAsia" w:asciiTheme="minorEastAsia" w:hAnsiTheme="minorEastAsia" w:eastAsiaTheme="minorEastAsia"/>
                <w:kern w:val="0"/>
                <w:sz w:val="24"/>
                <w:highlight w:val="none"/>
              </w:rPr>
              <w:t>类似</w:t>
            </w:r>
            <w:r>
              <w:rPr>
                <w:rFonts w:asciiTheme="minorEastAsia" w:hAnsiTheme="minorEastAsia" w:eastAsiaTheme="minorEastAsia"/>
                <w:kern w:val="0"/>
                <w:sz w:val="24"/>
                <w:highlight w:val="none"/>
              </w:rPr>
              <w:t>项目，每有一个得</w:t>
            </w:r>
            <w:r>
              <w:rPr>
                <w:rFonts w:hint="eastAsia" w:asciiTheme="minorEastAsia" w:hAnsiTheme="minorEastAsia" w:eastAsiaTheme="minorEastAsia"/>
                <w:kern w:val="0"/>
                <w:sz w:val="24"/>
                <w:highlight w:val="none"/>
              </w:rPr>
              <w:t>2</w:t>
            </w:r>
            <w:r>
              <w:rPr>
                <w:rFonts w:asciiTheme="minorEastAsia" w:hAnsiTheme="minorEastAsia" w:eastAsiaTheme="minorEastAsia"/>
                <w:kern w:val="0"/>
                <w:sz w:val="24"/>
                <w:highlight w:val="none"/>
              </w:rPr>
              <w:t>分，最高得</w:t>
            </w:r>
            <w:r>
              <w:rPr>
                <w:rFonts w:hint="eastAsia" w:asciiTheme="minorEastAsia" w:hAnsiTheme="minorEastAsia" w:eastAsiaTheme="minorEastAsia"/>
                <w:kern w:val="0"/>
                <w:sz w:val="24"/>
                <w:highlight w:val="none"/>
              </w:rPr>
              <w:t>4</w:t>
            </w:r>
            <w:r>
              <w:rPr>
                <w:rFonts w:asciiTheme="minorEastAsia" w:hAnsiTheme="minorEastAsia" w:eastAsiaTheme="minorEastAsia"/>
                <w:kern w:val="0"/>
                <w:sz w:val="24"/>
                <w:highlight w:val="none"/>
              </w:rPr>
              <w:t>分；</w:t>
            </w:r>
          </w:p>
          <w:p>
            <w:pPr>
              <w:pStyle w:val="46"/>
              <w:jc w:val="both"/>
              <w:rPr>
                <w:rFonts w:hint="eastAsia" w:cs="Times New Roman" w:asciiTheme="minorEastAsia" w:hAnsiTheme="minorEastAsia" w:eastAsiaTheme="minorEastAsia"/>
                <w:sz w:val="24"/>
                <w:szCs w:val="24"/>
                <w:highlight w:val="none"/>
                <w:lang w:val="en-US" w:bidi="ar-SA"/>
              </w:rPr>
            </w:pPr>
            <w:r>
              <w:rPr>
                <w:rFonts w:cs="Times New Roman" w:asciiTheme="minorEastAsia" w:hAnsiTheme="minorEastAsia" w:eastAsiaTheme="minorEastAsia"/>
                <w:sz w:val="24"/>
                <w:szCs w:val="24"/>
                <w:highlight w:val="none"/>
                <w:lang w:val="en-US" w:bidi="ar-SA"/>
              </w:rPr>
              <w:t>近三年是指2017年</w:t>
            </w:r>
            <w:r>
              <w:rPr>
                <w:rFonts w:hint="eastAsia" w:cs="Times New Roman" w:asciiTheme="minorEastAsia" w:hAnsiTheme="minorEastAsia" w:eastAsiaTheme="minorEastAsia"/>
                <w:sz w:val="24"/>
                <w:szCs w:val="24"/>
                <w:highlight w:val="none"/>
                <w:lang w:val="en-US" w:bidi="ar-SA"/>
              </w:rPr>
              <w:t>7</w:t>
            </w:r>
            <w:r>
              <w:rPr>
                <w:rFonts w:cs="Times New Roman" w:asciiTheme="minorEastAsia" w:hAnsiTheme="minorEastAsia" w:eastAsiaTheme="minorEastAsia"/>
                <w:sz w:val="24"/>
                <w:szCs w:val="24"/>
                <w:highlight w:val="none"/>
                <w:lang w:val="en-US" w:bidi="ar-SA"/>
              </w:rPr>
              <w:t>月</w:t>
            </w:r>
            <w:r>
              <w:rPr>
                <w:rFonts w:hint="eastAsia" w:cs="Times New Roman" w:asciiTheme="minorEastAsia" w:hAnsiTheme="minorEastAsia" w:eastAsiaTheme="minorEastAsia"/>
                <w:sz w:val="24"/>
                <w:szCs w:val="24"/>
                <w:highlight w:val="none"/>
                <w:lang w:val="en-US" w:bidi="ar-SA"/>
              </w:rPr>
              <w:t>1</w:t>
            </w:r>
            <w:r>
              <w:rPr>
                <w:rFonts w:cs="Times New Roman" w:asciiTheme="minorEastAsia" w:hAnsiTheme="minorEastAsia" w:eastAsiaTheme="minorEastAsia"/>
                <w:sz w:val="24"/>
                <w:szCs w:val="24"/>
                <w:highlight w:val="none"/>
                <w:lang w:val="en-US" w:bidi="ar-SA"/>
              </w:rPr>
              <w:t>日至今，以合同签署时间为准，投标人须提供合同</w:t>
            </w:r>
            <w:r>
              <w:rPr>
                <w:rFonts w:hint="eastAsia" w:cs="Times New Roman" w:asciiTheme="minorEastAsia" w:hAnsiTheme="minorEastAsia" w:eastAsiaTheme="minorEastAsia"/>
                <w:sz w:val="24"/>
                <w:szCs w:val="24"/>
                <w:highlight w:val="none"/>
                <w:lang w:val="en-US" w:bidi="ar-SA"/>
              </w:rPr>
              <w:t>复印件、验收合格证明（原件备查）。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4</w:t>
            </w:r>
          </w:p>
        </w:tc>
        <w:tc>
          <w:tcPr>
            <w:tcW w:w="1306"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售后服务</w:t>
            </w:r>
          </w:p>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（5分）</w:t>
            </w:r>
          </w:p>
        </w:tc>
        <w:tc>
          <w:tcPr>
            <w:tcW w:w="7396" w:type="dxa"/>
            <w:tcBorders>
              <w:top w:val="single" w:color="auto" w:sz="4" w:space="0"/>
              <w:left w:val="single" w:color="auto" w:sz="4" w:space="0"/>
              <w:bottom w:val="single" w:color="auto" w:sz="4" w:space="0"/>
              <w:right w:val="single" w:color="auto" w:sz="4" w:space="0"/>
            </w:tcBorders>
            <w:vAlign w:val="center"/>
          </w:tcPr>
          <w:p>
            <w:pPr>
              <w:pStyle w:val="32"/>
              <w:numPr>
                <w:ilvl w:val="0"/>
                <w:numId w:val="1"/>
              </w:numPr>
              <w:ind w:firstLineChars="0"/>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安装调试方案（2分）：依据供应商提供的本次招标采购设备到校后的安装调试方案的完整性、合理性最优的得2分，一般得1分，其他不得分。</w:t>
            </w:r>
          </w:p>
          <w:p>
            <w:pPr>
              <w:pStyle w:val="5"/>
              <w:numPr>
                <w:ilvl w:val="0"/>
                <w:numId w:val="1"/>
              </w:numPr>
              <w:kinsoku w:val="0"/>
              <w:overflowPunct w:val="0"/>
              <w:spacing w:line="360" w:lineRule="exact"/>
              <w:jc w:val="left"/>
              <w:rPr>
                <w:rFonts w:asciiTheme="minorEastAsia" w:hAnsiTheme="minorEastAsia" w:eastAsiaTheme="minorEastAsia"/>
                <w:sz w:val="24"/>
                <w:highlight w:val="none"/>
              </w:rPr>
            </w:pPr>
            <w:r>
              <w:rPr>
                <w:rFonts w:asciiTheme="minorEastAsia" w:hAnsiTheme="minorEastAsia" w:eastAsiaTheme="minorEastAsia"/>
                <w:sz w:val="24"/>
                <w:highlight w:val="none"/>
              </w:rPr>
              <w:t>售后服务方案（3分）：售后服务方案（服务体系、服务内容、故障解决方案、专业技术人员保障及服务电话）最优的得3分，一般得1分，其他不得分。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5</w:t>
            </w:r>
          </w:p>
        </w:tc>
        <w:tc>
          <w:tcPr>
            <w:tcW w:w="1306"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承诺</w:t>
            </w:r>
          </w:p>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w:t>
            </w:r>
            <w:r>
              <w:rPr>
                <w:rFonts w:hint="eastAsia" w:asciiTheme="minorEastAsia" w:hAnsiTheme="minorEastAsia" w:eastAsiaTheme="minorEastAsia"/>
                <w:kern w:val="0"/>
                <w:sz w:val="24"/>
                <w:highlight w:val="none"/>
              </w:rPr>
              <w:t>3</w:t>
            </w:r>
            <w:r>
              <w:rPr>
                <w:rFonts w:asciiTheme="minorEastAsia" w:hAnsiTheme="minorEastAsia" w:eastAsiaTheme="minorEastAsia"/>
                <w:kern w:val="0"/>
                <w:sz w:val="24"/>
                <w:highlight w:val="none"/>
              </w:rPr>
              <w:t>分）</w:t>
            </w:r>
          </w:p>
        </w:tc>
        <w:tc>
          <w:tcPr>
            <w:tcW w:w="7396"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投标人承诺（</w:t>
            </w:r>
            <w:r>
              <w:rPr>
                <w:rFonts w:hint="eastAsia" w:asciiTheme="minorEastAsia" w:hAnsiTheme="minorEastAsia" w:eastAsiaTheme="minorEastAsia"/>
                <w:kern w:val="0"/>
                <w:sz w:val="24"/>
                <w:highlight w:val="none"/>
              </w:rPr>
              <w:t>3</w:t>
            </w:r>
            <w:r>
              <w:rPr>
                <w:rFonts w:asciiTheme="minorEastAsia" w:hAnsiTheme="minorEastAsia" w:eastAsiaTheme="minorEastAsia"/>
                <w:kern w:val="0"/>
                <w:sz w:val="24"/>
                <w:highlight w:val="none"/>
              </w:rPr>
              <w:t>分）：承诺内容如下（中标后，我方将按招标文件要求及投标文件承诺的产品技术参数、规格型号向招标人提供合格的产品，若提供的产品未达到招标文件要求及投标文件承诺要求，招标人有权废除我方中标资格，且我方愿意接受招标人任何形式的处罚及索赔），提供承诺书的得</w:t>
            </w:r>
            <w:r>
              <w:rPr>
                <w:rFonts w:hint="eastAsia" w:asciiTheme="minorEastAsia" w:hAnsiTheme="minorEastAsia" w:eastAsiaTheme="minorEastAsia"/>
                <w:kern w:val="0"/>
                <w:sz w:val="24"/>
                <w:highlight w:val="none"/>
              </w:rPr>
              <w:t>3</w:t>
            </w:r>
            <w:r>
              <w:rPr>
                <w:rFonts w:asciiTheme="minorEastAsia" w:hAnsiTheme="minorEastAsia" w:eastAsiaTheme="minorEastAsia"/>
                <w:kern w:val="0"/>
                <w:sz w:val="24"/>
                <w:highlight w:val="none"/>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6</w:t>
            </w:r>
          </w:p>
        </w:tc>
        <w:tc>
          <w:tcPr>
            <w:tcW w:w="1306"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投标人资质</w:t>
            </w:r>
          </w:p>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（1分）</w:t>
            </w:r>
          </w:p>
        </w:tc>
        <w:tc>
          <w:tcPr>
            <w:tcW w:w="7396" w:type="dxa"/>
            <w:tcBorders>
              <w:top w:val="single" w:color="auto" w:sz="4" w:space="0"/>
              <w:left w:val="single" w:color="auto" w:sz="4" w:space="0"/>
              <w:bottom w:val="single" w:color="auto" w:sz="4" w:space="0"/>
              <w:right w:val="single" w:color="auto" w:sz="4" w:space="0"/>
            </w:tcBorders>
            <w:vAlign w:val="center"/>
          </w:tcPr>
          <w:p>
            <w:pPr>
              <w:pStyle w:val="46"/>
              <w:jc w:val="both"/>
              <w:rPr>
                <w:rFonts w:cs="Times New Roman" w:asciiTheme="minorEastAsia" w:hAnsiTheme="minorEastAsia" w:eastAsiaTheme="minorEastAsia"/>
                <w:sz w:val="24"/>
                <w:szCs w:val="24"/>
                <w:highlight w:val="none"/>
                <w:lang w:val="en-US" w:bidi="ar-SA"/>
              </w:rPr>
            </w:pPr>
            <w:r>
              <w:rPr>
                <w:rFonts w:cs="Times New Roman" w:asciiTheme="minorEastAsia" w:hAnsiTheme="minorEastAsia" w:eastAsiaTheme="minorEastAsia"/>
                <w:sz w:val="24"/>
                <w:szCs w:val="24"/>
                <w:highlight w:val="none"/>
                <w:lang w:val="en-US" w:bidi="ar-SA"/>
              </w:rPr>
              <w:t>具有ISO9001质量管理体系认证证书得1分，否则不得分。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48"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7</w:t>
            </w:r>
          </w:p>
        </w:tc>
        <w:tc>
          <w:tcPr>
            <w:tcW w:w="1306"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kern w:val="0"/>
                <w:sz w:val="24"/>
                <w:highlight w:val="none"/>
              </w:rPr>
            </w:pPr>
            <w:r>
              <w:rPr>
                <w:rFonts w:asciiTheme="minorEastAsia" w:hAnsiTheme="minorEastAsia" w:eastAsiaTheme="minorEastAsia"/>
                <w:kern w:val="0"/>
                <w:sz w:val="24"/>
                <w:highlight w:val="none"/>
              </w:rPr>
              <w:t>投标文件</w:t>
            </w:r>
          </w:p>
          <w:p>
            <w:pPr>
              <w:jc w:val="left"/>
              <w:rPr>
                <w:rFonts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编制</w:t>
            </w:r>
            <w:r>
              <w:rPr>
                <w:rFonts w:asciiTheme="minorEastAsia" w:hAnsiTheme="minorEastAsia" w:eastAsiaTheme="minorEastAsia"/>
                <w:kern w:val="0"/>
                <w:sz w:val="24"/>
                <w:highlight w:val="none"/>
              </w:rPr>
              <w:t>（</w:t>
            </w:r>
            <w:r>
              <w:rPr>
                <w:rFonts w:hint="eastAsia" w:asciiTheme="minorEastAsia" w:hAnsiTheme="minorEastAsia" w:eastAsiaTheme="minorEastAsia"/>
                <w:kern w:val="0"/>
                <w:sz w:val="24"/>
                <w:highlight w:val="none"/>
              </w:rPr>
              <w:t>2</w:t>
            </w:r>
            <w:r>
              <w:rPr>
                <w:rFonts w:asciiTheme="minorEastAsia" w:hAnsiTheme="minorEastAsia" w:eastAsiaTheme="minorEastAsia"/>
                <w:kern w:val="0"/>
                <w:sz w:val="24"/>
                <w:highlight w:val="none"/>
              </w:rPr>
              <w:t>分）</w:t>
            </w:r>
          </w:p>
        </w:tc>
        <w:tc>
          <w:tcPr>
            <w:tcW w:w="7396" w:type="dxa"/>
            <w:tcBorders>
              <w:top w:val="single" w:color="auto" w:sz="4" w:space="0"/>
              <w:left w:val="single" w:color="auto" w:sz="4" w:space="0"/>
              <w:bottom w:val="single" w:color="auto" w:sz="4" w:space="0"/>
              <w:right w:val="single" w:color="auto" w:sz="4" w:space="0"/>
            </w:tcBorders>
            <w:vAlign w:val="center"/>
          </w:tcPr>
          <w:p>
            <w:pPr>
              <w:pStyle w:val="46"/>
              <w:jc w:val="both"/>
              <w:rPr>
                <w:rFonts w:cs="Times New Roman" w:asciiTheme="minorEastAsia" w:hAnsiTheme="minorEastAsia" w:eastAsiaTheme="minorEastAsia"/>
                <w:sz w:val="24"/>
                <w:szCs w:val="24"/>
                <w:highlight w:val="none"/>
                <w:lang w:val="en-US" w:bidi="ar-SA"/>
              </w:rPr>
            </w:pPr>
            <w:r>
              <w:rPr>
                <w:rFonts w:hint="eastAsia" w:ascii="宋体" w:hAnsi="宋体" w:cs="宋体"/>
                <w:szCs w:val="21"/>
                <w:highlight w:val="none"/>
              </w:rPr>
              <w:t>文件内容完备，格式规范，封装整齐，满足招标文件要求得2分。未经胶封（如文件夹或订书机等）此项不得分。</w:t>
            </w:r>
          </w:p>
        </w:tc>
      </w:tr>
    </w:tbl>
    <w:p>
      <w:pPr>
        <w:pStyle w:val="7"/>
        <w:ind w:left="1470" w:right="1470"/>
        <w:rPr>
          <w:rFonts w:ascii="宋体" w:hAnsi="宋体" w:cs="仿宋"/>
          <w:b/>
          <w:bCs/>
          <w:sz w:val="28"/>
          <w:szCs w:val="28"/>
          <w:highlight w:val="none"/>
        </w:rPr>
      </w:pPr>
    </w:p>
    <w:p>
      <w:pPr>
        <w:spacing w:line="360" w:lineRule="auto"/>
        <w:rPr>
          <w:rFonts w:hint="eastAsia"/>
          <w:b/>
          <w:sz w:val="28"/>
          <w:szCs w:val="28"/>
          <w:highlight w:val="none"/>
        </w:rPr>
      </w:pPr>
    </w:p>
    <w:p>
      <w:pPr>
        <w:pStyle w:val="7"/>
        <w:ind w:left="1470" w:right="1470"/>
        <w:rPr>
          <w:rFonts w:hint="eastAsia"/>
          <w:highlight w:val="none"/>
        </w:rPr>
      </w:pP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9"/>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9"/>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6"/>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大写：      小写：      元</w:t>
            </w:r>
          </w:p>
        </w:tc>
      </w:tr>
    </w:tbl>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本合同金额为（大写）：</w:t>
      </w:r>
      <w:r>
        <w:rPr>
          <w:rFonts w:hAnsi="宋体"/>
          <w:sz w:val="24"/>
          <w:szCs w:val="24"/>
          <w:highlight w:val="none"/>
        </w:rPr>
        <w:t>________________________</w:t>
      </w:r>
      <w:r>
        <w:rPr>
          <w:rFonts w:hint="eastAsia" w:hAnsi="宋体"/>
          <w:sz w:val="24"/>
          <w:szCs w:val="24"/>
          <w:highlight w:val="none"/>
        </w:rPr>
        <w:t>元人民币。</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9"/>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9"/>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9"/>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8.1 </w:t>
      </w:r>
      <w:r>
        <w:rPr>
          <w:rFonts w:hint="eastAsia" w:hAnsi="宋体"/>
          <w:sz w:val="24"/>
          <w:szCs w:val="24"/>
          <w:highlight w:val="none"/>
        </w:rPr>
        <w:t>质保期3年。（自交货验收合格之日起计）</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9"/>
        <w:adjustRightInd w:val="0"/>
        <w:snapToGrid w:val="0"/>
        <w:spacing w:before="120" w:after="120" w:line="360" w:lineRule="auto"/>
        <w:ind w:left="48" w:firstLine="658"/>
        <w:rPr>
          <w:rFonts w:hint="eastAsia" w:hAnsi="宋体"/>
          <w:sz w:val="24"/>
          <w:szCs w:val="24"/>
          <w:highlight w:val="none"/>
          <w:lang w:eastAsia="zh-CN"/>
        </w:rPr>
      </w:pPr>
      <w:r>
        <w:rPr>
          <w:rFonts w:hAnsi="宋体"/>
          <w:sz w:val="24"/>
          <w:szCs w:val="24"/>
          <w:highlight w:val="none"/>
        </w:rPr>
        <w:t>10.1</w:t>
      </w:r>
      <w:r>
        <w:rPr>
          <w:rFonts w:hint="eastAsia" w:hAnsi="宋体"/>
          <w:sz w:val="24"/>
          <w:szCs w:val="24"/>
          <w:highlight w:val="none"/>
        </w:rPr>
        <w:t>付款方式：针对国内供应货物，签订合同后，20日内预付合同金额的30%，全部货物交货并验收合格后，凭验收凭证和货物验收合格等文件20内支付至合同金额的100%</w:t>
      </w:r>
      <w:r>
        <w:rPr>
          <w:rFonts w:hint="eastAsia" w:hAnsi="宋体"/>
          <w:sz w:val="24"/>
          <w:szCs w:val="24"/>
          <w:highlight w:val="none"/>
          <w:lang w:eastAsia="zh-CN"/>
        </w:rPr>
        <w:t>。</w:t>
      </w:r>
    </w:p>
    <w:p>
      <w:pPr>
        <w:pStyle w:val="9"/>
        <w:adjustRightInd w:val="0"/>
        <w:snapToGrid w:val="0"/>
        <w:spacing w:before="120" w:after="120" w:line="360" w:lineRule="auto"/>
        <w:ind w:left="48" w:firstLine="658"/>
        <w:rPr>
          <w:rFonts w:hAnsi="宋体"/>
          <w:sz w:val="24"/>
          <w:szCs w:val="24"/>
          <w:highlight w:val="none"/>
        </w:rPr>
      </w:pPr>
      <w:r>
        <w:rPr>
          <w:rFonts w:hint="eastAsia" w:hAnsi="宋体"/>
          <w:sz w:val="24"/>
          <w:szCs w:val="24"/>
          <w:highlight w:val="none"/>
          <w:lang w:val="en-US" w:eastAsia="zh-CN"/>
        </w:rPr>
        <w:t>验收合格后，履约保证金转为质量保证金，甲方返还</w:t>
      </w:r>
      <w:r>
        <w:rPr>
          <w:rFonts w:hint="eastAsia" w:hAnsi="宋体"/>
          <w:sz w:val="24"/>
          <w:szCs w:val="24"/>
          <w:highlight w:val="none"/>
        </w:rPr>
        <w:t>50%</w:t>
      </w:r>
      <w:r>
        <w:rPr>
          <w:rFonts w:hint="eastAsia" w:hAnsi="宋体"/>
          <w:sz w:val="24"/>
          <w:szCs w:val="24"/>
          <w:highlight w:val="none"/>
          <w:lang w:eastAsia="zh-CN"/>
        </w:rPr>
        <w:t>。</w:t>
      </w:r>
      <w:r>
        <w:rPr>
          <w:rFonts w:hint="eastAsia" w:hAnsi="宋体"/>
          <w:sz w:val="24"/>
          <w:szCs w:val="24"/>
          <w:highlight w:val="none"/>
        </w:rPr>
        <w:t>剩余50%质量保证金</w:t>
      </w:r>
      <w:r>
        <w:rPr>
          <w:rFonts w:hint="eastAsia" w:hAnsi="宋体"/>
          <w:sz w:val="24"/>
          <w:szCs w:val="24"/>
          <w:highlight w:val="none"/>
          <w:lang w:val="en-US" w:eastAsia="zh-CN"/>
        </w:rPr>
        <w:t>在</w:t>
      </w:r>
      <w:r>
        <w:rPr>
          <w:rFonts w:hint="eastAsia" w:hAnsi="宋体"/>
          <w:sz w:val="24"/>
          <w:szCs w:val="24"/>
          <w:highlight w:val="none"/>
        </w:rPr>
        <w:t>质保期满后，</w:t>
      </w:r>
      <w:r>
        <w:rPr>
          <w:rFonts w:hAnsi="宋体"/>
          <w:sz w:val="24"/>
          <w:szCs w:val="24"/>
          <w:highlight w:val="none"/>
        </w:rPr>
        <w:t>经有关单位确认无质量问题后，一次性</w:t>
      </w:r>
      <w:r>
        <w:rPr>
          <w:rFonts w:hint="eastAsia" w:hAnsi="宋体"/>
          <w:sz w:val="24"/>
          <w:szCs w:val="24"/>
          <w:highlight w:val="none"/>
        </w:rPr>
        <w:t>无息付清</w:t>
      </w:r>
      <w:r>
        <w:rPr>
          <w:rFonts w:hAnsi="宋体"/>
          <w:sz w:val="24"/>
          <w:szCs w:val="24"/>
          <w:highlight w:val="none"/>
        </w:rPr>
        <w:t>。具体内容以最终签署的合同约定为准。</w:t>
      </w:r>
    </w:p>
    <w:p>
      <w:pPr>
        <w:pStyle w:val="9"/>
        <w:adjustRightInd w:val="0"/>
        <w:snapToGrid w:val="0"/>
        <w:spacing w:before="120" w:after="120" w:line="360" w:lineRule="auto"/>
        <w:ind w:left="1" w:firstLine="658"/>
        <w:rPr>
          <w:rFonts w:hint="default" w:hAnsi="宋体" w:eastAsia="宋体"/>
          <w:sz w:val="24"/>
          <w:szCs w:val="24"/>
          <w:highlight w:val="none"/>
          <w:lang w:val="en-US" w:eastAsia="zh-CN"/>
        </w:rPr>
      </w:pPr>
      <w:r>
        <w:rPr>
          <w:rFonts w:hAnsi="宋体"/>
          <w:sz w:val="24"/>
          <w:szCs w:val="24"/>
          <w:highlight w:val="none"/>
        </w:rPr>
        <w:t>针对国外供应货物（进口货物），由外贸公司开具全额发票，外贸合同中采用100%信用证，90%见单即付，10%凭最终用户方签字和盖章的验收报告支付。</w:t>
      </w:r>
      <w:r>
        <w:rPr>
          <w:rFonts w:hint="eastAsia" w:hAnsi="宋体"/>
          <w:sz w:val="24"/>
          <w:szCs w:val="24"/>
          <w:highlight w:val="none"/>
          <w:lang w:val="en-US" w:eastAsia="zh-CN"/>
        </w:rPr>
        <w:t>验收合格后，履约保证金返还给乙方。</w:t>
      </w:r>
    </w:p>
    <w:p>
      <w:pPr>
        <w:ind w:firstLine="482" w:firstLineChars="200"/>
        <w:rPr>
          <w:rFonts w:ascii="宋体"/>
          <w:b/>
          <w:sz w:val="24"/>
          <w:highlight w:val="none"/>
        </w:rPr>
      </w:pPr>
      <w:r>
        <w:rPr>
          <w:rFonts w:hint="eastAsia" w:ascii="宋体" w:hAnsi="宋体"/>
          <w:b/>
          <w:sz w:val="24"/>
          <w:highlight w:val="none"/>
        </w:rPr>
        <w:t>十一、税</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9"/>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w:t>
      </w:r>
    </w:p>
    <w:p>
      <w:pPr>
        <w:pStyle w:val="9"/>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w:t>
      </w:r>
      <w:r>
        <w:rPr>
          <w:rFonts w:hint="eastAsia" w:hAnsi="宋体"/>
          <w:sz w:val="24"/>
          <w:szCs w:val="24"/>
          <w:highlight w:val="none"/>
          <w:u w:val="single"/>
        </w:rPr>
        <w:t xml:space="preserve">   </w:t>
      </w:r>
      <w:r>
        <w:rPr>
          <w:rFonts w:hint="eastAsia" w:hAnsi="宋体"/>
          <w:sz w:val="24"/>
          <w:szCs w:val="24"/>
          <w:highlight w:val="none"/>
        </w:rPr>
        <w:t>年，因人为因素出现的故障不在免费保修范围内。超过保修期的机器设备，终生维修，维修时只收部件成本费。</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9"/>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r>
        <w:rPr>
          <w:rFonts w:hint="eastAsia" w:hAnsi="宋体"/>
          <w:sz w:val="24"/>
          <w:szCs w:val="24"/>
          <w:highlight w:val="none"/>
        </w:rPr>
        <w:t xml:space="preserve">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9"/>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9"/>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9"/>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9"/>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9"/>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9"/>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9"/>
        <w:adjustRightInd w:val="0"/>
        <w:snapToGrid w:val="0"/>
        <w:spacing w:before="120" w:after="120" w:line="360" w:lineRule="auto"/>
        <w:ind w:firstLine="767"/>
        <w:rPr>
          <w:rFonts w:hint="eastAsia"/>
          <w:sz w:val="28"/>
          <w:szCs w:val="28"/>
          <w:highlight w:val="none"/>
        </w:rPr>
      </w:pPr>
      <w:r>
        <w:rPr>
          <w:rFonts w:hint="eastAsia"/>
          <w:sz w:val="28"/>
          <w:szCs w:val="28"/>
          <w:highlight w:val="none"/>
        </w:rPr>
        <w:t>签订日期：      年   月   日</w:t>
      </w:r>
    </w:p>
    <w:p>
      <w:pPr>
        <w:pStyle w:val="9"/>
        <w:adjustRightInd w:val="0"/>
        <w:snapToGrid w:val="0"/>
        <w:spacing w:before="120" w:after="120" w:line="360" w:lineRule="auto"/>
        <w:ind w:firstLine="767"/>
        <w:rPr>
          <w:rFonts w:hint="eastAsia"/>
          <w:sz w:val="28"/>
          <w:szCs w:val="28"/>
          <w:highlight w:val="none"/>
        </w:rPr>
      </w:pPr>
    </w:p>
    <w:p>
      <w:pPr>
        <w:pStyle w:val="9"/>
        <w:adjustRightInd w:val="0"/>
        <w:snapToGrid w:val="0"/>
        <w:spacing w:before="120" w:after="120" w:line="360" w:lineRule="auto"/>
        <w:ind w:firstLine="767"/>
        <w:rPr>
          <w:rFonts w:cs="仿宋"/>
          <w:sz w:val="24"/>
          <w:highlight w:val="none"/>
        </w:rPr>
      </w:pPr>
      <w:r>
        <w:rPr>
          <w:rFonts w:hint="eastAsia"/>
          <w:sz w:val="28"/>
          <w:szCs w:val="28"/>
          <w:highlight w:val="none"/>
        </w:rPr>
        <w:t>备注：采购合同为参考样本，最终以审计部门审核为准。</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Arial Unicode MS">
    <w:altName w:val="Arial"/>
    <w:panose1 w:val="020B0604020202020204"/>
    <w:charset w:val="00"/>
    <w:family w:val="auto"/>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50"/>
    <w:family w:val="roman"/>
    <w:pitch w:val="default"/>
    <w:sig w:usb0="800002BF" w:usb1="38CF7CFA" w:usb2="00000016" w:usb3="00000000" w:csb0="00040001" w:csb1="00000000"/>
  </w:font>
  <w:font w:name="小塚明朝 Pr6N M">
    <w:altName w:val="Segoe Print"/>
    <w:panose1 w:val="00000000000000000000"/>
    <w:charset w:val="5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b/>
      </w:rPr>
      <w:fldChar w:fldCharType="begin"/>
    </w:r>
    <w:r>
      <w:rPr>
        <w:b/>
      </w:rPr>
      <w:instrText xml:space="preserve">PAGE  \* Arabic  \* MERGEFORMAT</w:instrText>
    </w:r>
    <w:r>
      <w:rPr>
        <w:b/>
      </w:rPr>
      <w:fldChar w:fldCharType="separate"/>
    </w:r>
    <w:r>
      <w:rPr>
        <w:b/>
        <w:lang w:val="zh-CN"/>
      </w:rPr>
      <w:t>23</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cs="宋体"/>
        <w:b/>
        <w:bCs/>
        <w:kern w:val="0"/>
        <w:sz w:val="15"/>
        <w:szCs w:val="15"/>
      </w:rPr>
    </w:pPr>
    <w:r>
      <w:rPr>
        <w:rFonts w:hint="eastAsia" w:ascii="宋体" w:hAnsi="宋体" w:cs="宋体"/>
        <w:b/>
        <w:bCs/>
        <w:kern w:val="0"/>
        <w:sz w:val="15"/>
        <w:szCs w:val="15"/>
      </w:rPr>
      <w:t>南京信息工程大学</w:t>
    </w:r>
    <w:r>
      <w:rPr>
        <w:rFonts w:hint="eastAsia" w:ascii="宋体" w:hAnsi="宋体" w:cs="宋体"/>
        <w:b/>
        <w:bCs/>
        <w:kern w:val="0"/>
        <w:sz w:val="15"/>
        <w:szCs w:val="15"/>
        <w:lang w:val="en-US" w:eastAsia="zh-CN"/>
      </w:rPr>
      <w:t>招标办</w:t>
    </w:r>
    <w:r>
      <w:rPr>
        <w:rFonts w:hint="eastAsia" w:ascii="宋体" w:hAnsi="宋体" w:cs="宋体"/>
        <w:b/>
        <w:bCs/>
        <w:kern w:val="0"/>
        <w:sz w:val="15"/>
        <w:szCs w:val="15"/>
      </w:rPr>
      <w:t>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E20FE0"/>
    <w:multiLevelType w:val="multilevel"/>
    <w:tmpl w:val="3FE20FE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6A6"/>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03E8"/>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0BC6"/>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586"/>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30D9"/>
    <w:rsid w:val="009D34F1"/>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5B517B2"/>
    <w:rsid w:val="0666393D"/>
    <w:rsid w:val="07D33D16"/>
    <w:rsid w:val="0935212E"/>
    <w:rsid w:val="09637941"/>
    <w:rsid w:val="09FF3322"/>
    <w:rsid w:val="0BDF51D7"/>
    <w:rsid w:val="0C3615C8"/>
    <w:rsid w:val="0C4861BD"/>
    <w:rsid w:val="0D873213"/>
    <w:rsid w:val="0D9425DE"/>
    <w:rsid w:val="0D99361C"/>
    <w:rsid w:val="0E321208"/>
    <w:rsid w:val="107D340A"/>
    <w:rsid w:val="10EB4170"/>
    <w:rsid w:val="10F05838"/>
    <w:rsid w:val="113C24CA"/>
    <w:rsid w:val="119D0D41"/>
    <w:rsid w:val="12162C3B"/>
    <w:rsid w:val="130F1D58"/>
    <w:rsid w:val="146723C1"/>
    <w:rsid w:val="14896182"/>
    <w:rsid w:val="14C07D0E"/>
    <w:rsid w:val="155010AB"/>
    <w:rsid w:val="15572C10"/>
    <w:rsid w:val="1584594C"/>
    <w:rsid w:val="15907301"/>
    <w:rsid w:val="15A90346"/>
    <w:rsid w:val="15B24E31"/>
    <w:rsid w:val="16AA09BD"/>
    <w:rsid w:val="17833DE3"/>
    <w:rsid w:val="1905036E"/>
    <w:rsid w:val="19AB020B"/>
    <w:rsid w:val="1C121D57"/>
    <w:rsid w:val="1C4A137C"/>
    <w:rsid w:val="1DBF6144"/>
    <w:rsid w:val="1DCB70DF"/>
    <w:rsid w:val="1E60634C"/>
    <w:rsid w:val="1F11313D"/>
    <w:rsid w:val="1F956998"/>
    <w:rsid w:val="20DC5C02"/>
    <w:rsid w:val="20FE711F"/>
    <w:rsid w:val="21A70E96"/>
    <w:rsid w:val="225E4DAF"/>
    <w:rsid w:val="22891E2D"/>
    <w:rsid w:val="22D33607"/>
    <w:rsid w:val="23FD2509"/>
    <w:rsid w:val="243943F8"/>
    <w:rsid w:val="24E05430"/>
    <w:rsid w:val="25DB39BB"/>
    <w:rsid w:val="267A7579"/>
    <w:rsid w:val="27961F1E"/>
    <w:rsid w:val="27AD7C03"/>
    <w:rsid w:val="28C46277"/>
    <w:rsid w:val="29062B05"/>
    <w:rsid w:val="29127A38"/>
    <w:rsid w:val="2AB43BC5"/>
    <w:rsid w:val="2B556F15"/>
    <w:rsid w:val="2B7F4BC3"/>
    <w:rsid w:val="2CE81BAF"/>
    <w:rsid w:val="2DAC05D8"/>
    <w:rsid w:val="2E726843"/>
    <w:rsid w:val="2EDC02FF"/>
    <w:rsid w:val="3172033E"/>
    <w:rsid w:val="3227588C"/>
    <w:rsid w:val="325F6558"/>
    <w:rsid w:val="331653E5"/>
    <w:rsid w:val="351529A9"/>
    <w:rsid w:val="355A74E9"/>
    <w:rsid w:val="35FD1F7A"/>
    <w:rsid w:val="366D672C"/>
    <w:rsid w:val="36E3150F"/>
    <w:rsid w:val="384A4707"/>
    <w:rsid w:val="385D644E"/>
    <w:rsid w:val="38F33167"/>
    <w:rsid w:val="39C83C69"/>
    <w:rsid w:val="39CE5E1D"/>
    <w:rsid w:val="3A9701E9"/>
    <w:rsid w:val="3C003247"/>
    <w:rsid w:val="3C8E6F2D"/>
    <w:rsid w:val="3D6145DC"/>
    <w:rsid w:val="3EDB4EA4"/>
    <w:rsid w:val="3EE90549"/>
    <w:rsid w:val="3F651F4C"/>
    <w:rsid w:val="3FC31914"/>
    <w:rsid w:val="414A37BB"/>
    <w:rsid w:val="42643A73"/>
    <w:rsid w:val="42AA1012"/>
    <w:rsid w:val="43FB66E3"/>
    <w:rsid w:val="44DC7F4B"/>
    <w:rsid w:val="45651876"/>
    <w:rsid w:val="46AA377D"/>
    <w:rsid w:val="49363676"/>
    <w:rsid w:val="4A4B48E3"/>
    <w:rsid w:val="4B5137BF"/>
    <w:rsid w:val="4DA86B45"/>
    <w:rsid w:val="4E0B46FF"/>
    <w:rsid w:val="4FAF38AA"/>
    <w:rsid w:val="51497070"/>
    <w:rsid w:val="51E025FE"/>
    <w:rsid w:val="52FD675A"/>
    <w:rsid w:val="53063B67"/>
    <w:rsid w:val="532B7AD5"/>
    <w:rsid w:val="53D80FA7"/>
    <w:rsid w:val="5473349C"/>
    <w:rsid w:val="54B6223B"/>
    <w:rsid w:val="54E15A0F"/>
    <w:rsid w:val="55344B23"/>
    <w:rsid w:val="56732DC5"/>
    <w:rsid w:val="56C21B98"/>
    <w:rsid w:val="57360F05"/>
    <w:rsid w:val="581F495D"/>
    <w:rsid w:val="58484116"/>
    <w:rsid w:val="58DA78C0"/>
    <w:rsid w:val="58E017CC"/>
    <w:rsid w:val="58E72734"/>
    <w:rsid w:val="5AC859BF"/>
    <w:rsid w:val="5C0F2072"/>
    <w:rsid w:val="5CFC1D50"/>
    <w:rsid w:val="5E6C25B6"/>
    <w:rsid w:val="5E84123F"/>
    <w:rsid w:val="607E0927"/>
    <w:rsid w:val="619D5BCC"/>
    <w:rsid w:val="6233128F"/>
    <w:rsid w:val="62635DDC"/>
    <w:rsid w:val="62FE3555"/>
    <w:rsid w:val="63D7368B"/>
    <w:rsid w:val="665A104A"/>
    <w:rsid w:val="681F1D33"/>
    <w:rsid w:val="68A603CF"/>
    <w:rsid w:val="69E27B06"/>
    <w:rsid w:val="6A0F3694"/>
    <w:rsid w:val="6A5C1E75"/>
    <w:rsid w:val="6AB76CFB"/>
    <w:rsid w:val="6BC1702A"/>
    <w:rsid w:val="6BE62478"/>
    <w:rsid w:val="6C282248"/>
    <w:rsid w:val="6CBD55AC"/>
    <w:rsid w:val="6DE636A7"/>
    <w:rsid w:val="6DE86594"/>
    <w:rsid w:val="6F747100"/>
    <w:rsid w:val="711F610B"/>
    <w:rsid w:val="73711235"/>
    <w:rsid w:val="73936272"/>
    <w:rsid w:val="753E278B"/>
    <w:rsid w:val="75BE6EB5"/>
    <w:rsid w:val="76EB32AB"/>
    <w:rsid w:val="775D0432"/>
    <w:rsid w:val="77F94212"/>
    <w:rsid w:val="7815375E"/>
    <w:rsid w:val="78B820E3"/>
    <w:rsid w:val="7AE40810"/>
    <w:rsid w:val="7BBB6C68"/>
    <w:rsid w:val="7C574749"/>
    <w:rsid w:val="7C8E2CF6"/>
    <w:rsid w:val="7C967B8B"/>
    <w:rsid w:val="7CD015B7"/>
    <w:rsid w:val="7EEF6C2A"/>
    <w:rsid w:val="7EF35570"/>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9"/>
    <w:pPr>
      <w:keepNext/>
      <w:keepLines/>
      <w:spacing w:before="340" w:after="330" w:line="578" w:lineRule="auto"/>
      <w:outlineLvl w:val="0"/>
    </w:pPr>
    <w:rPr>
      <w:b/>
      <w:kern w:val="44"/>
      <w:sz w:val="44"/>
      <w:szCs w:val="2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4">
    <w:name w:val="annotation text"/>
    <w:basedOn w:val="1"/>
    <w:link w:val="22"/>
    <w:qFormat/>
    <w:uiPriority w:val="99"/>
    <w:pPr>
      <w:jc w:val="left"/>
    </w:pPr>
    <w:rPr>
      <w:sz w:val="24"/>
      <w:szCs w:val="20"/>
    </w:rPr>
  </w:style>
  <w:style w:type="paragraph" w:styleId="5">
    <w:name w:val="Body Text"/>
    <w:basedOn w:val="1"/>
    <w:link w:val="41"/>
    <w:unhideWhenUsed/>
    <w:qFormat/>
    <w:locked/>
    <w:uiPriority w:val="99"/>
    <w:pPr>
      <w:spacing w:after="120"/>
    </w:pPr>
  </w:style>
  <w:style w:type="paragraph" w:styleId="6">
    <w:name w:val="Body Text Indent"/>
    <w:basedOn w:val="1"/>
    <w:link w:val="23"/>
    <w:qFormat/>
    <w:uiPriority w:val="99"/>
    <w:pPr>
      <w:ind w:firstLine="575" w:firstLineChars="274"/>
    </w:pPr>
    <w:rPr>
      <w:rFonts w:ascii="等线" w:eastAsia="等线"/>
      <w:sz w:val="22"/>
      <w:szCs w:val="20"/>
    </w:rPr>
  </w:style>
  <w:style w:type="paragraph" w:styleId="7">
    <w:name w:val="Block Text"/>
    <w:basedOn w:val="1"/>
    <w:unhideWhenUsed/>
    <w:qFormat/>
    <w:locked/>
    <w:uiPriority w:val="99"/>
    <w:pPr>
      <w:spacing w:after="120"/>
      <w:ind w:left="1440" w:leftChars="700" w:right="1440" w:rightChars="700"/>
    </w:pPr>
  </w:style>
  <w:style w:type="paragraph" w:styleId="8">
    <w:name w:val="index 4"/>
    <w:basedOn w:val="1"/>
    <w:next w:val="1"/>
    <w:qFormat/>
    <w:uiPriority w:val="99"/>
    <w:pPr>
      <w:ind w:left="600" w:leftChars="600"/>
    </w:pPr>
    <w:rPr>
      <w:rFonts w:ascii="Verdana" w:hAnsi="Verdana"/>
    </w:rPr>
  </w:style>
  <w:style w:type="paragraph" w:styleId="9">
    <w:name w:val="Plain Text"/>
    <w:basedOn w:val="1"/>
    <w:link w:val="24"/>
    <w:qFormat/>
    <w:uiPriority w:val="0"/>
    <w:rPr>
      <w:rFonts w:ascii="宋体" w:hAnsi="Courier New"/>
      <w:szCs w:val="20"/>
    </w:rPr>
  </w:style>
  <w:style w:type="paragraph" w:styleId="10">
    <w:name w:val="Date"/>
    <w:basedOn w:val="1"/>
    <w:next w:val="1"/>
    <w:link w:val="25"/>
    <w:qFormat/>
    <w:uiPriority w:val="99"/>
    <w:pPr>
      <w:ind w:left="100" w:leftChars="2500"/>
    </w:pPr>
    <w:rPr>
      <w:sz w:val="24"/>
      <w:szCs w:val="20"/>
    </w:rPr>
  </w:style>
  <w:style w:type="paragraph" w:styleId="11">
    <w:name w:val="Balloon Text"/>
    <w:basedOn w:val="1"/>
    <w:link w:val="26"/>
    <w:semiHidden/>
    <w:qFormat/>
    <w:uiPriority w:val="99"/>
    <w:rPr>
      <w:kern w:val="0"/>
      <w:sz w:val="2"/>
      <w:szCs w:val="20"/>
    </w:rPr>
  </w:style>
  <w:style w:type="paragraph" w:styleId="12">
    <w:name w:val="footer"/>
    <w:basedOn w:val="1"/>
    <w:link w:val="27"/>
    <w:qFormat/>
    <w:uiPriority w:val="99"/>
    <w:pPr>
      <w:tabs>
        <w:tab w:val="center" w:pos="4153"/>
        <w:tab w:val="right" w:pos="8306"/>
      </w:tabs>
      <w:snapToGrid w:val="0"/>
      <w:jc w:val="left"/>
    </w:pPr>
    <w:rPr>
      <w:kern w:val="0"/>
      <w:sz w:val="18"/>
      <w:szCs w:val="18"/>
    </w:rPr>
  </w:style>
  <w:style w:type="paragraph" w:styleId="13">
    <w:name w:val="header"/>
    <w:basedOn w:val="1"/>
    <w:link w:val="28"/>
    <w:qFormat/>
    <w:uiPriority w:val="99"/>
    <w:pPr>
      <w:pBdr>
        <w:bottom w:val="single" w:color="auto" w:sz="6" w:space="1"/>
      </w:pBdr>
      <w:tabs>
        <w:tab w:val="center" w:pos="4153"/>
        <w:tab w:val="right" w:pos="8306"/>
      </w:tabs>
      <w:snapToGrid w:val="0"/>
      <w:jc w:val="center"/>
    </w:pPr>
    <w:rPr>
      <w:sz w:val="18"/>
      <w:szCs w:val="20"/>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29"/>
    <w:qFormat/>
    <w:uiPriority w:val="99"/>
    <w:rPr>
      <w:b/>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rFonts w:cs="Times New Roman"/>
      <w:color w:val="0563C1"/>
      <w:u w:val="single"/>
    </w:rPr>
  </w:style>
  <w:style w:type="character" w:styleId="20">
    <w:name w:val="annotation reference"/>
    <w:basedOn w:val="18"/>
    <w:qFormat/>
    <w:uiPriority w:val="99"/>
    <w:rPr>
      <w:rFonts w:cs="Times New Roman"/>
      <w:sz w:val="21"/>
    </w:rPr>
  </w:style>
  <w:style w:type="character" w:customStyle="1" w:styleId="21">
    <w:name w:val="标题 1字符"/>
    <w:link w:val="3"/>
    <w:qFormat/>
    <w:locked/>
    <w:uiPriority w:val="99"/>
    <w:rPr>
      <w:rFonts w:cs="Times New Roman"/>
      <w:b/>
      <w:kern w:val="44"/>
      <w:sz w:val="44"/>
    </w:rPr>
  </w:style>
  <w:style w:type="character" w:customStyle="1" w:styleId="22">
    <w:name w:val="注释文本字符"/>
    <w:link w:val="4"/>
    <w:qFormat/>
    <w:locked/>
    <w:uiPriority w:val="99"/>
    <w:rPr>
      <w:rFonts w:cs="Times New Roman"/>
      <w:kern w:val="2"/>
      <w:sz w:val="24"/>
    </w:rPr>
  </w:style>
  <w:style w:type="character" w:customStyle="1" w:styleId="23">
    <w:name w:val="正文文本缩进字符"/>
    <w:link w:val="6"/>
    <w:qFormat/>
    <w:locked/>
    <w:uiPriority w:val="99"/>
    <w:rPr>
      <w:rFonts w:ascii="等线" w:eastAsia="等线" w:cs="Times New Roman"/>
      <w:kern w:val="2"/>
      <w:sz w:val="22"/>
    </w:rPr>
  </w:style>
  <w:style w:type="character" w:customStyle="1" w:styleId="24">
    <w:name w:val="纯文本字符"/>
    <w:link w:val="9"/>
    <w:qFormat/>
    <w:locked/>
    <w:uiPriority w:val="0"/>
    <w:rPr>
      <w:rFonts w:ascii="宋体" w:hAnsi="Courier New" w:cs="Times New Roman"/>
      <w:kern w:val="2"/>
      <w:sz w:val="21"/>
    </w:rPr>
  </w:style>
  <w:style w:type="character" w:customStyle="1" w:styleId="25">
    <w:name w:val="日期字符"/>
    <w:link w:val="10"/>
    <w:qFormat/>
    <w:locked/>
    <w:uiPriority w:val="99"/>
    <w:rPr>
      <w:rFonts w:cs="Times New Roman"/>
      <w:kern w:val="2"/>
      <w:sz w:val="24"/>
    </w:rPr>
  </w:style>
  <w:style w:type="character" w:customStyle="1" w:styleId="26">
    <w:name w:val="批注框文本字符"/>
    <w:link w:val="11"/>
    <w:semiHidden/>
    <w:qFormat/>
    <w:locked/>
    <w:uiPriority w:val="99"/>
    <w:rPr>
      <w:rFonts w:cs="Times New Roman"/>
      <w:sz w:val="2"/>
    </w:rPr>
  </w:style>
  <w:style w:type="character" w:customStyle="1" w:styleId="27">
    <w:name w:val="页脚字符"/>
    <w:link w:val="12"/>
    <w:semiHidden/>
    <w:qFormat/>
    <w:locked/>
    <w:uiPriority w:val="99"/>
    <w:rPr>
      <w:rFonts w:cs="Times New Roman"/>
      <w:sz w:val="18"/>
      <w:szCs w:val="18"/>
    </w:rPr>
  </w:style>
  <w:style w:type="character" w:customStyle="1" w:styleId="28">
    <w:name w:val="页眉字符"/>
    <w:link w:val="13"/>
    <w:qFormat/>
    <w:locked/>
    <w:uiPriority w:val="99"/>
    <w:rPr>
      <w:rFonts w:cs="Times New Roman"/>
      <w:kern w:val="2"/>
      <w:sz w:val="18"/>
    </w:rPr>
  </w:style>
  <w:style w:type="character" w:customStyle="1" w:styleId="29">
    <w:name w:val="批注主题字符"/>
    <w:link w:val="15"/>
    <w:qFormat/>
    <w:locked/>
    <w:uiPriority w:val="99"/>
    <w:rPr>
      <w:rFonts w:cs="Times New Roman"/>
      <w:b/>
      <w:kern w:val="2"/>
      <w:sz w:val="24"/>
    </w:rPr>
  </w:style>
  <w:style w:type="paragraph" w:customStyle="1" w:styleId="30">
    <w:name w:val="Char"/>
    <w:basedOn w:val="1"/>
    <w:qFormat/>
    <w:uiPriority w:val="99"/>
    <w:pPr>
      <w:tabs>
        <w:tab w:val="left" w:pos="360"/>
      </w:tabs>
    </w:pPr>
    <w:rPr>
      <w:sz w:val="24"/>
    </w:rPr>
  </w:style>
  <w:style w:type="character" w:customStyle="1" w:styleId="31">
    <w:name w:val="列出段落字符"/>
    <w:link w:val="32"/>
    <w:qFormat/>
    <w:locked/>
    <w:uiPriority w:val="0"/>
  </w:style>
  <w:style w:type="paragraph" w:styleId="32">
    <w:name w:val="List Paragraph"/>
    <w:basedOn w:val="1"/>
    <w:link w:val="31"/>
    <w:qFormat/>
    <w:uiPriority w:val="34"/>
    <w:pPr>
      <w:widowControl/>
      <w:ind w:firstLine="420" w:firstLineChars="200"/>
      <w:jc w:val="left"/>
    </w:pPr>
    <w:rPr>
      <w:kern w:val="0"/>
      <w:sz w:val="20"/>
      <w:szCs w:val="20"/>
    </w:rPr>
  </w:style>
  <w:style w:type="table" w:customStyle="1" w:styleId="33">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laceholder Text"/>
    <w:semiHidden/>
    <w:qFormat/>
    <w:uiPriority w:val="99"/>
    <w:rPr>
      <w:rFonts w:cs="Times New Roman"/>
      <w:color w:val="808080"/>
    </w:rPr>
  </w:style>
  <w:style w:type="paragraph" w:customStyle="1" w:styleId="35">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6">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7">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8">
    <w:name w:val="列出段落2"/>
    <w:basedOn w:val="1"/>
    <w:qFormat/>
    <w:uiPriority w:val="99"/>
    <w:pPr>
      <w:ind w:firstLine="420" w:firstLineChars="200"/>
    </w:pPr>
    <w:rPr>
      <w:rFonts w:ascii="Calibri" w:hAnsi="Calibri"/>
      <w:szCs w:val="22"/>
    </w:rPr>
  </w:style>
  <w:style w:type="character" w:customStyle="1" w:styleId="39">
    <w:name w:val="标题 2 Char Char Char"/>
    <w:qFormat/>
    <w:uiPriority w:val="99"/>
    <w:rPr>
      <w:rFonts w:ascii="Arial" w:hAnsi="Arial" w:eastAsia="黑体"/>
      <w:b/>
      <w:kern w:val="2"/>
      <w:sz w:val="32"/>
      <w:lang w:val="en-US" w:eastAsia="zh-CN"/>
    </w:rPr>
  </w:style>
  <w:style w:type="paragraph" w:customStyle="1" w:styleId="40">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1">
    <w:name w:val="正文文本字符"/>
    <w:link w:val="5"/>
    <w:qFormat/>
    <w:uiPriority w:val="99"/>
    <w:rPr>
      <w:kern w:val="2"/>
      <w:sz w:val="21"/>
      <w:szCs w:val="24"/>
    </w:rPr>
  </w:style>
  <w:style w:type="paragraph" w:customStyle="1" w:styleId="42">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3">
    <w:name w:val="正文2"/>
    <w:basedOn w:val="1"/>
    <w:qFormat/>
    <w:uiPriority w:val="0"/>
    <w:pPr>
      <w:spacing w:before="156" w:line="360" w:lineRule="auto"/>
      <w:ind w:firstLine="510" w:firstLineChars="200"/>
    </w:pPr>
    <w:rPr>
      <w:sz w:val="24"/>
    </w:rPr>
  </w:style>
  <w:style w:type="paragraph" w:customStyle="1" w:styleId="44">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5">
    <w:name w:val="A9"/>
    <w:qFormat/>
    <w:uiPriority w:val="0"/>
    <w:rPr>
      <w:rFonts w:cs="PSFEIH+StoneSans"/>
      <w:color w:val="262424"/>
      <w:sz w:val="20"/>
      <w:szCs w:val="20"/>
    </w:rPr>
  </w:style>
  <w:style w:type="paragraph" w:customStyle="1" w:styleId="46">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7">
    <w:name w:val="A14"/>
    <w:qFormat/>
    <w:uiPriority w:val="99"/>
    <w:rPr>
      <w:rFonts w:cs="Open Sans Light"/>
      <w:color w:val="FFFFFF"/>
      <w:sz w:val="13"/>
      <w:szCs w:val="13"/>
    </w:rPr>
  </w:style>
  <w:style w:type="paragraph" w:customStyle="1" w:styleId="48">
    <w:name w:val="表格文字"/>
    <w:basedOn w:val="1"/>
    <w:next w:val="5"/>
    <w:qFormat/>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339E8-DA90-5849-8417-5F339AABFF44}">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2130</Words>
  <Characters>12142</Characters>
  <Lines>101</Lines>
  <Paragraphs>28</Paragraphs>
  <TotalTime>11</TotalTime>
  <ScaleCrop>false</ScaleCrop>
  <LinksUpToDate>false</LinksUpToDate>
  <CharactersWithSpaces>14244</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2020-07-03T04:49:00Z</dcterms:created>
  <dc:creator>微软用户</dc:creator>
  <cp:lastModifiedBy>nxdlu</cp:lastModifiedBy>
  <cp:lastPrinted>2019-11-22T01:53:00Z</cp:lastPrinted>
  <dcterms:modified xsi:type="dcterms:W3CDTF">2020-07-17T12:47:55Z</dcterms:modified>
  <dc:title>淮海工学院A8-10号楼学生宿舍家具招标书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