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0" w:name="OLE_LINK1"/>
      <w:bookmarkStart w:id="1" w:name="OLE_LINK2"/>
      <w:r>
        <w:rPr>
          <w:b/>
          <w:color w:val="auto"/>
          <w:sz w:val="44"/>
          <w:szCs w:val="44"/>
          <w:highlight w:val="none"/>
        </w:rPr>
        <w:t>南京信息工程大学</w:t>
      </w:r>
      <w:bookmarkEnd w:id="0"/>
      <w:bookmarkEnd w:id="1"/>
      <w:bookmarkStart w:id="2" w:name="_Hlk19539886"/>
      <w:r>
        <w:rPr>
          <w:rFonts w:hint="eastAsia"/>
          <w:b/>
          <w:color w:val="auto"/>
          <w:sz w:val="44"/>
          <w:szCs w:val="44"/>
          <w:highlight w:val="none"/>
        </w:rPr>
        <w:t>45通道脑机信号采集系统采购</w:t>
      </w:r>
      <w:bookmarkEnd w:id="2"/>
      <w:r>
        <w:rPr>
          <w:b/>
          <w:color w:val="auto"/>
          <w:sz w:val="44"/>
          <w:szCs w:val="44"/>
          <w:highlight w:val="none"/>
        </w:rPr>
        <w:t>项目招标文件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（招标编号：SBC202002</w:t>
      </w:r>
      <w:r>
        <w:rPr>
          <w:rFonts w:hint="eastAsia" w:ascii="宋体" w:hAnsi="宋体" w:cs="仿宋"/>
          <w:color w:val="auto"/>
          <w:sz w:val="28"/>
          <w:szCs w:val="28"/>
          <w:highlight w:val="none"/>
          <w:lang w:val="en-US" w:eastAsia="zh-CN"/>
        </w:rPr>
        <w:t>4</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bookmarkStart w:id="12" w:name="_GoBack"/>
      <w:bookmarkEnd w:id="12"/>
    </w:p>
    <w:p>
      <w:pPr>
        <w:adjustRightInd w:val="0"/>
        <w:snapToGrid w:val="0"/>
        <w:spacing w:line="360" w:lineRule="auto"/>
        <w:jc w:val="center"/>
        <w:rPr>
          <w:b/>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20年06月</w:t>
      </w:r>
      <w:r>
        <w:rPr>
          <w:rFonts w:hint="eastAsia" w:ascii="宋体" w:hAnsi="宋体" w:cs="仿宋"/>
          <w:color w:val="auto"/>
          <w:sz w:val="28"/>
          <w:szCs w:val="28"/>
          <w:highlight w:val="none"/>
          <w:u w:val="single"/>
          <w:lang w:val="en-US" w:eastAsia="zh-CN"/>
        </w:rPr>
        <w:t>16</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14</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hint="eastAsia" w:ascii="宋体" w:hAnsi="宋体"/>
          <w:color w:val="auto"/>
          <w:sz w:val="28"/>
          <w:szCs w:val="28"/>
          <w:highlight w:val="none"/>
        </w:rPr>
        <w:t>45通道脑机信号采集系统</w:t>
      </w:r>
      <w:r>
        <w:rPr>
          <w:rFonts w:hint="eastAsia" w:ascii="宋体" w:hAnsi="宋体" w:cs="仿宋"/>
          <w:color w:val="auto"/>
          <w:sz w:val="28"/>
          <w:szCs w:val="28"/>
          <w:highlight w:val="none"/>
        </w:rPr>
        <w:t>采购项目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1"/>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1"/>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45通道脑机信号采集系统</w:t>
      </w:r>
      <w:r>
        <w:rPr>
          <w:rFonts w:hint="eastAsia" w:ascii="宋体" w:hAnsi="宋体" w:cs="仿宋"/>
          <w:color w:val="auto"/>
          <w:sz w:val="28"/>
          <w:szCs w:val="28"/>
          <w:highlight w:val="none"/>
        </w:rPr>
        <w:t>采购项目</w:t>
      </w:r>
      <w:r>
        <w:rPr>
          <w:rFonts w:ascii="宋体" w:hAnsi="宋体"/>
          <w:color w:val="auto"/>
          <w:kern w:val="2"/>
          <w:sz w:val="28"/>
          <w:szCs w:val="28"/>
          <w:highlight w:val="none"/>
        </w:rPr>
        <w:t>。</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项目必须由中标单位自行完成，严禁转包和擅自分包。否则我院有权单方面终止本合同的执行，并且中标人支付按合同价款20%的违约金，由此所造成的一切后果和经济损失均由中标人自行负责和承担。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3"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3"/>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4" w:name="_Hlk9866054"/>
      <w:r>
        <w:rPr>
          <w:rFonts w:hint="eastAsia" w:ascii="宋体" w:hAnsi="宋体"/>
          <w:color w:val="auto"/>
          <w:sz w:val="28"/>
          <w:szCs w:val="28"/>
          <w:highlight w:val="none"/>
        </w:rPr>
        <w:t>.招标文件由我校采购人、项目归口管理部门和财务处联合起草；经学校相关职能部门会审通过形成正式招标文件。同时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4"/>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w:t>
      </w:r>
      <w:r>
        <w:rPr>
          <w:rFonts w:hint="eastAsia" w:cs="Times New Roman"/>
          <w:color w:val="auto"/>
          <w:sz w:val="28"/>
          <w:szCs w:val="28"/>
          <w:highlight w:val="none"/>
          <w:lang w:val="en-US" w:eastAsia="zh-CN"/>
        </w:rPr>
        <w:t>纪检监察部门</w:t>
      </w:r>
      <w:r>
        <w:rPr>
          <w:rFonts w:hint="eastAsia" w:cs="Times New Roman"/>
          <w:color w:val="auto"/>
          <w:sz w:val="28"/>
          <w:szCs w:val="28"/>
          <w:highlight w:val="none"/>
        </w:rPr>
        <w:t>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w:t>
      </w:r>
      <w:r>
        <w:rPr>
          <w:rFonts w:hint="eastAsia" w:ascii="宋体" w:hAnsi="宋体" w:cs="宋体"/>
          <w:color w:val="auto"/>
          <w:sz w:val="28"/>
          <w:szCs w:val="28"/>
          <w:highlight w:val="none"/>
          <w:lang w:val="en-US" w:eastAsia="zh-CN"/>
        </w:rPr>
        <w:t>合同生效后90天内</w:t>
      </w:r>
      <w:r>
        <w:rPr>
          <w:rFonts w:hint="eastAsia" w:ascii="宋体" w:hAnsi="宋体" w:cs="宋体"/>
          <w:color w:val="auto"/>
          <w:sz w:val="28"/>
          <w:szCs w:val="28"/>
          <w:highlight w:val="none"/>
        </w:rPr>
        <w:t>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六、本项目预算价为27.00万元，本项目只接受人民币报价。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w:t>
      </w:r>
      <w:r>
        <w:rPr>
          <w:rFonts w:hint="eastAsia" w:ascii="宋体" w:hAnsi="宋体" w:cs="宋体"/>
          <w:color w:val="auto"/>
          <w:sz w:val="28"/>
          <w:szCs w:val="28"/>
          <w:highlight w:val="none"/>
          <w:lang w:val="en-US" w:eastAsia="zh-CN"/>
        </w:rPr>
        <w:t>联系</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5"/>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6" w:name="_Hlk9866206"/>
      <w:r>
        <w:rPr>
          <w:rFonts w:hint="eastAsia" w:ascii="黑体" w:hAnsi="黑体" w:eastAsia="黑体" w:cs="宋体"/>
          <w:color w:val="auto"/>
          <w:sz w:val="28"/>
          <w:szCs w:val="28"/>
          <w:highlight w:val="none"/>
        </w:rPr>
        <w:t>四、开标程序</w:t>
      </w:r>
    </w:p>
    <w:bookmarkEnd w:id="6"/>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w:t>
      </w:r>
      <w:r>
        <w:rPr>
          <w:rFonts w:hint="eastAsia" w:ascii="宋体" w:hAnsi="宋体" w:cs="宋体"/>
          <w:color w:val="auto"/>
          <w:sz w:val="28"/>
          <w:szCs w:val="28"/>
          <w:highlight w:val="none"/>
          <w:lang w:val="en-US" w:eastAsia="zh-CN"/>
        </w:rPr>
        <w:t>纪检监察部门</w:t>
      </w:r>
      <w:r>
        <w:rPr>
          <w:rFonts w:hint="eastAsia" w:ascii="宋体" w:hAnsi="宋体" w:cs="宋体"/>
          <w:color w:val="auto"/>
          <w:sz w:val="28"/>
          <w:szCs w:val="28"/>
          <w:highlight w:val="none"/>
        </w:rPr>
        <w:t>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SBC20</w:t>
      </w:r>
      <w:r>
        <w:rPr>
          <w:rFonts w:hint="eastAsia" w:ascii="宋体" w:hAnsi="宋体" w:cs="宋体"/>
          <w:b/>
          <w:color w:val="auto"/>
          <w:sz w:val="28"/>
          <w:szCs w:val="28"/>
          <w:highlight w:val="none"/>
        </w:rPr>
        <w:t>2002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个工作日内，中标单位须及时缴纳5</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元履约保证金并前来我校领取的《中标通知书》（一式二份）。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rPr>
        <w:t>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5</w:t>
      </w:r>
      <w:r>
        <w:rPr>
          <w:rFonts w:ascii="宋体" w:hAnsi="宋体" w:cs="宋体"/>
          <w:color w:val="auto"/>
          <w:sz w:val="28"/>
          <w:szCs w:val="28"/>
          <w:highlight w:val="none"/>
          <w:u w:val="single"/>
        </w:rPr>
        <w:t>000</w:t>
      </w:r>
      <w:r>
        <w:rPr>
          <w:rFonts w:hint="eastAsia" w:ascii="宋体" w:hAnsi="宋体" w:cs="宋体"/>
          <w:color w:val="auto"/>
          <w:sz w:val="28"/>
          <w:szCs w:val="28"/>
          <w:highlight w:val="none"/>
          <w:u w:val="single"/>
        </w:rPr>
        <w:t>元</w:t>
      </w:r>
      <w:r>
        <w:rPr>
          <w:rFonts w:hint="eastAsia" w:ascii="宋体" w:hAnsi="宋体" w:cs="宋体"/>
          <w:color w:val="auto"/>
          <w:sz w:val="28"/>
          <w:szCs w:val="28"/>
          <w:highlight w:val="none"/>
        </w:rPr>
        <w:t>整。</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5</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7"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年06月</w:t>
      </w:r>
      <w:r>
        <w:rPr>
          <w:rFonts w:hint="eastAsia" w:ascii="宋体" w:hAnsi="宋体"/>
          <w:b/>
          <w:color w:val="auto"/>
          <w:sz w:val="28"/>
          <w:szCs w:val="28"/>
          <w:highlight w:val="none"/>
          <w:u w:val="single"/>
          <w:lang w:val="en-US" w:eastAsia="zh-CN"/>
        </w:rPr>
        <w:t>22</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07</w:t>
      </w:r>
      <w:r>
        <w:rPr>
          <w:rFonts w:hint="eastAsia" w:ascii="宋体" w:hAnsi="宋体"/>
          <w:color w:val="auto"/>
          <w:sz w:val="28"/>
          <w:szCs w:val="28"/>
          <w:highlight w:val="none"/>
        </w:rPr>
        <w:t>日09：00。</w:t>
      </w:r>
      <w:bookmarkStart w:id="8" w:name="_Hlk32349437"/>
    </w:p>
    <w:bookmarkEnd w:id="8"/>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日09：00；(不安排公开开标、唱标，由财务处招标科工作人员在我校</w:t>
      </w:r>
      <w:r>
        <w:rPr>
          <w:rFonts w:hint="eastAsia" w:ascii="宋体" w:hAnsi="宋体"/>
          <w:color w:val="auto"/>
          <w:sz w:val="28"/>
          <w:szCs w:val="28"/>
          <w:highlight w:val="none"/>
          <w:lang w:val="en-US" w:eastAsia="zh-CN"/>
        </w:rPr>
        <w:t>纪检监察部门</w:t>
      </w:r>
      <w:r>
        <w:rPr>
          <w:rFonts w:hint="eastAsia" w:ascii="宋体" w:hAnsi="宋体"/>
          <w:color w:val="auto"/>
          <w:sz w:val="28"/>
          <w:szCs w:val="28"/>
          <w:highlight w:val="none"/>
        </w:rPr>
        <w:t>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7"/>
      <w:r>
        <w:rPr>
          <w:rFonts w:hint="eastAsia" w:ascii="宋体" w:hAnsi="宋体"/>
          <w:color w:val="auto"/>
          <w:sz w:val="28"/>
          <w:szCs w:val="28"/>
          <w:highlight w:val="none"/>
        </w:rPr>
        <w:t>用户单位联系电话：</w:t>
      </w:r>
      <w:r>
        <w:rPr>
          <w:rFonts w:hint="eastAsia" w:ascii="宋体" w:hAnsi="宋体"/>
          <w:color w:val="auto"/>
          <w:sz w:val="28"/>
          <w:szCs w:val="28"/>
          <w:highlight w:val="none"/>
          <w:lang w:val="en-US" w:eastAsia="zh-CN"/>
        </w:rPr>
        <w:t>19850056497</w:t>
      </w: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化</w:t>
      </w:r>
      <w:r>
        <w:rPr>
          <w:rFonts w:hint="eastAsia" w:ascii="宋体" w:hAnsi="宋体"/>
          <w:color w:val="auto"/>
          <w:sz w:val="28"/>
          <w:szCs w:val="28"/>
          <w:highlight w:val="none"/>
        </w:rPr>
        <w:t>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9" w:name="_Hlk9866962"/>
      <w:r>
        <w:rPr>
          <w:rFonts w:hint="eastAsia" w:ascii="宋体" w:hAnsi="宋体"/>
          <w:b/>
          <w:color w:val="auto"/>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color w:val="auto"/>
          <w:sz w:val="28"/>
          <w:szCs w:val="28"/>
          <w:highlight w:val="none"/>
        </w:rPr>
      </w:pPr>
      <w:r>
        <w:rPr>
          <w:rStyle w:val="38"/>
          <w:rFonts w:ascii="宋体" w:hAnsi="宋体" w:eastAsia="宋体"/>
          <w:color w:val="auto"/>
          <w:sz w:val="28"/>
          <w:szCs w:val="28"/>
          <w:highlight w:val="none"/>
        </w:rPr>
        <w:t>20</w:t>
      </w:r>
      <w:r>
        <w:rPr>
          <w:rStyle w:val="38"/>
          <w:rFonts w:hint="eastAsia" w:ascii="宋体" w:hAnsi="宋体" w:eastAsia="宋体"/>
          <w:color w:val="auto"/>
          <w:sz w:val="28"/>
          <w:szCs w:val="28"/>
          <w:highlight w:val="none"/>
        </w:rPr>
        <w:t>20年0</w:t>
      </w:r>
      <w:r>
        <w:rPr>
          <w:rStyle w:val="38"/>
          <w:rFonts w:hint="eastAsia" w:ascii="宋体" w:hAnsi="宋体"/>
          <w:color w:val="auto"/>
          <w:sz w:val="28"/>
          <w:szCs w:val="28"/>
          <w:highlight w:val="none"/>
        </w:rPr>
        <w:t>6</w:t>
      </w:r>
      <w:r>
        <w:rPr>
          <w:rStyle w:val="38"/>
          <w:rFonts w:hint="eastAsia" w:ascii="宋体" w:hAnsi="宋体" w:eastAsia="宋体"/>
          <w:color w:val="auto"/>
          <w:sz w:val="28"/>
          <w:szCs w:val="28"/>
          <w:highlight w:val="none"/>
        </w:rPr>
        <w:t>月</w:t>
      </w:r>
      <w:r>
        <w:rPr>
          <w:rStyle w:val="38"/>
          <w:rFonts w:hint="eastAsia" w:ascii="宋体" w:hAnsi="宋体"/>
          <w:color w:val="auto"/>
          <w:sz w:val="28"/>
          <w:szCs w:val="28"/>
          <w:highlight w:val="none"/>
          <w:lang w:val="en-US"/>
        </w:rPr>
        <w:t>16</w:t>
      </w:r>
      <w:r>
        <w:rPr>
          <w:rStyle w:val="38"/>
          <w:rFonts w:hint="eastAsia" w:ascii="宋体" w:hAnsi="宋体" w:eastAsia="宋体"/>
          <w:color w:val="auto"/>
          <w:sz w:val="28"/>
          <w:szCs w:val="28"/>
          <w:highlight w:val="none"/>
        </w:rPr>
        <w:t>日</w:t>
      </w:r>
    </w:p>
    <w:bookmarkEnd w:id="9"/>
    <w:p>
      <w:pPr>
        <w:pStyle w:val="8"/>
        <w:adjustRightInd w:val="0"/>
        <w:snapToGrid w:val="0"/>
        <w:spacing w:before="120" w:after="120" w:line="360" w:lineRule="auto"/>
        <w:rPr>
          <w:rFonts w:ascii="Times New Roman" w:hAnsi="Times New Roman"/>
          <w:color w:val="auto"/>
          <w:sz w:val="24"/>
          <w:szCs w:val="24"/>
          <w:highlight w:val="none"/>
        </w:rPr>
      </w:pPr>
      <w:r>
        <w:rPr>
          <w:rStyle w:val="38"/>
          <w:rFonts w:ascii="宋体" w:hAnsi="Times New Roman" w:eastAsia="宋体"/>
          <w:b w:val="0"/>
          <w:color w:val="auto"/>
          <w:sz w:val="28"/>
          <w:szCs w:val="28"/>
          <w:highlight w:val="none"/>
        </w:rPr>
        <w:br w:type="page"/>
      </w:r>
      <w:bookmarkStart w:id="10" w:name="_Toc462564147"/>
      <w:r>
        <w:rPr>
          <w:rFonts w:ascii="Times New Roman" w:hAnsi="Times New Roman"/>
          <w:b/>
          <w:bCs/>
          <w:color w:val="auto"/>
          <w:sz w:val="24"/>
          <w:szCs w:val="24"/>
          <w:highlight w:val="none"/>
        </w:rPr>
        <w:t>附件1：</w:t>
      </w:r>
    </w:p>
    <w:p>
      <w:pPr>
        <w:widowControl/>
        <w:jc w:val="left"/>
        <w:rPr>
          <w:rStyle w:val="38"/>
          <w:rFonts w:ascii="宋体" w:hAnsi="宋体" w:eastAsia="宋体"/>
          <w:b w:val="0"/>
          <w:color w:val="auto"/>
          <w:sz w:val="28"/>
          <w:szCs w:val="28"/>
          <w:highlight w:val="none"/>
        </w:rPr>
      </w:pPr>
    </w:p>
    <w:p>
      <w:pPr>
        <w:spacing w:line="360" w:lineRule="auto"/>
        <w:ind w:left="180"/>
        <w:jc w:val="center"/>
        <w:rPr>
          <w:rFonts w:hAnsi="宋体"/>
          <w:b/>
          <w:color w:val="auto"/>
          <w:sz w:val="28"/>
          <w:szCs w:val="28"/>
          <w:highlight w:val="none"/>
        </w:rPr>
      </w:pPr>
      <w:r>
        <w:rPr>
          <w:rFonts w:hint="eastAsia" w:hAnsi="宋体"/>
          <w:b/>
          <w:color w:val="auto"/>
          <w:sz w:val="28"/>
          <w:szCs w:val="28"/>
          <w:highlight w:val="none"/>
        </w:rPr>
        <w:t>招标项目设备名称、数量、主要技术要求及其他要求</w:t>
      </w:r>
    </w:p>
    <w:tbl>
      <w:tblPr>
        <w:tblStyle w:val="15"/>
        <w:tblW w:w="5040" w:type="pct"/>
        <w:tblInd w:w="0" w:type="dxa"/>
        <w:tblLayout w:type="fixed"/>
        <w:tblCellMar>
          <w:top w:w="15" w:type="dxa"/>
          <w:left w:w="15" w:type="dxa"/>
          <w:bottom w:w="15" w:type="dxa"/>
          <w:right w:w="15" w:type="dxa"/>
        </w:tblCellMar>
      </w:tblPr>
      <w:tblGrid>
        <w:gridCol w:w="454"/>
        <w:gridCol w:w="2261"/>
        <w:gridCol w:w="1261"/>
        <w:gridCol w:w="1261"/>
        <w:gridCol w:w="1261"/>
        <w:gridCol w:w="721"/>
        <w:gridCol w:w="3100"/>
      </w:tblGrid>
      <w:tr>
        <w:tblPrEx>
          <w:tblCellMar>
            <w:top w:w="15" w:type="dxa"/>
            <w:left w:w="15" w:type="dxa"/>
            <w:bottom w:w="15" w:type="dxa"/>
            <w:right w:w="15" w:type="dxa"/>
          </w:tblCellMar>
        </w:tblPrEx>
        <w:trPr>
          <w:trHeight w:val="721" w:hRule="atLeast"/>
        </w:trPr>
        <w:tc>
          <w:tcPr>
            <w:tcW w:w="2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分包</w:t>
            </w:r>
          </w:p>
        </w:tc>
        <w:tc>
          <w:tcPr>
            <w:tcW w:w="10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仪器设备名称</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型号</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单位</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数量</w:t>
            </w:r>
          </w:p>
        </w:tc>
        <w:tc>
          <w:tcPr>
            <w:tcW w:w="15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主要配置或技术参数</w:t>
            </w:r>
          </w:p>
        </w:tc>
      </w:tr>
      <w:tr>
        <w:tblPrEx>
          <w:tblCellMar>
            <w:top w:w="15" w:type="dxa"/>
            <w:left w:w="15" w:type="dxa"/>
            <w:bottom w:w="15" w:type="dxa"/>
            <w:right w:w="15" w:type="dxa"/>
          </w:tblCellMar>
        </w:tblPrEx>
        <w:trPr>
          <w:trHeight w:val="669" w:hRule="atLeast"/>
        </w:trPr>
        <w:tc>
          <w:tcPr>
            <w:tcW w:w="2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0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45通道脑机信号采集系统</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rPr>
            </w:pP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c>
          <w:tcPr>
            <w:tcW w:w="3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5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详见表后内容</w:t>
            </w:r>
          </w:p>
        </w:tc>
      </w:tr>
    </w:tbl>
    <w:p>
      <w:pPr>
        <w:rPr>
          <w:rFonts w:ascii="宋体" w:hAnsi="宋体" w:cs="宋体"/>
          <w:b/>
          <w:color w:val="auto"/>
          <w:kern w:val="0"/>
          <w:sz w:val="24"/>
          <w:highlight w:val="none"/>
        </w:rPr>
      </w:pPr>
      <w:r>
        <w:rPr>
          <w:rFonts w:hint="eastAsia"/>
          <w:b/>
          <w:color w:val="auto"/>
          <w:highlight w:val="none"/>
        </w:rPr>
        <w:t>以上所有设备要求免费质保期至少</w:t>
      </w:r>
      <w:r>
        <w:rPr>
          <w:rFonts w:hint="eastAsia" w:ascii="宋体" w:hAnsi="宋体"/>
          <w:color w:val="auto"/>
          <w:sz w:val="28"/>
          <w:szCs w:val="28"/>
          <w:highlight w:val="none"/>
        </w:rPr>
        <w:t>1</w:t>
      </w:r>
      <w:r>
        <w:rPr>
          <w:rFonts w:hint="eastAsia"/>
          <w:b/>
          <w:color w:val="auto"/>
          <w:highlight w:val="none"/>
        </w:rPr>
        <w:t>年。</w:t>
      </w:r>
    </w:p>
    <w:p>
      <w:pPr>
        <w:rPr>
          <w:b/>
          <w:color w:val="auto"/>
          <w:highlight w:val="none"/>
        </w:rPr>
      </w:pPr>
      <w:r>
        <w:rPr>
          <w:rFonts w:hint="eastAsia" w:ascii="宋体" w:hAnsi="宋体" w:cs="宋体"/>
          <w:b/>
          <w:color w:val="auto"/>
          <w:kern w:val="0"/>
          <w:sz w:val="24"/>
          <w:highlight w:val="none"/>
        </w:rPr>
        <w:t>主要配置或技术参数</w:t>
      </w:r>
      <w:r>
        <w:rPr>
          <w:rFonts w:hint="eastAsia"/>
          <w:b/>
          <w:color w:val="auto"/>
          <w:highlight w:val="none"/>
        </w:rPr>
        <w:t>：（标注“</w:t>
      </w:r>
      <w:r>
        <w:rPr>
          <w:rFonts w:hint="eastAsia" w:ascii="宋体" w:hAnsi="宋体" w:cs="宋体"/>
          <w:color w:val="auto"/>
          <w:kern w:val="0"/>
          <w:sz w:val="20"/>
          <w:szCs w:val="20"/>
          <w:highlight w:val="none"/>
        </w:rPr>
        <w:t>★</w:t>
      </w:r>
      <w:r>
        <w:rPr>
          <w:rFonts w:hint="eastAsia"/>
          <w:b/>
          <w:color w:val="auto"/>
          <w:highlight w:val="none"/>
        </w:rPr>
        <w:t>”指标为必须满足项，不满足按</w:t>
      </w:r>
      <w:r>
        <w:rPr>
          <w:rFonts w:hint="eastAsia"/>
          <w:b/>
          <w:color w:val="auto"/>
          <w:highlight w:val="none"/>
          <w:lang w:val="en-US" w:eastAsia="zh-CN"/>
        </w:rPr>
        <w:t>无效</w:t>
      </w:r>
      <w:r>
        <w:rPr>
          <w:rFonts w:hint="eastAsia"/>
          <w:b/>
          <w:color w:val="auto"/>
          <w:highlight w:val="none"/>
        </w:rPr>
        <w:t>标处理。）</w:t>
      </w:r>
    </w:p>
    <w:p>
      <w:pPr>
        <w:autoSpaceDE w:val="0"/>
        <w:autoSpaceDN w:val="0"/>
        <w:adjustRightInd w:val="0"/>
        <w:spacing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1、硬件参数：</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1.1、具有ABR、EEG、ERP、ECOG、SPIKE（提供高阻转换器）等采集分析功能；</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★1.2、单体放大器：≥45通道（脑电≥32通道，双极导联≥10通道，额外导联≥3通道）；</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1.3、最大升级容量：512导；</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★1.4、采样率:≥4,000 Hz/导；</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1.5、带宽:0～1000 Hz；</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1.6、A/D 转换分辨率: 24Bit；</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1.7、共模抑制比:≥100dB，输入噪声:≤2uV RMS；</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1.8、灵敏度:DC模式不大于18nV/bit ，放大器具有DC采集方式；</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1.9、输入范围（AC Mode） :+/- 900uV；</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1.10、系统增益（AC Mode）:≥2000；</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1.11、放大器网线供电，可使用路由器将多台放大器同步；</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1.12、操作系统：WIN7或者WIN8；</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★1.13、数据同步盒参数：同时支持至少2个并口/串口设备同步；可通过USB端口向并口/串口设备发送信号；可通过无线方式向并口/串口设备发送信号。</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★1.14、设备安全认证要求:须提供FDA、CE、CFDA等，以及脑电生理软件著作权与追踪定位系统著作权；</w:t>
      </w:r>
    </w:p>
    <w:p>
      <w:pPr>
        <w:autoSpaceDE w:val="0"/>
        <w:autoSpaceDN w:val="0"/>
        <w:adjustRightInd w:val="0"/>
        <w:spacing w:line="360" w:lineRule="exact"/>
        <w:jc w:val="left"/>
        <w:rPr>
          <w:rFonts w:ascii="宋体" w:hAnsi="宋体" w:cs="宋体"/>
          <w:color w:val="auto"/>
          <w:kern w:val="0"/>
          <w:szCs w:val="21"/>
          <w:highlight w:val="none"/>
        </w:rPr>
      </w:pPr>
      <w:r>
        <w:rPr>
          <w:rFonts w:hint="eastAsia" w:ascii="宋体" w:hAnsi="宋体" w:cs="宋体"/>
          <w:b/>
          <w:bCs/>
          <w:color w:val="auto"/>
          <w:kern w:val="0"/>
          <w:szCs w:val="21"/>
          <w:highlight w:val="none"/>
        </w:rPr>
        <w:t>2、数据采集参数：</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2.1、连续或分段采集；</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2.2、放大器、刺激生成系统、脑电采集（包括输入阻抗测试）等均由系统自动校准；</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2.3、在数据采集过程中所有事件均自动检测并记录，反应代码和刺激代码可以有效分离；</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2.4、软件自动校准，使刺激与记录严格同步；</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2.5、可进行单极记录和双极记录脑电，参考电极可根据实验要求任意选择相关位置； </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2.6、具有多人同步采集功能，不需要借助第三方软件，在同一个软件可实现不小于8人同步数据采集功能；</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2.7、可以在线进行脑电阻抗检测及数据分析；滤波（从傅氏变换到小波变换）、数据重组；脑电频谱分析及时域特征分析、叠加平均；PCA/ICA成分分析；在线数据转接到Matlab；</w:t>
      </w:r>
    </w:p>
    <w:p>
      <w:pPr>
        <w:widowControl/>
        <w:spacing w:line="360" w:lineRule="exact"/>
        <w:rPr>
          <w:rFonts w:ascii="宋体" w:hAnsi="宋体" w:cs="宋体"/>
          <w:b/>
          <w:color w:val="auto"/>
          <w:szCs w:val="21"/>
          <w:highlight w:val="none"/>
        </w:rPr>
      </w:pPr>
      <w:r>
        <w:rPr>
          <w:rFonts w:hint="eastAsia" w:ascii="宋体" w:hAnsi="宋体" w:cs="宋体"/>
          <w:b/>
          <w:color w:val="auto"/>
          <w:szCs w:val="21"/>
          <w:highlight w:val="none"/>
        </w:rPr>
        <w:t>3、电极帽参数：</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3.1、电极帽采用导电膏与盐水两种方式采集信号，标准的银/氯化银(Ag/AgC1)电极可将DC偏移最小化；</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3.2、所有电极都很清楚地标记在帽子上，不是在放大器的接口上，使电极的定位快速简便；</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3.3、导电膏电极帽为导电膏介质，确保头皮输入阻抗不大于10KOhms；</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3.4、盐水电极帽采用橡胶网状布局，电极为海绵电极，可重复使用。佩戴方便，5分钟内戴好；</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★3.5、盐水电极帽为生理盐水介质，确保头皮输入阻抗不大于20KOhms。可满足儿童以及快速实验要求等被试，供应商需提供如截图等证明。</w:t>
      </w:r>
    </w:p>
    <w:p>
      <w:pPr>
        <w:widowControl/>
        <w:spacing w:line="360" w:lineRule="exact"/>
        <w:rPr>
          <w:rFonts w:ascii="宋体" w:hAnsi="宋体" w:cs="宋体"/>
          <w:b/>
          <w:color w:val="auto"/>
          <w:szCs w:val="21"/>
          <w:highlight w:val="none"/>
        </w:rPr>
      </w:pPr>
      <w:r>
        <w:rPr>
          <w:rFonts w:hint="eastAsia" w:ascii="宋体" w:hAnsi="宋体" w:cs="宋体"/>
          <w:b/>
          <w:color w:val="auto"/>
          <w:szCs w:val="21"/>
          <w:highlight w:val="none"/>
        </w:rPr>
        <w:t>4、配置清单：</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4.1、放大器                            1套；</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4.2、采集软件                          1套；</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4.3、刺激软件                          1套；</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4.4、32导电极帽（导电膏/生理盐水）     2顶；</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4.5、导电膏                            6桶；</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4.6、磨砂膏                            3支；</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4.7、替换电极                          10根</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4.8、电极帽附件                        1套；</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4.9、被试专用显示器                    1台；</w:t>
      </w:r>
    </w:p>
    <w:p>
      <w:pPr>
        <w:autoSpaceDE w:val="0"/>
        <w:autoSpaceDN w:val="0"/>
        <w:adjustRightInd w:val="0"/>
        <w:spacing w:line="360" w:lineRule="exact"/>
        <w:ind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4.10、分屏切换器                       1套。</w:t>
      </w:r>
    </w:p>
    <w:p>
      <w:pPr>
        <w:widowControl/>
        <w:jc w:val="left"/>
        <w:rPr>
          <w:rFonts w:ascii="宋体" w:hAnsi="宋体" w:cs="宋体"/>
          <w:b/>
          <w:bCs/>
          <w:color w:val="auto"/>
          <w:sz w:val="28"/>
          <w:szCs w:val="28"/>
          <w:highlight w:val="none"/>
        </w:rPr>
      </w:pPr>
      <w:r>
        <w:rPr>
          <w:rFonts w:ascii="宋体" w:hAnsi="宋体" w:cs="宋体"/>
          <w:b/>
          <w:bCs/>
          <w:color w:val="auto"/>
          <w:sz w:val="28"/>
          <w:szCs w:val="28"/>
          <w:highlight w:val="none"/>
        </w:rPr>
        <w:t>注：报价时必须注明或说明品牌中具体投标品牌，否则投标无效。</w:t>
      </w:r>
    </w:p>
    <w:p>
      <w:pPr>
        <w:widowControl/>
        <w:jc w:val="left"/>
        <w:rPr>
          <w:rFonts w:ascii="宋体" w:cs="仿宋"/>
          <w:b/>
          <w:bCs/>
          <w:color w:val="auto"/>
          <w:sz w:val="28"/>
          <w:szCs w:val="28"/>
          <w:highlight w:val="none"/>
        </w:rPr>
      </w:pPr>
      <w:r>
        <w:rPr>
          <w:rFonts w:ascii="宋体" w:hAnsi="宋体" w:eastAsia="宋体" w:cs="宋体"/>
          <w:b/>
          <w:bCs/>
          <w:color w:val="auto"/>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r>
        <w:rPr>
          <w:rFonts w:ascii="宋体" w:hAnsi="宋体" w:cs="宋体"/>
          <w:b/>
          <w:bCs/>
          <w:color w:val="auto"/>
          <w:sz w:val="28"/>
          <w:szCs w:val="28"/>
          <w:highlight w:val="none"/>
        </w:rPr>
        <w:br w:type="textWrapping"/>
      </w:r>
    </w:p>
    <w:p>
      <w:pPr>
        <w:widowControl/>
        <w:jc w:val="left"/>
        <w:rPr>
          <w:rFonts w:hAnsi="宋体"/>
          <w:b/>
          <w:color w:val="auto"/>
          <w:sz w:val="28"/>
          <w:szCs w:val="28"/>
          <w:highlight w:val="none"/>
        </w:rPr>
      </w:pPr>
      <w:r>
        <w:rPr>
          <w:rFonts w:hAnsi="宋体"/>
          <w:b/>
          <w:color w:val="auto"/>
          <w:sz w:val="28"/>
          <w:szCs w:val="28"/>
          <w:highlight w:val="none"/>
        </w:rPr>
        <w:br w:type="page"/>
      </w: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品牌</w:t>
            </w:r>
          </w:p>
          <w:p>
            <w:pPr>
              <w:spacing w:line="360" w:lineRule="auto"/>
              <w:jc w:val="center"/>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型号</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1065" w:type="dxa"/>
            <w:vAlign w:val="center"/>
          </w:tcPr>
          <w:p>
            <w:pPr>
              <w:spacing w:line="360" w:lineRule="auto"/>
              <w:rPr>
                <w:rFonts w:hint="eastAsia" w:ascii="宋体" w:hAnsi="宋体"/>
                <w:color w:val="auto"/>
                <w:sz w:val="28"/>
                <w:szCs w:val="28"/>
                <w:highlight w:val="none"/>
              </w:rPr>
            </w:pP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10"/>
    <w:bookmarkEnd w:id="11"/>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1、本项目供货期：合同签订后90个日历</w:t>
      </w:r>
      <w:r>
        <w:rPr>
          <w:rFonts w:hint="eastAsia" w:ascii="宋体" w:hAnsi="宋体"/>
          <w:bCs/>
          <w:color w:val="auto"/>
          <w:sz w:val="24"/>
          <w:highlight w:val="none"/>
          <w:lang w:val="en-US" w:eastAsia="zh-CN"/>
        </w:rPr>
        <w:t>天</w:t>
      </w:r>
      <w:r>
        <w:rPr>
          <w:rFonts w:hint="eastAsia" w:ascii="宋体" w:hAnsi="宋体"/>
          <w:bCs/>
          <w:color w:val="auto"/>
          <w:sz w:val="24"/>
          <w:highlight w:val="none"/>
        </w:rPr>
        <w:t>日内。</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中标商到货后提供</w:t>
      </w:r>
      <w:r>
        <w:rPr>
          <w:rFonts w:hint="eastAsia" w:ascii="宋体" w:hAnsi="宋体"/>
          <w:bCs/>
          <w:color w:val="auto"/>
          <w:sz w:val="24"/>
          <w:highlight w:val="none"/>
        </w:rPr>
        <w:t>质保期一年</w:t>
      </w:r>
      <w:r>
        <w:rPr>
          <w:rFonts w:hint="eastAsia" w:ascii="宋体" w:hAnsi="宋体"/>
          <w:bCs/>
          <w:color w:val="auto"/>
          <w:sz w:val="24"/>
          <w:highlight w:val="none"/>
          <w:lang w:val="en-US" w:eastAsia="zh-CN"/>
        </w:rPr>
        <w:t>以上服务</w:t>
      </w:r>
      <w:r>
        <w:rPr>
          <w:rFonts w:hint="eastAsia" w:ascii="宋体" w:hAnsi="宋体"/>
          <w:bCs/>
          <w:color w:val="auto"/>
          <w:sz w:val="24"/>
          <w:highlight w:val="none"/>
        </w:rPr>
        <w:t>，同系列软件终身免费升级；</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3、供应商确保所提供货物的技术资料完整统一且内容准确，所提供货物技术参数要真实有效，须和制造厂家官方网站公布参数要严格一致，如有差异，以官方网站为准，提供官网技术参数截图，不提供视为不响应；</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4、招投标流程中，凡有争议者签订合同前要带样机进行检测，一切费用由供应商承担；</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5、硬件出现故障要求厂家24小时响应，48小时内到达，如返厂维修，须提供样机；</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6、仪器使用问题需要2小时内响应，可通过电话、邮件等、如果不能解决，48小时内到达用户指定地点进行指导；</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7、一周仪器操作使用培训，用户指定地点培训，不限制人数，可根据需要延长培训时间</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培训费由中标商承担</w:t>
      </w:r>
      <w:r>
        <w:rPr>
          <w:rFonts w:hint="eastAsia" w:ascii="宋体" w:hAnsi="宋体"/>
          <w:bCs/>
          <w:color w:val="auto"/>
          <w:sz w:val="24"/>
          <w:highlight w:val="none"/>
        </w:rPr>
        <w:t>；</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8、使用一段时间后，可根据用户需要再次到用户指定地点在进行培训；</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9、为保证产品质量，需提供生产厂商或中国区总代理商出具的授权书。</w:t>
      </w:r>
    </w:p>
    <w:p>
      <w:pPr>
        <w:widowControl/>
        <w:jc w:val="left"/>
        <w:rPr>
          <w:rFonts w:ascii="宋体" w:hAnsi="宋体" w:cs="仿宋"/>
          <w:b/>
          <w:bCs/>
          <w:color w:val="auto"/>
          <w:sz w:val="28"/>
          <w:szCs w:val="28"/>
          <w:highlight w:val="none"/>
        </w:rPr>
      </w:pPr>
      <w:r>
        <w:rPr>
          <w:rFonts w:ascii="宋体" w:hAnsi="宋体" w:cs="仿宋"/>
          <w:b/>
          <w:bCs/>
          <w:color w:val="auto"/>
          <w:sz w:val="28"/>
          <w:szCs w:val="28"/>
          <w:highlight w:val="none"/>
        </w:rPr>
        <w:br w:type="page"/>
      </w: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260"/>
        <w:gridCol w:w="640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adjustRightInd w:val="0"/>
              <w:snapToGrid w:val="0"/>
              <w:spacing w:line="360" w:lineRule="auto"/>
              <w:jc w:val="center"/>
              <w:rPr>
                <w:rFonts w:ascii="宋体" w:hAnsi="宋体"/>
                <w:b/>
                <w:color w:val="auto"/>
                <w:kern w:val="0"/>
                <w:sz w:val="24"/>
                <w:szCs w:val="28"/>
                <w:highlight w:val="none"/>
              </w:rPr>
            </w:pPr>
            <w:r>
              <w:rPr>
                <w:rFonts w:ascii="宋体" w:hAnsi="宋体"/>
                <w:b/>
                <w:color w:val="auto"/>
                <w:kern w:val="0"/>
                <w:sz w:val="24"/>
                <w:szCs w:val="28"/>
                <w:highlight w:val="none"/>
              </w:rPr>
              <w:t>序号</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auto"/>
              <w:jc w:val="center"/>
              <w:rPr>
                <w:rFonts w:ascii="宋体" w:hAnsi="宋体"/>
                <w:b/>
                <w:color w:val="auto"/>
                <w:kern w:val="0"/>
                <w:sz w:val="24"/>
                <w:szCs w:val="28"/>
                <w:highlight w:val="none"/>
              </w:rPr>
            </w:pPr>
            <w:r>
              <w:rPr>
                <w:rFonts w:hint="eastAsia" w:ascii="宋体" w:hAnsi="宋体"/>
                <w:b/>
                <w:color w:val="auto"/>
                <w:kern w:val="0"/>
                <w:sz w:val="24"/>
                <w:szCs w:val="28"/>
                <w:highlight w:val="none"/>
              </w:rPr>
              <w:t>评分因素</w:t>
            </w:r>
          </w:p>
        </w:tc>
        <w:tc>
          <w:tcPr>
            <w:tcW w:w="64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auto"/>
              <w:jc w:val="center"/>
              <w:rPr>
                <w:rFonts w:ascii="宋体" w:hAnsi="宋体"/>
                <w:b/>
                <w:color w:val="auto"/>
                <w:kern w:val="0"/>
                <w:sz w:val="24"/>
                <w:szCs w:val="28"/>
                <w:highlight w:val="none"/>
              </w:rPr>
            </w:pPr>
            <w:r>
              <w:rPr>
                <w:rFonts w:ascii="宋体" w:hAnsi="宋体"/>
                <w:b/>
                <w:color w:val="auto"/>
                <w:kern w:val="0"/>
                <w:sz w:val="24"/>
                <w:szCs w:val="28"/>
                <w:highlight w:val="none"/>
              </w:rPr>
              <w:t>评分</w:t>
            </w:r>
            <w:r>
              <w:rPr>
                <w:rFonts w:hint="eastAsia" w:ascii="宋体" w:hAnsi="宋体"/>
                <w:b/>
                <w:color w:val="auto"/>
                <w:kern w:val="0"/>
                <w:sz w:val="24"/>
                <w:szCs w:val="28"/>
                <w:highlight w:val="none"/>
              </w:rPr>
              <w:t>内容</w:t>
            </w:r>
          </w:p>
        </w:tc>
        <w:tc>
          <w:tcPr>
            <w:tcW w:w="1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auto"/>
                <w:kern w:val="0"/>
                <w:sz w:val="24"/>
                <w:szCs w:val="28"/>
                <w:highlight w:val="none"/>
              </w:rPr>
            </w:pPr>
            <w:r>
              <w:rPr>
                <w:rFonts w:hint="eastAsia" w:ascii="宋体" w:hAnsi="宋体"/>
                <w:b/>
                <w:color w:val="auto"/>
                <w:kern w:val="0"/>
                <w:sz w:val="24"/>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1</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投标报价</w:t>
            </w:r>
          </w:p>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4</w:t>
            </w:r>
            <w:r>
              <w:rPr>
                <w:rFonts w:hint="eastAsia" w:ascii="宋体" w:hAnsi="宋体" w:cs="仿宋"/>
                <w:color w:val="auto"/>
                <w:sz w:val="24"/>
                <w:highlight w:val="none"/>
              </w:rPr>
              <w:t>0分）</w:t>
            </w:r>
          </w:p>
        </w:tc>
        <w:tc>
          <w:tcPr>
            <w:tcW w:w="64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综合评分法中的价格分统一采用低价优先法计算，即满足招标文件要求且投标价格最低的投标报价为评标基准价，其价格分为满分</w:t>
            </w:r>
            <w:r>
              <w:rPr>
                <w:rFonts w:hint="eastAsia" w:ascii="宋体" w:hAnsi="宋体" w:cs="仿宋"/>
                <w:color w:val="auto"/>
                <w:sz w:val="24"/>
                <w:highlight w:val="none"/>
                <w:lang w:val="en-US" w:eastAsia="zh-CN"/>
              </w:rPr>
              <w:t>4</w:t>
            </w:r>
            <w:r>
              <w:rPr>
                <w:rFonts w:ascii="宋体" w:hAnsi="宋体" w:cs="仿宋"/>
                <w:color w:val="auto"/>
                <w:sz w:val="24"/>
                <w:highlight w:val="none"/>
              </w:rPr>
              <w:t>0分。其他投标人的价格分统一按照下列公式计算：投标报价得分=(评标基准价／投标报价)×</w:t>
            </w:r>
            <w:r>
              <w:rPr>
                <w:rFonts w:hint="eastAsia" w:ascii="宋体" w:hAnsi="宋体" w:cs="仿宋"/>
                <w:color w:val="auto"/>
                <w:sz w:val="24"/>
                <w:highlight w:val="none"/>
                <w:lang w:val="en-US" w:eastAsia="zh-CN"/>
              </w:rPr>
              <w:t>4</w:t>
            </w:r>
            <w:r>
              <w:rPr>
                <w:rFonts w:ascii="宋体" w:hAnsi="宋体" w:cs="仿宋"/>
                <w:color w:val="auto"/>
                <w:sz w:val="24"/>
                <w:highlight w:val="none"/>
              </w:rPr>
              <w:t>0</w:t>
            </w:r>
          </w:p>
          <w:p>
            <w:pPr>
              <w:spacing w:line="360" w:lineRule="auto"/>
              <w:ind w:firstLine="480" w:firstLineChars="200"/>
              <w:rPr>
                <w:rFonts w:ascii="宋体" w:hAnsi="宋体" w:cs="仿宋"/>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w:t>
            </w:r>
            <w:r>
              <w:rPr>
                <w:rFonts w:hint="eastAsia" w:ascii="宋体" w:hAnsi="宋体" w:cs="仿宋"/>
                <w:color w:val="auto"/>
                <w:sz w:val="24"/>
                <w:highlight w:val="none"/>
                <w:lang w:val="en-US" w:eastAsia="zh-CN"/>
              </w:rPr>
              <w:t>4</w:t>
            </w:r>
            <w:r>
              <w:rPr>
                <w:rFonts w:hint="eastAsia" w:ascii="宋体" w:hAnsi="宋体" w:cs="仿宋"/>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55"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w:t>
            </w:r>
          </w:p>
        </w:tc>
        <w:tc>
          <w:tcPr>
            <w:tcW w:w="126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技术性能</w:t>
            </w:r>
          </w:p>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0分）</w:t>
            </w:r>
          </w:p>
        </w:tc>
        <w:tc>
          <w:tcPr>
            <w:tcW w:w="6402"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投标人提供的产品技术规格、参数完全响应招标文件技术要求，得</w:t>
            </w:r>
            <w:r>
              <w:rPr>
                <w:rFonts w:hint="eastAsia" w:ascii="宋体" w:hAnsi="宋体" w:cs="仿宋"/>
                <w:color w:val="auto"/>
                <w:sz w:val="24"/>
                <w:highlight w:val="none"/>
                <w:lang w:val="en-US" w:eastAsia="zh-CN"/>
              </w:rPr>
              <w:t>20</w:t>
            </w:r>
            <w:r>
              <w:rPr>
                <w:rFonts w:hint="eastAsia" w:ascii="宋体" w:hAnsi="宋体" w:cs="仿宋"/>
                <w:color w:val="auto"/>
                <w:sz w:val="24"/>
                <w:highlight w:val="none"/>
              </w:rPr>
              <w:t>分。有实质性正偏离</w:t>
            </w:r>
            <w:r>
              <w:rPr>
                <w:rFonts w:hint="eastAsia" w:ascii="宋体" w:hAnsi="宋体" w:cs="宋体"/>
                <w:color w:val="auto"/>
                <w:kern w:val="0"/>
                <w:szCs w:val="21"/>
                <w:highlight w:val="none"/>
              </w:rPr>
              <w:t>★</w:t>
            </w:r>
            <w:r>
              <w:rPr>
                <w:rFonts w:hint="eastAsia" w:ascii="宋体" w:hAnsi="宋体" w:cs="仿宋"/>
                <w:color w:val="auto"/>
                <w:sz w:val="24"/>
                <w:highlight w:val="none"/>
              </w:rPr>
              <w:t>每项酌2分，</w:t>
            </w:r>
            <w:r>
              <w:rPr>
                <w:rFonts w:hint="eastAsia" w:ascii="宋体" w:hAnsi="宋体" w:cs="仿宋"/>
                <w:color w:val="auto"/>
                <w:sz w:val="24"/>
                <w:highlight w:val="none"/>
                <w:lang w:val="en-US" w:eastAsia="zh-CN"/>
              </w:rPr>
              <w:t>其他每项加1分，</w:t>
            </w:r>
            <w:r>
              <w:rPr>
                <w:rFonts w:hint="eastAsia" w:ascii="宋体" w:hAnsi="宋体" w:cs="仿宋"/>
                <w:color w:val="auto"/>
                <w:sz w:val="24"/>
                <w:highlight w:val="none"/>
              </w:rPr>
              <w:t>最多加10分；</w:t>
            </w:r>
            <w:r>
              <w:rPr>
                <w:rFonts w:hint="eastAsia" w:ascii="宋体" w:hAnsi="宋体" w:cs="仿宋"/>
                <w:color w:val="auto"/>
                <w:sz w:val="24"/>
                <w:highlight w:val="none"/>
                <w:lang w:val="en-US" w:eastAsia="zh-CN"/>
              </w:rPr>
              <w:t>本项目不允许负偏离，</w:t>
            </w:r>
            <w:r>
              <w:rPr>
                <w:rFonts w:hint="eastAsia" w:ascii="宋体" w:hAnsi="宋体" w:cs="宋体"/>
                <w:color w:val="auto"/>
                <w:kern w:val="0"/>
                <w:szCs w:val="21"/>
                <w:highlight w:val="none"/>
              </w:rPr>
              <w:t>★</w:t>
            </w:r>
            <w:r>
              <w:rPr>
                <w:rFonts w:hint="eastAsia" w:ascii="宋体" w:hAnsi="宋体" w:cs="仿宋"/>
                <w:color w:val="auto"/>
                <w:sz w:val="24"/>
                <w:highlight w:val="none"/>
              </w:rPr>
              <w:t>号条款为必须满足</w:t>
            </w:r>
            <w:r>
              <w:rPr>
                <w:rFonts w:hint="eastAsia" w:ascii="宋体" w:hAnsi="宋体" w:cs="仿宋"/>
                <w:color w:val="auto"/>
                <w:sz w:val="24"/>
                <w:highlight w:val="none"/>
                <w:lang w:val="en-US" w:eastAsia="zh-CN"/>
              </w:rPr>
              <w:t>项，不满足按无效标处理</w:t>
            </w:r>
            <w:r>
              <w:rPr>
                <w:rFonts w:hint="eastAsia" w:ascii="宋体" w:hAnsi="宋体" w:cs="仿宋"/>
                <w:color w:val="auto"/>
                <w:sz w:val="24"/>
                <w:highlight w:val="none"/>
              </w:rPr>
              <w:t>。</w:t>
            </w:r>
          </w:p>
          <w:p>
            <w:pPr>
              <w:spacing w:line="360" w:lineRule="auto"/>
              <w:ind w:firstLine="480" w:firstLineChars="200"/>
              <w:rPr>
                <w:rFonts w:hint="eastAsia" w:ascii="宋体" w:hAnsi="宋体" w:eastAsia="宋体" w:cs="仿宋"/>
                <w:color w:val="auto"/>
                <w:sz w:val="24"/>
                <w:highlight w:val="none"/>
                <w:lang w:val="en-US" w:eastAsia="zh-CN"/>
              </w:rPr>
            </w:pPr>
            <w:r>
              <w:rPr>
                <w:rFonts w:hint="eastAsia" w:ascii="宋体" w:hAnsi="宋体" w:cs="仿宋"/>
                <w:color w:val="auto"/>
                <w:sz w:val="24"/>
                <w:highlight w:val="none"/>
              </w:rPr>
              <w:t>各投标供应商均应如实填写偏离情况，核心指标与重要指标需提供证明其应标参数的证明材料</w:t>
            </w:r>
            <w:r>
              <w:rPr>
                <w:rFonts w:hint="eastAsia" w:ascii="宋体" w:hAnsi="宋体" w:cs="仿宋"/>
                <w:color w:val="auto"/>
                <w:sz w:val="24"/>
                <w:highlight w:val="none"/>
                <w:lang w:eastAsia="zh-CN"/>
              </w:rPr>
              <w:t>（</w:t>
            </w:r>
            <w:r>
              <w:rPr>
                <w:rFonts w:hint="eastAsia" w:ascii="宋体" w:hAnsi="宋体" w:cs="仿宋"/>
                <w:color w:val="auto"/>
                <w:sz w:val="24"/>
                <w:highlight w:val="none"/>
              </w:rPr>
              <w:t>制造商公开发布的印刷资料（宣传材料、说明书）或检测机构出具的检测报告</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加盖单位公章</w:t>
            </w:r>
            <w:r>
              <w:rPr>
                <w:rFonts w:hint="eastAsia" w:ascii="宋体" w:hAnsi="宋体" w:cs="仿宋"/>
                <w:color w:val="auto"/>
                <w:sz w:val="24"/>
                <w:highlight w:val="none"/>
                <w:lang w:eastAsia="zh-CN"/>
              </w:rPr>
              <w:t>）</w:t>
            </w:r>
          </w:p>
        </w:tc>
        <w:tc>
          <w:tcPr>
            <w:tcW w:w="1173" w:type="dxa"/>
            <w:tcBorders>
              <w:top w:val="single" w:color="auto" w:sz="4" w:space="0"/>
              <w:left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3</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相关业绩</w:t>
            </w:r>
          </w:p>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（8分）</w:t>
            </w:r>
          </w:p>
        </w:tc>
        <w:tc>
          <w:tcPr>
            <w:tcW w:w="64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480" w:firstLineChars="200"/>
              <w:rPr>
                <w:rFonts w:hint="default" w:ascii="宋体" w:hAnsi="宋体" w:eastAsia="宋体" w:cs="仿宋"/>
                <w:color w:val="auto"/>
                <w:sz w:val="24"/>
                <w:highlight w:val="none"/>
                <w:lang w:val="en-US" w:eastAsia="zh-CN"/>
              </w:rPr>
            </w:pPr>
            <w:r>
              <w:rPr>
                <w:rFonts w:hint="eastAsia" w:ascii="宋体" w:hAnsi="宋体" w:cs="仿宋"/>
                <w:color w:val="auto"/>
                <w:sz w:val="24"/>
                <w:highlight w:val="none"/>
              </w:rPr>
              <w:t>投标人2018年至今承担过的类似项目业绩（含中标通知书、合同及验收意见表，三者缺一不可），每提供一份有效的合同（时间以合同签订日期为准）得2分，最多得8分（提供合同复印件，含合同首页、主要建设内容页、合同盖章页）。</w:t>
            </w:r>
          </w:p>
        </w:tc>
        <w:tc>
          <w:tcPr>
            <w:tcW w:w="1173" w:type="dxa"/>
            <w:tcBorders>
              <w:top w:val="single" w:color="auto" w:sz="4" w:space="0"/>
              <w:left w:val="single" w:color="auto" w:sz="4" w:space="0"/>
              <w:bottom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555"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4</w:t>
            </w:r>
          </w:p>
        </w:tc>
        <w:tc>
          <w:tcPr>
            <w:tcW w:w="126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综合商务</w:t>
            </w:r>
          </w:p>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（20分）</w:t>
            </w:r>
          </w:p>
          <w:p>
            <w:pPr>
              <w:spacing w:line="360" w:lineRule="auto"/>
              <w:jc w:val="center"/>
              <w:rPr>
                <w:rFonts w:ascii="宋体" w:hAnsi="宋体" w:cs="仿宋"/>
                <w:color w:val="auto"/>
                <w:sz w:val="24"/>
                <w:highlight w:val="none"/>
              </w:rPr>
            </w:pPr>
          </w:p>
        </w:tc>
        <w:tc>
          <w:tcPr>
            <w:tcW w:w="6402"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仿宋"/>
                <w:color w:val="auto"/>
                <w:sz w:val="24"/>
                <w:highlight w:val="none"/>
              </w:rPr>
            </w:pPr>
            <w:r>
              <w:rPr>
                <w:rFonts w:hint="eastAsia" w:ascii="宋体" w:hAnsi="宋体" w:cs="仿宋"/>
                <w:color w:val="auto"/>
                <w:sz w:val="24"/>
                <w:highlight w:val="none"/>
              </w:rPr>
              <w:t>供货方案详细完整、备件供应充足有保障得5分；</w:t>
            </w:r>
          </w:p>
          <w:p>
            <w:pPr>
              <w:spacing w:line="360" w:lineRule="auto"/>
              <w:rPr>
                <w:rFonts w:ascii="宋体" w:hAnsi="宋体" w:cs="仿宋"/>
                <w:color w:val="auto"/>
                <w:sz w:val="24"/>
                <w:highlight w:val="none"/>
              </w:rPr>
            </w:pPr>
            <w:r>
              <w:rPr>
                <w:rFonts w:hint="eastAsia" w:ascii="宋体" w:hAnsi="宋体" w:cs="仿宋"/>
                <w:color w:val="auto"/>
                <w:sz w:val="24"/>
                <w:highlight w:val="none"/>
              </w:rPr>
              <w:t>供货方案基本完整、备件供应基本充足得3分；</w:t>
            </w:r>
          </w:p>
          <w:p>
            <w:pPr>
              <w:spacing w:line="360" w:lineRule="auto"/>
              <w:rPr>
                <w:rFonts w:ascii="宋体" w:hAnsi="宋体" w:cs="仿宋"/>
                <w:color w:val="auto"/>
                <w:sz w:val="24"/>
                <w:highlight w:val="none"/>
              </w:rPr>
            </w:pPr>
            <w:r>
              <w:rPr>
                <w:rFonts w:hint="eastAsia" w:ascii="宋体" w:hAnsi="宋体" w:cs="仿宋"/>
                <w:color w:val="auto"/>
                <w:sz w:val="24"/>
                <w:highlight w:val="none"/>
              </w:rPr>
              <w:t>供货方案无详细计划、备件供应基本满足要求得1分；</w:t>
            </w:r>
          </w:p>
          <w:p>
            <w:pPr>
              <w:spacing w:line="360" w:lineRule="auto"/>
              <w:rPr>
                <w:rFonts w:ascii="宋体" w:hAnsi="宋体" w:cs="仿宋"/>
                <w:color w:val="auto"/>
                <w:sz w:val="24"/>
                <w:highlight w:val="none"/>
              </w:rPr>
            </w:pPr>
            <w:r>
              <w:rPr>
                <w:rFonts w:hint="eastAsia" w:ascii="宋体" w:hAnsi="宋体" w:cs="仿宋"/>
                <w:color w:val="auto"/>
                <w:sz w:val="24"/>
                <w:highlight w:val="none"/>
              </w:rPr>
              <w:t>供货方案无计划、备件供应能力不能满足要求得0分。</w:t>
            </w:r>
          </w:p>
        </w:tc>
        <w:tc>
          <w:tcPr>
            <w:tcW w:w="1173" w:type="dxa"/>
            <w:tcBorders>
              <w:top w:val="single" w:color="auto" w:sz="4" w:space="0"/>
              <w:left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555" w:type="dxa"/>
            <w:vMerge w:val="continue"/>
            <w:tcBorders>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p>
        </w:tc>
        <w:tc>
          <w:tcPr>
            <w:tcW w:w="1260" w:type="dxa"/>
            <w:vMerge w:val="continue"/>
            <w:tcBorders>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p>
        </w:tc>
        <w:tc>
          <w:tcPr>
            <w:tcW w:w="6402"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仿宋"/>
                <w:color w:val="auto"/>
                <w:sz w:val="24"/>
                <w:highlight w:val="none"/>
              </w:rPr>
            </w:pPr>
            <w:r>
              <w:rPr>
                <w:rFonts w:hint="eastAsia" w:ascii="宋体" w:hAnsi="宋体" w:cs="仿宋"/>
                <w:color w:val="auto"/>
                <w:sz w:val="24"/>
                <w:highlight w:val="none"/>
              </w:rPr>
              <w:t>售后服务措施完善，针对性强，培训方案全面细致得5分；</w:t>
            </w:r>
          </w:p>
          <w:p>
            <w:pPr>
              <w:spacing w:line="360" w:lineRule="auto"/>
              <w:rPr>
                <w:rFonts w:ascii="宋体" w:hAnsi="宋体" w:cs="仿宋"/>
                <w:color w:val="auto"/>
                <w:sz w:val="24"/>
                <w:highlight w:val="none"/>
              </w:rPr>
            </w:pPr>
            <w:r>
              <w:rPr>
                <w:rFonts w:hint="eastAsia" w:ascii="宋体" w:hAnsi="宋体" w:cs="仿宋"/>
                <w:color w:val="auto"/>
                <w:sz w:val="24"/>
                <w:highlight w:val="none"/>
              </w:rPr>
              <w:t>售后服务措施较完善，有一定针对性，培训方案较全面得3分；</w:t>
            </w:r>
          </w:p>
          <w:p>
            <w:pPr>
              <w:spacing w:line="360" w:lineRule="auto"/>
              <w:rPr>
                <w:rFonts w:ascii="宋体" w:hAnsi="宋体" w:cs="仿宋"/>
                <w:color w:val="auto"/>
                <w:sz w:val="24"/>
                <w:highlight w:val="none"/>
              </w:rPr>
            </w:pPr>
            <w:r>
              <w:rPr>
                <w:rFonts w:hint="eastAsia" w:ascii="宋体" w:hAnsi="宋体" w:cs="仿宋"/>
                <w:color w:val="auto"/>
                <w:sz w:val="24"/>
                <w:highlight w:val="none"/>
              </w:rPr>
              <w:t>售后服务措施、培训方案内容有欠缺得1分；</w:t>
            </w:r>
          </w:p>
          <w:p>
            <w:pPr>
              <w:spacing w:line="360" w:lineRule="auto"/>
              <w:rPr>
                <w:rFonts w:ascii="宋体" w:hAnsi="宋体" w:cs="仿宋"/>
                <w:color w:val="auto"/>
                <w:sz w:val="24"/>
                <w:highlight w:val="none"/>
              </w:rPr>
            </w:pPr>
            <w:r>
              <w:rPr>
                <w:rFonts w:hint="eastAsia" w:ascii="宋体" w:hAnsi="宋体" w:cs="仿宋"/>
                <w:color w:val="auto"/>
                <w:sz w:val="24"/>
                <w:highlight w:val="none"/>
              </w:rPr>
              <w:t>无明确的售后服务措施和培训方案得0分。</w:t>
            </w:r>
          </w:p>
        </w:tc>
        <w:tc>
          <w:tcPr>
            <w:tcW w:w="1173" w:type="dxa"/>
            <w:tcBorders>
              <w:left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555" w:type="dxa"/>
            <w:vMerge w:val="continue"/>
            <w:tcBorders>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p>
        </w:tc>
        <w:tc>
          <w:tcPr>
            <w:tcW w:w="1260" w:type="dxa"/>
            <w:vMerge w:val="continue"/>
            <w:tcBorders>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p>
        </w:tc>
        <w:tc>
          <w:tcPr>
            <w:tcW w:w="6402"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仿宋"/>
                <w:color w:val="auto"/>
                <w:sz w:val="24"/>
                <w:highlight w:val="none"/>
              </w:rPr>
            </w:pPr>
            <w:r>
              <w:rPr>
                <w:rFonts w:hint="eastAsia" w:ascii="宋体" w:hAnsi="宋体" w:cs="仿宋"/>
                <w:color w:val="auto"/>
                <w:sz w:val="24"/>
                <w:highlight w:val="none"/>
              </w:rPr>
              <w:t>质保期每增加一年得1分，最高得3分。</w:t>
            </w:r>
          </w:p>
        </w:tc>
        <w:tc>
          <w:tcPr>
            <w:tcW w:w="1173" w:type="dxa"/>
            <w:tcBorders>
              <w:left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555"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p>
        </w:tc>
        <w:tc>
          <w:tcPr>
            <w:tcW w:w="1260"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156" w:beforeLines="50" w:after="156" w:afterLines="50" w:line="360" w:lineRule="auto"/>
              <w:jc w:val="center"/>
              <w:rPr>
                <w:rFonts w:ascii="宋体" w:hAnsi="宋体" w:cs="仿宋"/>
                <w:color w:val="auto"/>
                <w:sz w:val="24"/>
                <w:highlight w:val="none"/>
              </w:rPr>
            </w:pPr>
          </w:p>
        </w:tc>
        <w:tc>
          <w:tcPr>
            <w:tcW w:w="6402" w:type="dxa"/>
            <w:tcBorders>
              <w:top w:val="single" w:color="auto" w:sz="4" w:space="0"/>
              <w:left w:val="single" w:color="auto" w:sz="4" w:space="0"/>
              <w:right w:val="single" w:color="auto" w:sz="4" w:space="0"/>
            </w:tcBorders>
            <w:tcMar>
              <w:top w:w="15" w:type="dxa"/>
              <w:left w:w="15" w:type="dxa"/>
              <w:bottom w:w="0" w:type="dxa"/>
              <w:right w:w="15" w:type="dxa"/>
            </w:tcMar>
          </w:tcPr>
          <w:p>
            <w:pPr>
              <w:spacing w:line="360" w:lineRule="auto"/>
              <w:rPr>
                <w:rFonts w:ascii="宋体" w:hAnsi="宋体" w:cs="仿宋"/>
                <w:color w:val="auto"/>
                <w:sz w:val="24"/>
                <w:highlight w:val="none"/>
              </w:rPr>
            </w:pPr>
            <w:r>
              <w:rPr>
                <w:rFonts w:hint="eastAsia" w:ascii="宋体" w:hAnsi="宋体" w:cs="仿宋"/>
                <w:color w:val="auto"/>
                <w:sz w:val="24"/>
                <w:highlight w:val="none"/>
              </w:rPr>
              <w:t>为保证产品安全性，提供CFDA医疗注册证得3分，提供脑电生理软件著作权得2分，提供追踪定位系统著作权得2分。</w:t>
            </w:r>
          </w:p>
        </w:tc>
        <w:tc>
          <w:tcPr>
            <w:tcW w:w="1173" w:type="dxa"/>
            <w:tcBorders>
              <w:top w:val="single" w:color="auto" w:sz="4" w:space="0"/>
              <w:left w:val="single" w:color="auto" w:sz="4" w:space="0"/>
              <w:right w:val="single" w:color="auto" w:sz="4" w:space="0"/>
            </w:tcBorders>
            <w:vAlign w:val="center"/>
          </w:tcPr>
          <w:p>
            <w:pPr>
              <w:spacing w:line="360" w:lineRule="auto"/>
              <w:ind w:leftChars="-1" w:hanging="2" w:hangingChars="1"/>
              <w:jc w:val="center"/>
              <w:rPr>
                <w:rFonts w:ascii="宋体" w:hAnsi="宋体" w:cs="仿宋"/>
                <w:color w:val="auto"/>
                <w:sz w:val="24"/>
                <w:highlight w:val="none"/>
              </w:rPr>
            </w:pPr>
            <w:r>
              <w:rPr>
                <w:rFonts w:hint="eastAsia" w:ascii="宋体" w:hAnsi="宋体" w:cs="仿宋"/>
                <w:color w:val="auto"/>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5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仿宋"/>
                <w:color w:val="auto"/>
                <w:sz w:val="24"/>
                <w:highlight w:val="none"/>
              </w:rPr>
            </w:pPr>
            <w:r>
              <w:rPr>
                <w:rFonts w:hint="eastAsia" w:ascii="宋体" w:hAnsi="宋体" w:cs="仿宋"/>
                <w:color w:val="auto"/>
                <w:sz w:val="24"/>
                <w:highlight w:val="none"/>
              </w:rPr>
              <w:t>5</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156" w:beforeLines="50" w:after="156" w:afterLines="50" w:line="360" w:lineRule="auto"/>
              <w:jc w:val="center"/>
              <w:rPr>
                <w:rFonts w:ascii="宋体" w:hAnsi="宋体" w:cs="仿宋"/>
                <w:color w:val="auto"/>
                <w:sz w:val="24"/>
                <w:highlight w:val="none"/>
              </w:rPr>
            </w:pPr>
            <w:r>
              <w:rPr>
                <w:rFonts w:hint="eastAsia" w:ascii="宋体" w:hAnsi="宋体" w:cs="仿宋"/>
                <w:color w:val="auto"/>
                <w:sz w:val="24"/>
                <w:highlight w:val="none"/>
              </w:rPr>
              <w:t>投标文件</w:t>
            </w:r>
          </w:p>
          <w:p>
            <w:pPr>
              <w:spacing w:before="156" w:beforeLines="50" w:after="156" w:afterLines="50" w:line="360" w:lineRule="auto"/>
              <w:jc w:val="center"/>
              <w:rPr>
                <w:rFonts w:ascii="宋体" w:hAnsi="宋体" w:cs="仿宋"/>
                <w:color w:val="auto"/>
                <w:sz w:val="24"/>
                <w:highlight w:val="none"/>
              </w:rPr>
            </w:pPr>
            <w:r>
              <w:rPr>
                <w:rFonts w:hint="eastAsia" w:ascii="宋体" w:hAnsi="宋体" w:cs="仿宋"/>
                <w:color w:val="auto"/>
                <w:sz w:val="24"/>
                <w:highlight w:val="none"/>
              </w:rPr>
              <w:t>（2分）</w:t>
            </w:r>
          </w:p>
        </w:tc>
        <w:tc>
          <w:tcPr>
            <w:tcW w:w="6402" w:type="dxa"/>
            <w:tcBorders>
              <w:top w:val="single" w:color="auto" w:sz="4" w:space="0"/>
              <w:left w:val="single" w:color="auto" w:sz="4" w:space="0"/>
              <w:right w:val="single" w:color="auto" w:sz="4" w:space="0"/>
            </w:tcBorders>
            <w:tcMar>
              <w:top w:w="15" w:type="dxa"/>
              <w:left w:w="15" w:type="dxa"/>
              <w:bottom w:w="0" w:type="dxa"/>
              <w:right w:w="15" w:type="dxa"/>
            </w:tcMar>
          </w:tcPr>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文件内容完备，格式规范，封装整齐，满足</w:t>
            </w:r>
            <w:r>
              <w:rPr>
                <w:rFonts w:hint="eastAsia" w:ascii="宋体" w:hAnsi="宋体" w:cs="仿宋"/>
                <w:color w:val="auto"/>
                <w:sz w:val="24"/>
                <w:highlight w:val="none"/>
                <w:lang w:val="en-US" w:eastAsia="zh-CN"/>
              </w:rPr>
              <w:t>招标</w:t>
            </w:r>
            <w:r>
              <w:rPr>
                <w:rFonts w:hint="eastAsia" w:ascii="宋体" w:hAnsi="宋体" w:cs="仿宋"/>
                <w:color w:val="auto"/>
                <w:sz w:val="24"/>
                <w:highlight w:val="none"/>
              </w:rPr>
              <w:t>文件要求得</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分。没有目录或目录与内文不对应扣1分；编排混乱、前后矛盾，评审委员会允许且需要通过询标等程序进行澄清的，扣</w:t>
            </w:r>
            <w:r>
              <w:rPr>
                <w:rFonts w:hint="eastAsia" w:ascii="宋体" w:hAnsi="宋体" w:cs="仿宋"/>
                <w:color w:val="auto"/>
                <w:sz w:val="24"/>
                <w:highlight w:val="none"/>
                <w:lang w:val="en-US" w:eastAsia="zh-CN"/>
              </w:rPr>
              <w:t>0.5</w:t>
            </w:r>
            <w:r>
              <w:rPr>
                <w:rFonts w:hint="eastAsia" w:ascii="宋体" w:hAnsi="宋体" w:cs="仿宋"/>
                <w:color w:val="auto"/>
                <w:sz w:val="24"/>
                <w:highlight w:val="none"/>
              </w:rPr>
              <w:t>分；字迹模糊难辨扣</w:t>
            </w:r>
            <w:r>
              <w:rPr>
                <w:rFonts w:hint="eastAsia" w:ascii="宋体" w:hAnsi="宋体" w:cs="仿宋"/>
                <w:color w:val="auto"/>
                <w:sz w:val="24"/>
                <w:highlight w:val="none"/>
                <w:lang w:val="en-US" w:eastAsia="zh-CN"/>
              </w:rPr>
              <w:t>0.5</w:t>
            </w:r>
            <w:r>
              <w:rPr>
                <w:rFonts w:hint="eastAsia" w:ascii="宋体" w:hAnsi="宋体" w:cs="仿宋"/>
                <w:color w:val="auto"/>
                <w:sz w:val="24"/>
                <w:highlight w:val="none"/>
              </w:rPr>
              <w:t>分。</w:t>
            </w:r>
          </w:p>
        </w:tc>
        <w:tc>
          <w:tcPr>
            <w:tcW w:w="1173" w:type="dxa"/>
            <w:tcBorders>
              <w:top w:val="single" w:color="auto" w:sz="4" w:space="0"/>
              <w:left w:val="single" w:color="auto" w:sz="4" w:space="0"/>
              <w:right w:val="single" w:color="auto" w:sz="4" w:space="0"/>
            </w:tcBorders>
            <w:vAlign w:val="center"/>
          </w:tcPr>
          <w:p>
            <w:pPr>
              <w:spacing w:line="360" w:lineRule="auto"/>
              <w:ind w:leftChars="-1" w:hanging="2" w:hangingChars="1"/>
              <w:jc w:val="center"/>
              <w:rPr>
                <w:rFonts w:hint="eastAsia"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0-2</w:t>
            </w:r>
          </w:p>
        </w:tc>
      </w:tr>
    </w:tbl>
    <w:p>
      <w:pPr>
        <w:rPr>
          <w:b/>
          <w:color w:val="auto"/>
          <w:sz w:val="28"/>
          <w:szCs w:val="28"/>
          <w:highlight w:val="none"/>
        </w:rPr>
      </w:pPr>
      <w:r>
        <w:rPr>
          <w:b/>
          <w:color w:val="auto"/>
          <w:sz w:val="28"/>
          <w:szCs w:val="28"/>
          <w:highlight w:val="none"/>
        </w:rPr>
        <w:br w:type="page"/>
      </w: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8"/>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质保期1年。（自交货验收合格之日起计）</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w:t>
      </w:r>
      <w:r>
        <w:rPr>
          <w:rFonts w:hAnsi="宋体"/>
          <w:color w:val="auto"/>
          <w:sz w:val="24"/>
          <w:szCs w:val="24"/>
          <w:highlight w:val="none"/>
        </w:rPr>
        <w:t>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Ansi="宋体"/>
          <w:color w:val="auto"/>
          <w:sz w:val="24"/>
          <w:szCs w:val="24"/>
          <w:highlight w:val="none"/>
        </w:rPr>
        <w:t>________</w:t>
      </w:r>
      <w:r>
        <w:rPr>
          <w:rFonts w:hint="eastAsia" w:hAnsi="宋体"/>
          <w:color w:val="auto"/>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十九、合同生效及其它</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8"/>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22</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57B4126"/>
    <w:rsid w:val="05B517B2"/>
    <w:rsid w:val="0C4861BD"/>
    <w:rsid w:val="10EB4170"/>
    <w:rsid w:val="10F05838"/>
    <w:rsid w:val="12162C3B"/>
    <w:rsid w:val="130F1D58"/>
    <w:rsid w:val="14896182"/>
    <w:rsid w:val="151B59CC"/>
    <w:rsid w:val="155010AB"/>
    <w:rsid w:val="1584594C"/>
    <w:rsid w:val="1C4A137C"/>
    <w:rsid w:val="1CDA2DD9"/>
    <w:rsid w:val="1E12120F"/>
    <w:rsid w:val="1F956998"/>
    <w:rsid w:val="1FE9745D"/>
    <w:rsid w:val="221A2A37"/>
    <w:rsid w:val="243943F8"/>
    <w:rsid w:val="24E05430"/>
    <w:rsid w:val="27961F1E"/>
    <w:rsid w:val="27AD7C03"/>
    <w:rsid w:val="2A8E656C"/>
    <w:rsid w:val="2CE81BAF"/>
    <w:rsid w:val="2E726843"/>
    <w:rsid w:val="2EC622BA"/>
    <w:rsid w:val="309B1612"/>
    <w:rsid w:val="3122046D"/>
    <w:rsid w:val="3172033E"/>
    <w:rsid w:val="3227588C"/>
    <w:rsid w:val="325F6558"/>
    <w:rsid w:val="351529A9"/>
    <w:rsid w:val="366D672C"/>
    <w:rsid w:val="385D644E"/>
    <w:rsid w:val="38F33167"/>
    <w:rsid w:val="39CE5E1D"/>
    <w:rsid w:val="3C8E6F2D"/>
    <w:rsid w:val="3E641635"/>
    <w:rsid w:val="42643A73"/>
    <w:rsid w:val="42AA1012"/>
    <w:rsid w:val="43FB66E3"/>
    <w:rsid w:val="44DC7F4B"/>
    <w:rsid w:val="45651876"/>
    <w:rsid w:val="46AA377D"/>
    <w:rsid w:val="49A639DA"/>
    <w:rsid w:val="4A497AEA"/>
    <w:rsid w:val="4A4B48E3"/>
    <w:rsid w:val="4B5137BF"/>
    <w:rsid w:val="519E2F1D"/>
    <w:rsid w:val="54B6223B"/>
    <w:rsid w:val="54E15A0F"/>
    <w:rsid w:val="57360F05"/>
    <w:rsid w:val="577D2166"/>
    <w:rsid w:val="5AC859BF"/>
    <w:rsid w:val="5C0F2072"/>
    <w:rsid w:val="5CFC1D50"/>
    <w:rsid w:val="5E6C25B6"/>
    <w:rsid w:val="6233128F"/>
    <w:rsid w:val="62AA7FC4"/>
    <w:rsid w:val="63D7368B"/>
    <w:rsid w:val="69E27B06"/>
    <w:rsid w:val="6AB76CFB"/>
    <w:rsid w:val="6BC1702A"/>
    <w:rsid w:val="6DE86594"/>
    <w:rsid w:val="75BE6EB5"/>
    <w:rsid w:val="7AE40810"/>
    <w:rsid w:val="7B91636E"/>
    <w:rsid w:val="7BBB6C68"/>
    <w:rsid w:val="7C574749"/>
    <w:rsid w:val="7C5C461A"/>
    <w:rsid w:val="7C8E2CF6"/>
    <w:rsid w:val="7CD015B7"/>
    <w:rsid w:val="7E85017C"/>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字符"/>
    <w:link w:val="3"/>
    <w:qFormat/>
    <w:locked/>
    <w:uiPriority w:val="99"/>
    <w:rPr>
      <w:rFonts w:cs="Times New Roman"/>
      <w:b/>
      <w:kern w:val="44"/>
      <w:sz w:val="44"/>
    </w:rPr>
  </w:style>
  <w:style w:type="character" w:customStyle="1" w:styleId="21">
    <w:name w:val="批注文字 字符"/>
    <w:link w:val="4"/>
    <w:qFormat/>
    <w:locked/>
    <w:uiPriority w:val="99"/>
    <w:rPr>
      <w:rFonts w:cs="Times New Roman"/>
      <w:kern w:val="2"/>
      <w:sz w:val="24"/>
    </w:rPr>
  </w:style>
  <w:style w:type="character" w:customStyle="1" w:styleId="22">
    <w:name w:val="正文文本缩进 字符"/>
    <w:link w:val="6"/>
    <w:qFormat/>
    <w:locked/>
    <w:uiPriority w:val="99"/>
    <w:rPr>
      <w:rFonts w:ascii="等线" w:eastAsia="等线" w:cs="Times New Roman"/>
      <w:kern w:val="2"/>
      <w:sz w:val="22"/>
    </w:rPr>
  </w:style>
  <w:style w:type="character" w:customStyle="1" w:styleId="23">
    <w:name w:val="纯文本 字符"/>
    <w:link w:val="8"/>
    <w:qFormat/>
    <w:locked/>
    <w:uiPriority w:val="0"/>
    <w:rPr>
      <w:rFonts w:ascii="宋体" w:hAnsi="Courier New" w:cs="Times New Roman"/>
      <w:kern w:val="2"/>
      <w:sz w:val="21"/>
    </w:rPr>
  </w:style>
  <w:style w:type="character" w:customStyle="1" w:styleId="24">
    <w:name w:val="日期 字符"/>
    <w:link w:val="9"/>
    <w:qFormat/>
    <w:locked/>
    <w:uiPriority w:val="99"/>
    <w:rPr>
      <w:rFonts w:cs="Times New Roman"/>
      <w:kern w:val="2"/>
      <w:sz w:val="24"/>
    </w:rPr>
  </w:style>
  <w:style w:type="character" w:customStyle="1" w:styleId="25">
    <w:name w:val="批注框文本 字符"/>
    <w:link w:val="10"/>
    <w:semiHidden/>
    <w:qFormat/>
    <w:locked/>
    <w:uiPriority w:val="99"/>
    <w:rPr>
      <w:rFonts w:cs="Times New Roman"/>
      <w:sz w:val="2"/>
    </w:rPr>
  </w:style>
  <w:style w:type="character" w:customStyle="1" w:styleId="26">
    <w:name w:val="页脚 字符"/>
    <w:link w:val="11"/>
    <w:semiHidden/>
    <w:qFormat/>
    <w:locked/>
    <w:uiPriority w:val="99"/>
    <w:rPr>
      <w:rFonts w:cs="Times New Roman"/>
      <w:sz w:val="18"/>
      <w:szCs w:val="18"/>
    </w:rPr>
  </w:style>
  <w:style w:type="character" w:customStyle="1" w:styleId="27">
    <w:name w:val="页眉 字符"/>
    <w:link w:val="12"/>
    <w:qFormat/>
    <w:locked/>
    <w:uiPriority w:val="99"/>
    <w:rPr>
      <w:rFonts w:cs="Times New Roman"/>
      <w:kern w:val="2"/>
      <w:sz w:val="18"/>
    </w:rPr>
  </w:style>
  <w:style w:type="character" w:customStyle="1" w:styleId="28">
    <w:name w:val="批注主题 字符"/>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表段落 字符"/>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字符"/>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44240-D74A-45F5-8898-5791E68957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2204</Words>
  <Characters>12567</Characters>
  <Lines>104</Lines>
  <Paragraphs>29</Paragraphs>
  <TotalTime>23</TotalTime>
  <ScaleCrop>false</ScaleCrop>
  <LinksUpToDate>false</LinksUpToDate>
  <CharactersWithSpaces>14742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2020-06-16T06:08:07Z</dcterms:modified>
  <dc:title>淮海工学院A8-10号楼学生宿舍家具招标书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