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sz w:val="44"/>
          <w:szCs w:val="44"/>
          <w:highlight w:val="none"/>
        </w:rPr>
      </w:pPr>
      <w:bookmarkStart w:id="0" w:name="OLE_LINK1"/>
      <w:bookmarkStart w:id="1" w:name="OLE_LINK2"/>
      <w:r>
        <w:rPr>
          <w:b/>
          <w:color w:val="auto"/>
          <w:sz w:val="44"/>
          <w:szCs w:val="44"/>
          <w:highlight w:val="none"/>
        </w:rPr>
        <w:t>南京信息工程大学</w:t>
      </w:r>
      <w:bookmarkEnd w:id="0"/>
      <w:bookmarkEnd w:id="1"/>
      <w:bookmarkStart w:id="2" w:name="_Hlk19539886"/>
      <w:r>
        <w:rPr>
          <w:rFonts w:hint="eastAsia"/>
          <w:b/>
          <w:color w:val="auto"/>
          <w:sz w:val="44"/>
          <w:szCs w:val="44"/>
          <w:highlight w:val="none"/>
        </w:rPr>
        <w:t>WR0.65FM型混频器采购</w:t>
      </w:r>
      <w:bookmarkEnd w:id="2"/>
      <w:r>
        <w:rPr>
          <w:b/>
          <w:color w:val="auto"/>
          <w:sz w:val="44"/>
          <w:szCs w:val="44"/>
          <w:highlight w:val="none"/>
        </w:rPr>
        <w:t>项目招标文件</w:t>
      </w:r>
    </w:p>
    <w:p>
      <w:pPr>
        <w:pStyle w:val="2"/>
        <w:ind w:left="1470" w:right="1470"/>
        <w:rPr>
          <w:color w:val="auto"/>
          <w:highlight w:val="none"/>
        </w:rPr>
      </w:pPr>
    </w:p>
    <w:p>
      <w:pPr>
        <w:adjustRightInd w:val="0"/>
        <w:snapToGrid w:val="0"/>
        <w:spacing w:line="360" w:lineRule="auto"/>
        <w:jc w:val="center"/>
        <w:rPr>
          <w:rFonts w:ascii="宋体" w:hAnsi="宋体" w:cs="仿宋"/>
          <w:color w:val="auto"/>
          <w:sz w:val="28"/>
          <w:szCs w:val="28"/>
          <w:highlight w:val="none"/>
        </w:rPr>
      </w:pPr>
      <w:r>
        <w:rPr>
          <w:rFonts w:hint="eastAsia" w:ascii="宋体" w:hAnsi="宋体" w:cs="仿宋"/>
          <w:color w:val="auto"/>
          <w:sz w:val="28"/>
          <w:szCs w:val="28"/>
          <w:highlight w:val="none"/>
        </w:rPr>
        <w:t>（招标编号：SBC2020039）</w:t>
      </w:r>
    </w:p>
    <w:p>
      <w:pPr>
        <w:adjustRightInd w:val="0"/>
        <w:snapToGrid w:val="0"/>
        <w:spacing w:line="360" w:lineRule="auto"/>
        <w:jc w:val="center"/>
        <w:rPr>
          <w:rFonts w:ascii="宋体" w:cs="仿宋"/>
          <w:color w:val="auto"/>
          <w:sz w:val="28"/>
          <w:szCs w:val="28"/>
          <w:highlight w:val="none"/>
        </w:rPr>
      </w:pPr>
    </w:p>
    <w:p>
      <w:pPr>
        <w:adjustRightInd w:val="0"/>
        <w:snapToGrid w:val="0"/>
        <w:spacing w:line="360" w:lineRule="auto"/>
        <w:jc w:val="center"/>
        <w:rPr>
          <w:rFonts w:ascii="宋体" w:cs="仿宋"/>
          <w:color w:val="auto"/>
          <w:sz w:val="28"/>
          <w:szCs w:val="28"/>
          <w:highlight w:val="none"/>
        </w:rPr>
      </w:pPr>
      <w:r>
        <w:rPr>
          <w:rFonts w:ascii="宋体" w:hAnsi="宋体" w:cs="仿宋"/>
          <w:color w:val="auto"/>
          <w:sz w:val="28"/>
          <w:szCs w:val="28"/>
          <w:highlight w:val="none"/>
        </w:rPr>
        <w:t>(</w:t>
      </w:r>
      <w:r>
        <w:rPr>
          <w:rFonts w:ascii="宋体" w:hAnsi="宋体" w:cs="仿宋"/>
          <w:color w:val="auto"/>
          <w:sz w:val="28"/>
          <w:szCs w:val="28"/>
          <w:highlight w:val="none"/>
          <w:u w:val="single"/>
        </w:rPr>
        <w:t>20</w:t>
      </w:r>
      <w:r>
        <w:rPr>
          <w:rFonts w:hint="eastAsia" w:ascii="宋体" w:hAnsi="宋体" w:cs="仿宋"/>
          <w:color w:val="auto"/>
          <w:sz w:val="28"/>
          <w:szCs w:val="28"/>
          <w:highlight w:val="none"/>
          <w:u w:val="single"/>
        </w:rPr>
        <w:t>20年0</w:t>
      </w:r>
      <w:r>
        <w:rPr>
          <w:rFonts w:hint="eastAsia" w:ascii="宋体" w:hAnsi="宋体" w:cs="仿宋"/>
          <w:color w:val="auto"/>
          <w:sz w:val="28"/>
          <w:szCs w:val="28"/>
          <w:highlight w:val="none"/>
          <w:u w:val="single"/>
          <w:lang w:val="en-US" w:eastAsia="zh-CN"/>
        </w:rPr>
        <w:t>7</w:t>
      </w:r>
      <w:r>
        <w:rPr>
          <w:rFonts w:hint="eastAsia" w:ascii="宋体" w:hAnsi="宋体" w:cs="仿宋"/>
          <w:color w:val="auto"/>
          <w:sz w:val="28"/>
          <w:szCs w:val="28"/>
          <w:highlight w:val="none"/>
          <w:u w:val="single"/>
        </w:rPr>
        <w:t>月</w:t>
      </w:r>
      <w:r>
        <w:rPr>
          <w:rFonts w:hint="eastAsia" w:ascii="宋体" w:hAnsi="宋体" w:cs="仿宋"/>
          <w:color w:val="auto"/>
          <w:sz w:val="28"/>
          <w:szCs w:val="28"/>
          <w:highlight w:val="none"/>
          <w:u w:val="single"/>
          <w:lang w:val="en-US" w:eastAsia="zh-CN"/>
        </w:rPr>
        <w:t>02</w:t>
      </w:r>
      <w:r>
        <w:rPr>
          <w:rFonts w:hint="eastAsia" w:ascii="宋体" w:hAnsi="宋体" w:cs="仿宋"/>
          <w:color w:val="auto"/>
          <w:sz w:val="28"/>
          <w:szCs w:val="28"/>
          <w:highlight w:val="none"/>
          <w:u w:val="single"/>
        </w:rPr>
        <w:t>日17：</w:t>
      </w:r>
      <w:r>
        <w:rPr>
          <w:rFonts w:ascii="宋体" w:cs="仿宋"/>
          <w:color w:val="auto"/>
          <w:sz w:val="28"/>
          <w:szCs w:val="28"/>
          <w:highlight w:val="none"/>
          <w:u w:val="single"/>
        </w:rPr>
        <w:t>00</w:t>
      </w:r>
      <w:r>
        <w:rPr>
          <w:rFonts w:hint="eastAsia" w:ascii="宋体" w:hAnsi="宋体" w:cs="仿宋"/>
          <w:color w:val="auto"/>
          <w:sz w:val="28"/>
          <w:szCs w:val="28"/>
          <w:highlight w:val="none"/>
          <w:u w:val="single"/>
        </w:rPr>
        <w:t>定标发标版</w:t>
      </w:r>
      <w:r>
        <w:rPr>
          <w:rFonts w:ascii="宋体" w:hAnsi="宋体" w:cs="仿宋"/>
          <w:color w:val="auto"/>
          <w:sz w:val="28"/>
          <w:szCs w:val="28"/>
          <w:highlight w:val="none"/>
        </w:rPr>
        <w:t>)</w:t>
      </w:r>
    </w:p>
    <w:p>
      <w:pPr>
        <w:jc w:val="center"/>
        <w:rPr>
          <w:b/>
          <w:color w:val="auto"/>
          <w:sz w:val="28"/>
          <w:szCs w:val="28"/>
          <w:highlight w:val="none"/>
        </w:rPr>
      </w:pP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为满足学校相关</w:t>
      </w:r>
      <w:r>
        <w:rPr>
          <w:rFonts w:hint="eastAsia" w:ascii="宋体" w:hAnsi="宋体"/>
          <w:color w:val="auto"/>
          <w:sz w:val="28"/>
          <w:szCs w:val="28"/>
          <w:highlight w:val="none"/>
        </w:rPr>
        <w:t>教学</w:t>
      </w:r>
      <w:r>
        <w:rPr>
          <w:rFonts w:ascii="宋体" w:hAnsi="宋体"/>
          <w:color w:val="auto"/>
          <w:sz w:val="28"/>
          <w:szCs w:val="28"/>
          <w:highlight w:val="none"/>
        </w:rPr>
        <w:t>科研工作需要，受校实验室与设备管</w:t>
      </w:r>
      <w:r>
        <w:rPr>
          <w:rFonts w:hint="eastAsia" w:ascii="宋体" w:hAnsi="宋体"/>
          <w:color w:val="auto"/>
          <w:sz w:val="28"/>
          <w:szCs w:val="28"/>
          <w:highlight w:val="none"/>
        </w:rPr>
        <w:t>理处委托，就WR0.65FM型混频器采购项目进行公</w:t>
      </w:r>
      <w:r>
        <w:rPr>
          <w:rFonts w:ascii="宋体" w:hAnsi="宋体"/>
          <w:color w:val="auto"/>
          <w:sz w:val="28"/>
          <w:szCs w:val="28"/>
          <w:highlight w:val="none"/>
        </w:rPr>
        <w:t>开招标，欢迎符合条件的供应商报名投标，现将有关情况说明如下：</w:t>
      </w:r>
    </w:p>
    <w:p>
      <w:pPr>
        <w:spacing w:line="360" w:lineRule="auto"/>
        <w:ind w:firstLine="480" w:firstLineChars="200"/>
        <w:rPr>
          <w:color w:val="auto"/>
          <w:sz w:val="24"/>
          <w:highlight w:val="none"/>
        </w:rPr>
      </w:pPr>
    </w:p>
    <w:p>
      <w:pPr>
        <w:pStyle w:val="32"/>
        <w:spacing w:line="360" w:lineRule="auto"/>
        <w:ind w:firstLine="0" w:firstLineChars="0"/>
        <w:jc w:val="center"/>
        <w:rPr>
          <w:rFonts w:ascii="宋体" w:hAnsi="宋体" w:cs="仿宋"/>
          <w:b/>
          <w:bCs/>
          <w:color w:val="auto"/>
          <w:kern w:val="2"/>
          <w:sz w:val="28"/>
          <w:szCs w:val="28"/>
          <w:highlight w:val="none"/>
        </w:rPr>
      </w:pPr>
      <w:r>
        <w:rPr>
          <w:rFonts w:hint="eastAsia" w:ascii="宋体" w:hAnsi="宋体" w:cs="仿宋"/>
          <w:b/>
          <w:bCs/>
          <w:color w:val="auto"/>
          <w:kern w:val="2"/>
          <w:sz w:val="28"/>
          <w:szCs w:val="28"/>
          <w:highlight w:val="none"/>
        </w:rPr>
        <w:t>一、招标项目名称及简要说明</w:t>
      </w:r>
    </w:p>
    <w:p>
      <w:pPr>
        <w:pStyle w:val="32"/>
        <w:spacing w:line="360" w:lineRule="auto"/>
        <w:ind w:firstLine="560"/>
        <w:rPr>
          <w:rFonts w:ascii="宋体" w:hAnsi="宋体"/>
          <w:color w:val="auto"/>
          <w:kern w:val="2"/>
          <w:sz w:val="28"/>
          <w:szCs w:val="28"/>
          <w:highlight w:val="none"/>
        </w:rPr>
      </w:pPr>
      <w:r>
        <w:rPr>
          <w:rFonts w:ascii="宋体" w:hAnsi="宋体"/>
          <w:color w:val="auto"/>
          <w:kern w:val="2"/>
          <w:sz w:val="28"/>
          <w:szCs w:val="28"/>
          <w:highlight w:val="none"/>
        </w:rPr>
        <w:t>1. 项目名称：南京信息工程大学</w:t>
      </w:r>
      <w:r>
        <w:rPr>
          <w:rFonts w:hint="eastAsia" w:ascii="宋体" w:hAnsi="宋体"/>
          <w:color w:val="auto"/>
          <w:kern w:val="2"/>
          <w:sz w:val="28"/>
          <w:szCs w:val="28"/>
          <w:highlight w:val="none"/>
        </w:rPr>
        <w:t>WR0.65FM型混频器采购</w:t>
      </w:r>
      <w:r>
        <w:rPr>
          <w:rFonts w:hint="eastAsia" w:ascii="宋体" w:hAnsi="宋体" w:cs="仿宋"/>
          <w:color w:val="auto"/>
          <w:sz w:val="28"/>
          <w:szCs w:val="28"/>
          <w:highlight w:val="none"/>
        </w:rPr>
        <w:t>项目</w:t>
      </w:r>
      <w:r>
        <w:rPr>
          <w:rFonts w:ascii="宋体" w:hAnsi="宋体"/>
          <w:color w:val="auto"/>
          <w:kern w:val="2"/>
          <w:sz w:val="28"/>
          <w:szCs w:val="28"/>
          <w:highlight w:val="none"/>
        </w:rPr>
        <w:t>。</w:t>
      </w:r>
    </w:p>
    <w:p>
      <w:pPr>
        <w:spacing w:line="360" w:lineRule="auto"/>
        <w:ind w:firstLine="560" w:firstLineChars="20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s="仿宋"/>
          <w:color w:val="auto"/>
          <w:sz w:val="28"/>
          <w:szCs w:val="28"/>
          <w:highlight w:val="none"/>
        </w:rPr>
        <w:t>项目说明：</w:t>
      </w:r>
      <w:r>
        <w:rPr>
          <w:rFonts w:hint="eastAsia" w:ascii="宋体" w:hAnsi="宋体"/>
          <w:color w:val="auto"/>
          <w:sz w:val="28"/>
          <w:szCs w:val="28"/>
          <w:highlight w:val="none"/>
        </w:rPr>
        <w:t>南京信息工程大学校内，本次招标</w:t>
      </w:r>
      <w:r>
        <w:rPr>
          <w:rFonts w:hint="eastAsia" w:ascii="宋体" w:hAnsi="宋体" w:cs="仿宋"/>
          <w:color w:val="auto"/>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color w:val="auto"/>
          <w:sz w:val="28"/>
          <w:szCs w:val="28"/>
          <w:highlight w:val="none"/>
        </w:rPr>
      </w:pPr>
      <w:r>
        <w:rPr>
          <w:rFonts w:ascii="宋体" w:hAnsi="宋体"/>
          <w:color w:val="auto"/>
          <w:sz w:val="28"/>
          <w:szCs w:val="28"/>
          <w:highlight w:val="none"/>
        </w:rPr>
        <w:t>3</w:t>
      </w:r>
      <w:bookmarkStart w:id="3" w:name="_Hlk9865971"/>
      <w:r>
        <w:rPr>
          <w:rFonts w:hint="eastAsia" w:ascii="宋体" w:hAnsi="宋体"/>
          <w:color w:val="auto"/>
          <w:sz w:val="28"/>
          <w:szCs w:val="28"/>
          <w:highlight w:val="none"/>
        </w:rPr>
        <w:t>.本次招标采取公开招标方式，不承诺最低价（最高价）中标。招标公告和中标公示信息均在</w:t>
      </w:r>
      <w:r>
        <w:rPr>
          <w:color w:val="auto"/>
          <w:highlight w:val="none"/>
        </w:rPr>
        <w:fldChar w:fldCharType="begin"/>
      </w:r>
      <w:r>
        <w:rPr>
          <w:color w:val="auto"/>
          <w:highlight w:val="none"/>
        </w:rPr>
        <w:instrText xml:space="preserve"> HYPERLINK "https://bulletin.nuist.edu.cn/779/list.htm" </w:instrText>
      </w:r>
      <w:r>
        <w:rPr>
          <w:color w:val="auto"/>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color w:val="auto"/>
          <w:sz w:val="28"/>
          <w:szCs w:val="28"/>
          <w:highlight w:val="none"/>
        </w:rPr>
        <w:t>和</w:t>
      </w:r>
      <w:r>
        <w:rPr>
          <w:color w:val="auto"/>
          <w:highlight w:val="none"/>
        </w:rPr>
        <w:fldChar w:fldCharType="begin"/>
      </w:r>
      <w:r>
        <w:rPr>
          <w:color w:val="auto"/>
          <w:highlight w:val="none"/>
        </w:rPr>
        <w:instrText xml:space="preserve"> HYPERLINK "http://zbc.nuist.edu.cn" </w:instrText>
      </w:r>
      <w:r>
        <w:rPr>
          <w:color w:val="auto"/>
          <w:highlight w:val="none"/>
        </w:rPr>
        <w:fldChar w:fldCharType="separate"/>
      </w:r>
      <w:r>
        <w:rPr>
          <w:rFonts w:ascii="宋体" w:hAnsi="宋体"/>
          <w:b/>
          <w:color w:val="auto"/>
          <w:sz w:val="24"/>
          <w:szCs w:val="28"/>
          <w:highlight w:val="none"/>
        </w:rPr>
        <w:t>zbc.nuist.edu.cn</w:t>
      </w:r>
      <w:r>
        <w:rPr>
          <w:rFonts w:ascii="宋体" w:hAnsi="宋体"/>
          <w:b/>
          <w:color w:val="auto"/>
          <w:sz w:val="24"/>
          <w:szCs w:val="28"/>
          <w:highlight w:val="none"/>
        </w:rPr>
        <w:fldChar w:fldCharType="end"/>
      </w:r>
      <w:r>
        <w:rPr>
          <w:rFonts w:hint="eastAsia" w:ascii="宋体" w:hAnsi="宋体"/>
          <w:color w:val="auto"/>
          <w:sz w:val="28"/>
          <w:szCs w:val="28"/>
          <w:highlight w:val="none"/>
        </w:rPr>
        <w:t>网页上公开发布</w:t>
      </w:r>
      <w:r>
        <w:rPr>
          <w:rFonts w:ascii="宋体"/>
          <w:color w:val="auto"/>
          <w:sz w:val="28"/>
          <w:szCs w:val="28"/>
          <w:highlight w:val="none"/>
        </w:rPr>
        <w:t>,</w:t>
      </w:r>
      <w:r>
        <w:rPr>
          <w:rFonts w:hint="eastAsia" w:ascii="宋体" w:hAnsi="宋体"/>
          <w:color w:val="auto"/>
          <w:sz w:val="28"/>
          <w:szCs w:val="28"/>
          <w:highlight w:val="none"/>
        </w:rPr>
        <w:t>接受监督。欢迎社会招标机构和网站转载，转载信息与我校网站信息不一致时，以我校网站为准。</w:t>
      </w:r>
    </w:p>
    <w:bookmarkEnd w:id="3"/>
    <w:p>
      <w:pPr>
        <w:spacing w:line="360" w:lineRule="auto"/>
        <w:ind w:firstLine="570"/>
        <w:jc w:val="left"/>
        <w:rPr>
          <w:rFonts w:ascii="宋体" w:cs="宋体"/>
          <w:color w:val="auto"/>
          <w:sz w:val="28"/>
          <w:szCs w:val="28"/>
          <w:highlight w:val="none"/>
        </w:rPr>
      </w:pPr>
      <w:r>
        <w:rPr>
          <w:rFonts w:ascii="宋体" w:hAnsi="宋体"/>
          <w:color w:val="auto"/>
          <w:sz w:val="28"/>
          <w:szCs w:val="28"/>
          <w:highlight w:val="none"/>
        </w:rPr>
        <w:t>4</w:t>
      </w:r>
      <w:bookmarkStart w:id="4" w:name="_Hlk9866054"/>
      <w:r>
        <w:rPr>
          <w:rFonts w:hint="eastAsia" w:ascii="宋体" w:hAnsi="宋体"/>
          <w:color w:val="auto"/>
          <w:sz w:val="28"/>
          <w:szCs w:val="28"/>
          <w:highlight w:val="none"/>
        </w:rPr>
        <w:t>.招标文件由我校采购人、项目归口管理部门和财务处联合起草；经学校相关职能部门会审通过形成正式招标文件。同时</w:t>
      </w:r>
      <w:r>
        <w:rPr>
          <w:rFonts w:hint="eastAsia" w:ascii="宋体" w:hAnsi="宋体" w:cs="宋体"/>
          <w:color w:val="auto"/>
          <w:sz w:val="28"/>
          <w:szCs w:val="28"/>
          <w:highlight w:val="none"/>
        </w:rPr>
        <w:t>打印</w:t>
      </w:r>
      <w:r>
        <w:rPr>
          <w:rFonts w:ascii="宋体" w:hAnsi="宋体" w:cs="宋体"/>
          <w:color w:val="auto"/>
          <w:sz w:val="28"/>
          <w:szCs w:val="28"/>
          <w:highlight w:val="none"/>
        </w:rPr>
        <w:t>3</w:t>
      </w:r>
      <w:r>
        <w:rPr>
          <w:rFonts w:hint="eastAsia" w:ascii="宋体" w:hAnsi="宋体" w:cs="宋体"/>
          <w:color w:val="auto"/>
          <w:sz w:val="28"/>
          <w:szCs w:val="28"/>
          <w:highlight w:val="none"/>
        </w:rPr>
        <w:t>份纸质的正式招标文件，由财务处负责人和招标科工作人员同时签字并加盖财务处骑缝章后，分别交财务处、项目归口管理部门（或采购人）、审计处各</w:t>
      </w:r>
      <w:r>
        <w:rPr>
          <w:rFonts w:ascii="宋体" w:hAnsi="宋体" w:cs="宋体"/>
          <w:color w:val="auto"/>
          <w:sz w:val="28"/>
          <w:szCs w:val="28"/>
          <w:highlight w:val="none"/>
        </w:rPr>
        <w:t>1</w:t>
      </w:r>
      <w:r>
        <w:rPr>
          <w:rFonts w:hint="eastAsia" w:ascii="宋体" w:hAnsi="宋体" w:cs="宋体"/>
          <w:color w:val="auto"/>
          <w:sz w:val="28"/>
          <w:szCs w:val="28"/>
          <w:highlight w:val="none"/>
        </w:rPr>
        <w:t>份，作为相关部门存档、合同签订、项目竣工验收和决（结）算审计，以及处理纠纷等的依据。</w:t>
      </w:r>
    </w:p>
    <w:bookmarkEnd w:id="4"/>
    <w:p>
      <w:pPr>
        <w:spacing w:line="360" w:lineRule="auto"/>
        <w:ind w:firstLine="570"/>
        <w:jc w:val="left"/>
        <w:rPr>
          <w:rFonts w:ascii="宋体" w:hAnsi="宋体"/>
          <w:color w:val="auto"/>
          <w:sz w:val="28"/>
          <w:szCs w:val="28"/>
          <w:highlight w:val="none"/>
        </w:rPr>
      </w:pPr>
      <w:r>
        <w:rPr>
          <w:rFonts w:ascii="宋体" w:hAnsi="宋体"/>
          <w:color w:val="auto"/>
          <w:sz w:val="28"/>
          <w:szCs w:val="28"/>
          <w:highlight w:val="none"/>
        </w:rPr>
        <w:t>5.</w:t>
      </w:r>
      <w:r>
        <w:rPr>
          <w:rFonts w:hint="eastAsia" w:ascii="宋体" w:hAnsi="宋体"/>
          <w:color w:val="auto"/>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Lines="100" w:afterLines="100" w:line="360" w:lineRule="auto"/>
        <w:jc w:val="center"/>
        <w:rPr>
          <w:rFonts w:ascii="宋体" w:cs="仿宋"/>
          <w:b/>
          <w:bCs/>
          <w:color w:val="auto"/>
          <w:sz w:val="28"/>
          <w:szCs w:val="28"/>
          <w:highlight w:val="none"/>
        </w:rPr>
      </w:pPr>
      <w:r>
        <w:rPr>
          <w:rFonts w:hint="eastAsia" w:ascii="宋体" w:hAnsi="宋体" w:cs="仿宋"/>
          <w:b/>
          <w:bCs/>
          <w:color w:val="auto"/>
          <w:sz w:val="28"/>
          <w:szCs w:val="28"/>
          <w:highlight w:val="none"/>
        </w:rPr>
        <w:t>二、对投标人及投标报价的要求</w:t>
      </w:r>
    </w:p>
    <w:p>
      <w:pPr>
        <w:snapToGrid w:val="0"/>
        <w:spacing w:line="360" w:lineRule="auto"/>
        <w:ind w:firstLine="540" w:firstLineChars="192"/>
        <w:rPr>
          <w:rFonts w:ascii="宋体" w:hAnsi="宋体"/>
          <w:b/>
          <w:color w:val="auto"/>
          <w:kern w:val="0"/>
          <w:sz w:val="28"/>
          <w:szCs w:val="28"/>
          <w:highlight w:val="none"/>
        </w:rPr>
      </w:pPr>
      <w:r>
        <w:rPr>
          <w:rFonts w:hint="eastAsia" w:ascii="宋体" w:hAnsi="宋体"/>
          <w:b/>
          <w:color w:val="auto"/>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color w:val="auto"/>
          <w:kern w:val="0"/>
          <w:sz w:val="28"/>
          <w:szCs w:val="28"/>
          <w:highlight w:val="none"/>
        </w:rPr>
      </w:pPr>
      <w:r>
        <w:rPr>
          <w:rFonts w:hint="eastAsia" w:ascii="宋体" w:hAnsi="宋体" w:cs="Arial"/>
          <w:color w:val="auto"/>
          <w:sz w:val="28"/>
          <w:szCs w:val="28"/>
          <w:highlight w:val="none"/>
        </w:rPr>
        <w:t>（一）参加政府采购的供应商应当具备政府采购法</w:t>
      </w:r>
      <w:r>
        <w:rPr>
          <w:rFonts w:ascii="宋体" w:hAnsi="宋体" w:cs="Arial"/>
          <w:color w:val="auto"/>
          <w:sz w:val="28"/>
          <w:szCs w:val="28"/>
          <w:highlight w:val="none"/>
        </w:rPr>
        <w:t>第二十二条</w:t>
      </w:r>
      <w:r>
        <w:rPr>
          <w:rFonts w:hint="eastAsia" w:ascii="宋体" w:hAnsi="宋体" w:cs="Arial"/>
          <w:color w:val="auto"/>
          <w:sz w:val="28"/>
          <w:szCs w:val="28"/>
          <w:highlight w:val="none"/>
        </w:rPr>
        <w:t>第一款</w:t>
      </w:r>
      <w:r>
        <w:rPr>
          <w:rFonts w:ascii="宋体" w:hAnsi="宋体" w:cs="Arial"/>
          <w:color w:val="auto"/>
          <w:sz w:val="28"/>
          <w:szCs w:val="28"/>
          <w:highlight w:val="none"/>
        </w:rPr>
        <w:t>规定</w:t>
      </w:r>
      <w:r>
        <w:rPr>
          <w:rFonts w:hint="eastAsia" w:ascii="宋体" w:hAnsi="宋体" w:cs="Arial"/>
          <w:color w:val="auto"/>
          <w:sz w:val="28"/>
          <w:szCs w:val="28"/>
          <w:highlight w:val="none"/>
        </w:rPr>
        <w:t>的条件，并依照政府采购法实施条例第十七条规定提供下列材料：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Arial"/>
          <w:color w:val="auto"/>
          <w:sz w:val="28"/>
          <w:szCs w:val="28"/>
          <w:highlight w:val="none"/>
        </w:rPr>
        <w:t>1.具有独立承担民事责任的能力</w:t>
      </w:r>
      <w:r>
        <w:rPr>
          <w:rFonts w:hint="eastAsia" w:ascii="宋体" w:hAnsi="宋体"/>
          <w:color w:val="auto"/>
          <w:sz w:val="28"/>
          <w:szCs w:val="28"/>
          <w:highlight w:val="none"/>
        </w:rPr>
        <w:t>：须为独立法人企业，需提供企业法人营业执照；</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2.具有良好的商业信誉和健全的财务会计制度</w:t>
      </w:r>
      <w:r>
        <w:rPr>
          <w:rFonts w:hint="eastAsia" w:ascii="宋体" w:hAnsi="宋体"/>
          <w:color w:val="auto"/>
          <w:sz w:val="28"/>
          <w:szCs w:val="28"/>
          <w:highlight w:val="none"/>
        </w:rPr>
        <w:t>：需提供参加本次投标活动前近六个月内（20</w:t>
      </w:r>
      <w:r>
        <w:rPr>
          <w:rFonts w:hint="eastAsia" w:ascii="宋体" w:hAnsi="宋体"/>
          <w:color w:val="auto"/>
          <w:sz w:val="28"/>
          <w:szCs w:val="28"/>
          <w:highlight w:val="none"/>
          <w:lang w:val="en-US" w:eastAsia="zh-CN"/>
        </w:rPr>
        <w:t>20</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01</w:t>
      </w:r>
      <w:r>
        <w:rPr>
          <w:rFonts w:hint="eastAsia" w:ascii="宋体" w:hAnsi="宋体"/>
          <w:color w:val="auto"/>
          <w:sz w:val="28"/>
          <w:szCs w:val="28"/>
          <w:highlight w:val="none"/>
        </w:rPr>
        <w:t>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4.有依法缴纳税收和社会保障资金的良好记录</w:t>
      </w:r>
      <w:r>
        <w:rPr>
          <w:rFonts w:hint="eastAsia" w:ascii="宋体" w:hAnsi="宋体"/>
          <w:color w:val="auto"/>
          <w:sz w:val="28"/>
          <w:szCs w:val="28"/>
          <w:highlight w:val="none"/>
        </w:rPr>
        <w:t>：提供参加本次投标活动前近六个月内（20</w:t>
      </w:r>
      <w:r>
        <w:rPr>
          <w:rFonts w:hint="eastAsia" w:ascii="宋体" w:hAnsi="宋体"/>
          <w:color w:val="auto"/>
          <w:sz w:val="28"/>
          <w:szCs w:val="28"/>
          <w:highlight w:val="none"/>
          <w:lang w:val="en-US" w:eastAsia="zh-CN"/>
        </w:rPr>
        <w:t>20</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01</w:t>
      </w:r>
      <w:r>
        <w:rPr>
          <w:rFonts w:hint="eastAsia" w:ascii="宋体" w:hAnsi="宋体"/>
          <w:color w:val="auto"/>
          <w:sz w:val="28"/>
          <w:szCs w:val="28"/>
          <w:highlight w:val="none"/>
        </w:rPr>
        <w:t>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color w:val="auto"/>
          <w:sz w:val="28"/>
          <w:szCs w:val="28"/>
          <w:highlight w:val="none"/>
        </w:rPr>
      </w:pPr>
      <w:r>
        <w:rPr>
          <w:rFonts w:hint="eastAsia" w:ascii="宋体" w:hAnsi="宋体" w:cs="宋体"/>
          <w:color w:val="auto"/>
          <w:kern w:val="0"/>
          <w:sz w:val="28"/>
          <w:szCs w:val="28"/>
          <w:highlight w:val="none"/>
        </w:rPr>
        <w:t>5.参加政府采购活动前三年内，在经营活动中没有违法记录</w:t>
      </w:r>
      <w:r>
        <w:rPr>
          <w:rFonts w:hint="eastAsia" w:ascii="宋体" w:hAnsi="宋体"/>
          <w:color w:val="auto"/>
          <w:sz w:val="28"/>
          <w:szCs w:val="28"/>
          <w:highlight w:val="none"/>
        </w:rPr>
        <w:t>：需提供参加本次投标活动前3年内在经营活动中没有重大违法记录的书面声明；</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6.法律、行政法规规定的其他条件：无。</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（二）投标人不得存在下列情形之一</w:t>
      </w:r>
      <w:r>
        <w:rPr>
          <w:rFonts w:hint="eastAsia" w:ascii="宋体" w:hAnsi="宋体"/>
          <w:color w:val="auto"/>
          <w:sz w:val="28"/>
          <w:szCs w:val="28"/>
          <w:highlight w:val="none"/>
        </w:rPr>
        <w:t>（</w:t>
      </w:r>
      <w:r>
        <w:rPr>
          <w:rFonts w:hint="eastAsia" w:ascii="宋体" w:hAnsi="宋体"/>
          <w:b/>
          <w:color w:val="auto"/>
          <w:sz w:val="28"/>
          <w:szCs w:val="28"/>
          <w:highlight w:val="none"/>
        </w:rPr>
        <w:t>提供加盖投标人公章的承诺书）</w:t>
      </w:r>
      <w:r>
        <w:rPr>
          <w:rFonts w:hint="eastAsia" w:ascii="宋体" w:hAnsi="宋体" w:cs="宋体"/>
          <w:color w:val="auto"/>
          <w:kern w:val="0"/>
          <w:sz w:val="28"/>
          <w:szCs w:val="28"/>
          <w:highlight w:val="none"/>
        </w:rPr>
        <w:t>：</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（1）为招标人不具有独立法人资格的附属机构（单位）；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（2）与招标人存在利害关系可能影响招标公正性的；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（3）单位负责人为同一人或者存在控股、管理关系的不同单位；</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（三）</w:t>
      </w:r>
      <w:r>
        <w:rPr>
          <w:rFonts w:hint="eastAsia" w:ascii="宋体" w:hAnsi="宋体" w:cs="宋体"/>
          <w:bCs/>
          <w:color w:val="auto"/>
          <w:kern w:val="0"/>
          <w:sz w:val="28"/>
          <w:szCs w:val="28"/>
          <w:highlight w:val="non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color w:val="auto"/>
          <w:kern w:val="0"/>
          <w:sz w:val="28"/>
          <w:szCs w:val="28"/>
          <w:highlight w:val="none"/>
        </w:rPr>
      </w:pPr>
      <w:r>
        <w:rPr>
          <w:rFonts w:hint="eastAsia" w:ascii="宋体" w:hAnsi="宋体" w:cs="宋体"/>
          <w:color w:val="auto"/>
          <w:sz w:val="28"/>
          <w:szCs w:val="28"/>
          <w:highlight w:val="none"/>
        </w:rPr>
        <w:t>供应商被“信用中国”网站（www.creditchina.gov.cn）、“中国政府采购网”(www.ccgp.gov.cn)列入失信被执行人、重大税收违法案件当事人名单、政府采购严重违法失信行为记录名单</w:t>
      </w:r>
      <w:r>
        <w:rPr>
          <w:rFonts w:hint="eastAsia" w:ascii="宋体" w:hAnsi="宋体" w:cs="宋体"/>
          <w:b/>
          <w:color w:val="auto"/>
          <w:sz w:val="28"/>
          <w:szCs w:val="28"/>
          <w:highlight w:val="none"/>
        </w:rPr>
        <w:t>（提供本项目报名截止日后的网站截图并加盖单位公章）</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二、本项目采用资格后审法，唱标后，进行资格审定。</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三、投标人应按附件</w:t>
      </w:r>
      <w:r>
        <w:rPr>
          <w:rFonts w:ascii="宋体" w:hAnsi="宋体" w:cs="宋体"/>
          <w:color w:val="auto"/>
          <w:sz w:val="28"/>
          <w:szCs w:val="28"/>
          <w:highlight w:val="none"/>
        </w:rPr>
        <w:t>2</w:t>
      </w:r>
      <w:r>
        <w:rPr>
          <w:rFonts w:hint="eastAsia" w:ascii="宋体" w:hAnsi="宋体" w:cs="宋体"/>
          <w:color w:val="auto"/>
          <w:sz w:val="28"/>
          <w:szCs w:val="28"/>
          <w:highlight w:val="none"/>
        </w:rPr>
        <w:t>、附件</w:t>
      </w:r>
      <w:r>
        <w:rPr>
          <w:rFonts w:ascii="宋体" w:hAnsi="宋体" w:cs="宋体"/>
          <w:color w:val="auto"/>
          <w:sz w:val="28"/>
          <w:szCs w:val="28"/>
          <w:highlight w:val="none"/>
        </w:rPr>
        <w:t>3</w:t>
      </w:r>
      <w:r>
        <w:rPr>
          <w:rFonts w:hint="eastAsia" w:ascii="宋体" w:hAnsi="宋体" w:cs="宋体"/>
          <w:color w:val="auto"/>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4个月内完成设备运输（含上、下力）、安装调试等，所有费用由供方承担，安装调试完毕后需方用户负责试用并签收。</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六、本项目预算价为55.00万元，本项目只接受人民币报价。</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Lines="100" w:afterLines="100" w:line="360" w:lineRule="auto"/>
        <w:ind w:firstLine="548" w:firstLineChars="196"/>
        <w:jc w:val="center"/>
        <w:rPr>
          <w:rFonts w:ascii="黑体" w:hAnsi="黑体" w:eastAsia="黑体" w:cs="宋体"/>
          <w:color w:val="auto"/>
          <w:sz w:val="28"/>
          <w:szCs w:val="28"/>
          <w:highlight w:val="none"/>
        </w:rPr>
      </w:pPr>
      <w:bookmarkStart w:id="5" w:name="_Hlk9866140"/>
      <w:r>
        <w:rPr>
          <w:rFonts w:hint="eastAsia" w:ascii="黑体" w:hAnsi="黑体" w:eastAsia="黑体" w:cs="宋体"/>
          <w:color w:val="auto"/>
          <w:sz w:val="28"/>
          <w:szCs w:val="28"/>
          <w:highlight w:val="none"/>
        </w:rPr>
        <w:t>三、对投标文件的要求</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为便于唱标和减少浪费，请将</w:t>
      </w:r>
      <w:r>
        <w:rPr>
          <w:rFonts w:ascii="宋体" w:hAnsi="宋体" w:cs="宋体"/>
          <w:color w:val="auto"/>
          <w:sz w:val="28"/>
          <w:szCs w:val="28"/>
          <w:highlight w:val="none"/>
        </w:rPr>
        <w:t>1</w:t>
      </w:r>
      <w:r>
        <w:rPr>
          <w:rFonts w:hint="eastAsia" w:ascii="宋体" w:hAnsi="宋体" w:cs="宋体"/>
          <w:color w:val="auto"/>
          <w:sz w:val="28"/>
          <w:szCs w:val="28"/>
          <w:highlight w:val="none"/>
        </w:rPr>
        <w:t>份正本单独封装，另外</w:t>
      </w:r>
      <w:r>
        <w:rPr>
          <w:rFonts w:ascii="宋体" w:hAnsi="宋体" w:cs="宋体"/>
          <w:color w:val="auto"/>
          <w:sz w:val="28"/>
          <w:szCs w:val="28"/>
          <w:highlight w:val="none"/>
        </w:rPr>
        <w:t>4</w:t>
      </w:r>
      <w:r>
        <w:rPr>
          <w:rFonts w:hint="eastAsia" w:ascii="宋体" w:hAnsi="宋体" w:cs="宋体"/>
          <w:color w:val="auto"/>
          <w:sz w:val="28"/>
          <w:szCs w:val="28"/>
          <w:highlight w:val="none"/>
        </w:rPr>
        <w:t>份副本可叠加封装在一个大的档案袋中（</w:t>
      </w:r>
      <w:r>
        <w:rPr>
          <w:rFonts w:ascii="宋体" w:hAnsi="宋体" w:cs="宋体"/>
          <w:color w:val="auto"/>
          <w:sz w:val="28"/>
          <w:szCs w:val="28"/>
          <w:highlight w:val="none"/>
        </w:rPr>
        <w:t>4</w:t>
      </w:r>
      <w:r>
        <w:rPr>
          <w:rFonts w:hint="eastAsia" w:ascii="宋体" w:hAnsi="宋体" w:cs="宋体"/>
          <w:color w:val="auto"/>
          <w:sz w:val="28"/>
          <w:szCs w:val="28"/>
          <w:highlight w:val="none"/>
        </w:rPr>
        <w:t>份副本无需分别封装在</w:t>
      </w:r>
      <w:r>
        <w:rPr>
          <w:rFonts w:ascii="宋体" w:hAnsi="宋体" w:cs="宋体"/>
          <w:color w:val="auto"/>
          <w:sz w:val="28"/>
          <w:szCs w:val="28"/>
          <w:highlight w:val="none"/>
        </w:rPr>
        <w:t>4</w:t>
      </w:r>
      <w:r>
        <w:rPr>
          <w:rFonts w:hint="eastAsia" w:ascii="宋体" w:hAnsi="宋体" w:cs="宋体"/>
          <w:color w:val="auto"/>
          <w:sz w:val="28"/>
          <w:szCs w:val="28"/>
          <w:highlight w:val="none"/>
        </w:rPr>
        <w:t>个档案袋中，一个大档案袋封装不下的除外）。每家投标人在送交投标文件时，只需交</w:t>
      </w:r>
      <w:r>
        <w:rPr>
          <w:rFonts w:ascii="宋体" w:hAnsi="宋体" w:cs="宋体"/>
          <w:color w:val="auto"/>
          <w:sz w:val="28"/>
          <w:szCs w:val="28"/>
          <w:highlight w:val="none"/>
        </w:rPr>
        <w:t>2</w:t>
      </w:r>
      <w:r>
        <w:rPr>
          <w:rFonts w:hint="eastAsia" w:ascii="宋体" w:hAnsi="宋体" w:cs="宋体"/>
          <w:color w:val="auto"/>
          <w:sz w:val="28"/>
          <w:szCs w:val="28"/>
          <w:highlight w:val="none"/>
        </w:rPr>
        <w:t>个档案袋即可，即</w:t>
      </w:r>
      <w:r>
        <w:rPr>
          <w:rFonts w:ascii="宋体" w:hAnsi="宋体" w:cs="宋体"/>
          <w:color w:val="auto"/>
          <w:sz w:val="28"/>
          <w:szCs w:val="28"/>
          <w:highlight w:val="none"/>
        </w:rPr>
        <w:t>1</w:t>
      </w:r>
      <w:r>
        <w:rPr>
          <w:rFonts w:hint="eastAsia" w:ascii="宋体" w:hAnsi="宋体" w:cs="宋体"/>
          <w:color w:val="auto"/>
          <w:sz w:val="28"/>
          <w:szCs w:val="28"/>
          <w:highlight w:val="none"/>
        </w:rPr>
        <w:t>个正本档案袋，</w:t>
      </w:r>
      <w:r>
        <w:rPr>
          <w:rFonts w:ascii="宋体" w:hAnsi="宋体" w:cs="宋体"/>
          <w:color w:val="auto"/>
          <w:sz w:val="28"/>
          <w:szCs w:val="28"/>
          <w:highlight w:val="none"/>
        </w:rPr>
        <w:t>1</w:t>
      </w:r>
      <w:r>
        <w:rPr>
          <w:rFonts w:hint="eastAsia" w:ascii="宋体" w:hAnsi="宋体" w:cs="宋体"/>
          <w:color w:val="auto"/>
          <w:sz w:val="28"/>
          <w:szCs w:val="28"/>
          <w:highlight w:val="none"/>
        </w:rPr>
        <w:t>个大的副本档案袋。</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投标文件应包含以下内容（所有材料必须加盖投标单位公章）：</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）经投标单位法人或委托代理人代表签字并加盖单位公章的投标函（附件</w:t>
      </w:r>
      <w:r>
        <w:rPr>
          <w:rFonts w:ascii="宋体" w:hAnsi="宋体" w:cs="宋体"/>
          <w:color w:val="auto"/>
          <w:sz w:val="28"/>
          <w:szCs w:val="28"/>
          <w:highlight w:val="none"/>
        </w:rPr>
        <w:t>2</w:t>
      </w:r>
      <w:r>
        <w:rPr>
          <w:rFonts w:hint="eastAsia" w:ascii="宋体" w:hAnsi="宋体" w:cs="宋体"/>
          <w:color w:val="auto"/>
          <w:sz w:val="28"/>
          <w:szCs w:val="28"/>
          <w:highlight w:val="none"/>
        </w:rPr>
        <w:t>格式，为便于唱标，此函件请务必放置在投标文件内页的第一页）；</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）投标价格明细表（附件</w:t>
      </w:r>
      <w:r>
        <w:rPr>
          <w:rFonts w:ascii="宋体" w:hAnsi="宋体" w:cs="宋体"/>
          <w:color w:val="auto"/>
          <w:sz w:val="28"/>
          <w:szCs w:val="28"/>
          <w:highlight w:val="none"/>
        </w:rPr>
        <w:t>3</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）授权委托书、被委托人身份证复印件；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）产品（或服务，下同）技术性能参数的详细描述一览表（投标文件在对投标标的物进行技术和商务描述时，必须完全按照招标文件附件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中的章节顺序依次逐条响应，不得颠倒顺序，不得有漏项，不得原封不动地引用招标文件附件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）产品技术和商务指标偏差表；</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）产品服务方案；</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9</w:t>
      </w:r>
      <w:r>
        <w:rPr>
          <w:rFonts w:hint="eastAsia" w:ascii="宋体" w:hAnsi="宋体" w:cs="宋体"/>
          <w:color w:val="auto"/>
          <w:sz w:val="28"/>
          <w:szCs w:val="28"/>
          <w:highlight w:val="none"/>
        </w:rPr>
        <w:t>）产品销售授权书或代理证书（如系代理公司的）；</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10)</w:t>
      </w:r>
      <w:r>
        <w:rPr>
          <w:rFonts w:hint="eastAsia" w:ascii="宋体" w:hAnsi="宋体" w:cs="宋体"/>
          <w:color w:val="auto"/>
          <w:sz w:val="28"/>
          <w:szCs w:val="28"/>
          <w:highlight w:val="none"/>
        </w:rPr>
        <w:t xml:space="preserve"> 产品质量、工期、安全、管理及售后服务承诺书；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11</w:t>
      </w:r>
      <w:r>
        <w:rPr>
          <w:rFonts w:hint="eastAsia" w:ascii="宋体" w:hAnsi="宋体" w:cs="宋体"/>
          <w:color w:val="auto"/>
          <w:sz w:val="28"/>
          <w:szCs w:val="28"/>
          <w:highlight w:val="none"/>
        </w:rPr>
        <w:t>）产品质量检测报告、质保、认证等证书；</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12</w:t>
      </w:r>
      <w:r>
        <w:rPr>
          <w:rFonts w:hint="eastAsia" w:ascii="宋体" w:hAnsi="宋体" w:cs="宋体"/>
          <w:color w:val="auto"/>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13</w:t>
      </w:r>
      <w:r>
        <w:rPr>
          <w:rFonts w:hint="eastAsia" w:ascii="宋体" w:hAnsi="宋体" w:cs="宋体"/>
          <w:color w:val="auto"/>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14</w:t>
      </w:r>
      <w:r>
        <w:rPr>
          <w:rFonts w:hint="eastAsia" w:ascii="宋体" w:hAnsi="宋体" w:cs="宋体"/>
          <w:color w:val="auto"/>
          <w:sz w:val="28"/>
          <w:szCs w:val="28"/>
          <w:highlight w:val="none"/>
        </w:rPr>
        <w:t>）招标文件规定或投标人对照评标办法的得分因素以及附件</w:t>
      </w:r>
      <w:r>
        <w:rPr>
          <w:rFonts w:ascii="宋体" w:hAnsi="宋体" w:cs="宋体"/>
          <w:color w:val="auto"/>
          <w:sz w:val="28"/>
          <w:szCs w:val="28"/>
          <w:highlight w:val="none"/>
        </w:rPr>
        <w:t>1</w:t>
      </w:r>
      <w:r>
        <w:rPr>
          <w:rFonts w:hint="eastAsia" w:ascii="宋体" w:hAnsi="宋体" w:cs="宋体"/>
          <w:color w:val="auto"/>
          <w:sz w:val="28"/>
          <w:szCs w:val="28"/>
          <w:highlight w:val="none"/>
        </w:rPr>
        <w:t>相关要求认为应提交的其他资料和文件。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15</w:t>
      </w:r>
      <w:r>
        <w:rPr>
          <w:rFonts w:hint="eastAsia" w:ascii="宋体" w:hAnsi="宋体" w:cs="宋体"/>
          <w:color w:val="auto"/>
          <w:sz w:val="28"/>
          <w:szCs w:val="28"/>
          <w:highlight w:val="none"/>
        </w:rPr>
        <w:t>）</w:t>
      </w:r>
      <w:r>
        <w:rPr>
          <w:rFonts w:hint="eastAsia"/>
          <w:color w:val="auto"/>
          <w:sz w:val="28"/>
          <w:szCs w:val="28"/>
          <w:highlight w:val="none"/>
        </w:rPr>
        <w:t>投标人必须投本标书所有标段的设备，不允许分标段投标；标书中服务器标段必须满足所有参数要求，其余标段标</w:t>
      </w:r>
      <w:r>
        <w:rPr>
          <w:rFonts w:hint="eastAsia" w:ascii="宋体" w:hAnsi="宋体" w:cs="Arial"/>
          <w:color w:val="auto"/>
          <w:kern w:val="0"/>
          <w:sz w:val="18"/>
          <w:szCs w:val="18"/>
          <w:highlight w:val="none"/>
        </w:rPr>
        <w:t>★</w:t>
      </w:r>
      <w:r>
        <w:rPr>
          <w:rFonts w:hint="eastAsia"/>
          <w:color w:val="auto"/>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投标人在投标文件中应承诺对如下内容已完全理解，如不承诺，视为认可：</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）在参与我校相关项目的招投标活动中，遵纪守法，诚信经营，公平竞争；</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）不采取不正当手段诋毁、排挤其他投标人；</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5</w:t>
      </w:r>
      <w:r>
        <w:rPr>
          <w:rFonts w:hint="eastAsia" w:ascii="宋体" w:hAnsi="宋体" w:cs="宋体"/>
          <w:color w:val="auto"/>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6</w:t>
      </w:r>
      <w:r>
        <w:rPr>
          <w:rFonts w:hint="eastAsia" w:ascii="宋体" w:hAnsi="宋体" w:cs="宋体"/>
          <w:color w:val="auto"/>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7</w:t>
      </w:r>
      <w:r>
        <w:rPr>
          <w:rFonts w:hint="eastAsia" w:ascii="宋体" w:hAnsi="宋体" w:cs="宋体"/>
          <w:color w:val="auto"/>
          <w:sz w:val="28"/>
          <w:szCs w:val="28"/>
          <w:highlight w:val="none"/>
        </w:rPr>
        <w:t>）未能中标单位，本校对其原因不作解释；</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8</w:t>
      </w:r>
      <w:r>
        <w:rPr>
          <w:rFonts w:hint="eastAsia" w:ascii="宋体" w:hAnsi="宋体" w:cs="宋体"/>
          <w:color w:val="auto"/>
          <w:sz w:val="28"/>
          <w:szCs w:val="28"/>
          <w:highlight w:val="none"/>
        </w:rPr>
        <w:t>）投标单位对本文件其他内容已充分理解，并承诺一经中标即严格按合同执行，合同附件与合同有同等法律效力。</w:t>
      </w:r>
    </w:p>
    <w:bookmarkEnd w:id="5"/>
    <w:p>
      <w:pPr>
        <w:spacing w:beforeLines="100" w:afterLines="100" w:line="360" w:lineRule="auto"/>
        <w:ind w:firstLine="548" w:firstLineChars="196"/>
        <w:jc w:val="center"/>
        <w:rPr>
          <w:rFonts w:ascii="黑体" w:hAnsi="黑体" w:eastAsia="黑体" w:cs="宋体"/>
          <w:color w:val="auto"/>
          <w:sz w:val="28"/>
          <w:szCs w:val="28"/>
          <w:highlight w:val="none"/>
        </w:rPr>
      </w:pPr>
      <w:bookmarkStart w:id="6" w:name="_Hlk9866206"/>
      <w:r>
        <w:rPr>
          <w:rFonts w:hint="eastAsia" w:ascii="黑体" w:hAnsi="黑体" w:eastAsia="黑体" w:cs="宋体"/>
          <w:color w:val="auto"/>
          <w:sz w:val="28"/>
          <w:szCs w:val="28"/>
          <w:highlight w:val="none"/>
        </w:rPr>
        <w:t>四、开标程序</w:t>
      </w:r>
    </w:p>
    <w:bookmarkEnd w:id="6"/>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招标文件给出评标办法（见附件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r>
        <w:rPr>
          <w:rFonts w:ascii="宋体" w:cs="宋体"/>
          <w:color w:val="auto"/>
          <w:sz w:val="28"/>
          <w:szCs w:val="28"/>
          <w:highlight w:val="none"/>
        </w:rPr>
        <w:t>,</w:t>
      </w:r>
      <w:r>
        <w:rPr>
          <w:rFonts w:hint="eastAsia" w:ascii="宋体" w:hAnsi="宋体" w:cs="宋体"/>
          <w:color w:val="auto"/>
          <w:sz w:val="28"/>
          <w:szCs w:val="28"/>
          <w:highlight w:val="none"/>
        </w:rPr>
        <w:t>供投标人和评标专家组参考。</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由财务处招标科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财务处工作人员在投标人的见证下唱标。投标人或投标人代表在唱标结果上签名确认。如投标人均未参加唱标，则由财务处工作人员和评标专家组组长、采购人代表共同签名确认。重要项目另请纪检监察部门代表签字。</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color w:val="auto"/>
          <w:sz w:val="28"/>
          <w:szCs w:val="28"/>
          <w:highlight w:val="none"/>
        </w:rPr>
      </w:pPr>
      <w:r>
        <w:rPr>
          <w:rFonts w:hint="eastAsia" w:ascii="宋体" w:hAnsi="宋体" w:cs="宋体"/>
          <w:color w:val="auto"/>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财务处根据评标专家组综合排序，在学校网站和财务处招标科网站对拟中标单位进行公示。公示结束，无异议，确定中标单位。</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五、无效投标</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投标文件出现下列情形的，将作为无效投标文件，不得进入评标：</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投标文件未按照招标文件的要求予以密封的；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投标文件少项漏项，或关键内容字迹模糊、无法辨认的；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有</w:t>
      </w:r>
      <w:r>
        <w:rPr>
          <w:rFonts w:ascii="宋体" w:hAnsi="宋体" w:cs="宋体"/>
          <w:color w:val="auto"/>
          <w:sz w:val="28"/>
          <w:szCs w:val="28"/>
          <w:highlight w:val="none"/>
        </w:rPr>
        <w:t>1</w:t>
      </w:r>
      <w:r>
        <w:rPr>
          <w:rFonts w:hint="eastAsia" w:ascii="宋体" w:hAnsi="宋体" w:cs="宋体"/>
          <w:color w:val="auto"/>
          <w:sz w:val="28"/>
          <w:szCs w:val="28"/>
          <w:highlight w:val="none"/>
        </w:rPr>
        <w:t>个核心指标或有</w:t>
      </w:r>
      <w:r>
        <w:rPr>
          <w:rFonts w:ascii="宋体" w:hAnsi="宋体" w:cs="宋体"/>
          <w:color w:val="auto"/>
          <w:sz w:val="28"/>
          <w:szCs w:val="28"/>
          <w:highlight w:val="none"/>
        </w:rPr>
        <w:t>5</w:t>
      </w:r>
      <w:r>
        <w:rPr>
          <w:rFonts w:hint="eastAsia" w:ascii="宋体" w:hAnsi="宋体" w:cs="宋体"/>
          <w:color w:val="auto"/>
          <w:sz w:val="28"/>
          <w:szCs w:val="28"/>
          <w:highlight w:val="none"/>
        </w:rPr>
        <w:t>个及以上非核心指标未能满足的；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技术指标响应内容未按照招标文件附件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color w:val="auto"/>
          <w:sz w:val="28"/>
          <w:szCs w:val="28"/>
          <w:highlight w:val="none"/>
        </w:rPr>
        <w:t>1</w:t>
      </w:r>
      <w:r>
        <w:rPr>
          <w:rFonts w:hint="eastAsia" w:ascii="宋体" w:hAnsi="宋体" w:cs="宋体"/>
          <w:color w:val="auto"/>
          <w:sz w:val="28"/>
          <w:szCs w:val="28"/>
          <w:highlight w:val="none"/>
        </w:rPr>
        <w:t>中的章节、句段的；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8.</w:t>
      </w:r>
      <w:r>
        <w:rPr>
          <w:rFonts w:hint="eastAsia" w:ascii="宋体" w:hAnsi="宋体" w:cs="宋体"/>
          <w:color w:val="auto"/>
          <w:sz w:val="28"/>
          <w:szCs w:val="28"/>
          <w:highlight w:val="none"/>
        </w:rPr>
        <w:t>报价超过预算金额，或以人民币之外的币种报价的；</w:t>
      </w:r>
    </w:p>
    <w:p>
      <w:pPr>
        <w:spacing w:line="360" w:lineRule="auto"/>
        <w:ind w:firstLine="548" w:firstLineChars="196"/>
        <w:rPr>
          <w:rFonts w:ascii="宋体" w:hAnsi="宋体" w:cs="宋体"/>
          <w:b/>
          <w:color w:val="auto"/>
          <w:sz w:val="28"/>
          <w:szCs w:val="28"/>
          <w:highlight w:val="none"/>
        </w:rPr>
      </w:pPr>
      <w:r>
        <w:rPr>
          <w:rFonts w:ascii="宋体" w:hAnsi="宋体" w:cs="宋体"/>
          <w:color w:val="auto"/>
          <w:sz w:val="28"/>
          <w:szCs w:val="28"/>
          <w:highlight w:val="none"/>
        </w:rPr>
        <w:t>9.</w:t>
      </w:r>
      <w:r>
        <w:rPr>
          <w:rFonts w:hint="eastAsia" w:ascii="宋体" w:hAnsi="宋体" w:cs="宋体"/>
          <w:color w:val="auto"/>
          <w:sz w:val="28"/>
          <w:szCs w:val="28"/>
          <w:highlight w:val="none"/>
        </w:rPr>
        <w:t>无</w:t>
      </w:r>
      <w:r>
        <w:rPr>
          <w:rFonts w:ascii="宋体" w:hAnsi="宋体" w:cs="宋体"/>
          <w:color w:val="auto"/>
          <w:sz w:val="28"/>
          <w:szCs w:val="28"/>
          <w:highlight w:val="none"/>
        </w:rPr>
        <w:t>300</w:t>
      </w:r>
      <w:r>
        <w:rPr>
          <w:rFonts w:hint="eastAsia" w:ascii="宋体" w:hAnsi="宋体" w:cs="宋体"/>
          <w:color w:val="auto"/>
          <w:sz w:val="28"/>
          <w:szCs w:val="28"/>
          <w:highlight w:val="none"/>
        </w:rPr>
        <w:t>元报名资料费银行转账回单复印件的，或报名资料费银行转账回单中无</w:t>
      </w:r>
      <w:r>
        <w:rPr>
          <w:rFonts w:hint="eastAsia" w:ascii="宋体" w:hAnsi="宋体" w:cs="宋体"/>
          <w:b/>
          <w:color w:val="auto"/>
          <w:sz w:val="28"/>
          <w:szCs w:val="28"/>
          <w:highlight w:val="none"/>
        </w:rPr>
        <w:t>“</w:t>
      </w:r>
      <w:r>
        <w:rPr>
          <w:rFonts w:ascii="宋体" w:hAnsi="宋体" w:cs="宋体"/>
          <w:b/>
          <w:color w:val="auto"/>
          <w:sz w:val="28"/>
          <w:szCs w:val="28"/>
          <w:highlight w:val="none"/>
        </w:rPr>
        <w:t>SBC20</w:t>
      </w:r>
      <w:r>
        <w:rPr>
          <w:rFonts w:hint="eastAsia" w:ascii="宋体" w:hAnsi="宋体" w:cs="宋体"/>
          <w:b/>
          <w:color w:val="auto"/>
          <w:sz w:val="28"/>
          <w:szCs w:val="28"/>
          <w:highlight w:val="none"/>
        </w:rPr>
        <w:t>20039资料费”</w:t>
      </w:r>
      <w:r>
        <w:rPr>
          <w:rFonts w:hint="eastAsia" w:ascii="宋体" w:hAnsi="宋体" w:cs="宋体"/>
          <w:color w:val="auto"/>
          <w:sz w:val="28"/>
          <w:szCs w:val="28"/>
          <w:highlight w:val="none"/>
        </w:rPr>
        <w:t>字样的；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10.</w:t>
      </w:r>
      <w:r>
        <w:rPr>
          <w:rFonts w:hint="eastAsia" w:ascii="宋体" w:hAnsi="宋体" w:cs="宋体"/>
          <w:color w:val="auto"/>
          <w:sz w:val="28"/>
          <w:szCs w:val="28"/>
          <w:highlight w:val="none"/>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六、评标办法</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本着“质量第一、价格合理、服务优异、保障有力”的原则，由采购人、项目归口管理部门和财务处从报价得分、技术得分、服务、业绩、信誉得分五个方面提出评标办法（见附件</w:t>
      </w:r>
      <w:r>
        <w:rPr>
          <w:rFonts w:ascii="宋体" w:hAnsi="宋体" w:cs="宋体"/>
          <w:color w:val="auto"/>
          <w:sz w:val="28"/>
          <w:szCs w:val="28"/>
          <w:highlight w:val="none"/>
        </w:rPr>
        <w:t>5</w:t>
      </w:r>
      <w:r>
        <w:rPr>
          <w:rFonts w:hint="eastAsia" w:ascii="宋体" w:hAnsi="宋体" w:cs="宋体"/>
          <w:color w:val="auto"/>
          <w:sz w:val="28"/>
          <w:szCs w:val="28"/>
          <w:highlight w:val="none"/>
        </w:rPr>
        <w:t>）。</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为保证招标质量，在评标办法中设核心指标。每个分包的核心指标不超过</w:t>
      </w:r>
      <w:r>
        <w:rPr>
          <w:rFonts w:ascii="宋体" w:hAnsi="宋体" w:cs="宋体"/>
          <w:color w:val="auto"/>
          <w:sz w:val="28"/>
          <w:szCs w:val="28"/>
          <w:highlight w:val="none"/>
        </w:rPr>
        <w:t>5</w:t>
      </w:r>
      <w:r>
        <w:rPr>
          <w:rFonts w:hint="eastAsia" w:ascii="宋体" w:hAnsi="宋体" w:cs="宋体"/>
          <w:color w:val="auto"/>
          <w:sz w:val="28"/>
          <w:szCs w:val="28"/>
          <w:highlight w:val="none"/>
        </w:rPr>
        <w:t>个。</w:t>
      </w:r>
    </w:p>
    <w:p>
      <w:pPr>
        <w:spacing w:beforeLines="100" w:afterLines="100" w:line="360" w:lineRule="auto"/>
        <w:ind w:firstLine="548" w:firstLineChars="196"/>
        <w:jc w:val="center"/>
        <w:rPr>
          <w:rFonts w:ascii="黑体" w:hAnsi="黑体" w:eastAsia="黑体" w:cs="宋体"/>
          <w:color w:val="auto"/>
          <w:sz w:val="28"/>
          <w:szCs w:val="28"/>
          <w:highlight w:val="none"/>
        </w:rPr>
      </w:pPr>
      <w:r>
        <w:rPr>
          <w:rFonts w:hint="eastAsia" w:ascii="黑体" w:hAnsi="黑体" w:eastAsia="黑体" w:cs="宋体"/>
          <w:color w:val="auto"/>
          <w:sz w:val="28"/>
          <w:szCs w:val="28"/>
          <w:highlight w:val="none"/>
        </w:rPr>
        <w:t>七、合同、履约、验收及结算等事项</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1.</w:t>
      </w:r>
      <w:r>
        <w:rPr>
          <w:rFonts w:hint="eastAsia" w:ascii="宋体" w:hAnsi="宋体" w:cs="宋体"/>
          <w:color w:val="auto"/>
          <w:sz w:val="28"/>
          <w:szCs w:val="28"/>
          <w:highlight w:val="none"/>
        </w:rPr>
        <w:t>合同：</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）中标公示结束无异议后</w:t>
      </w:r>
      <w:r>
        <w:rPr>
          <w:rFonts w:ascii="宋体" w:hAnsi="宋体" w:cs="宋体"/>
          <w:color w:val="auto"/>
          <w:sz w:val="28"/>
          <w:szCs w:val="28"/>
          <w:highlight w:val="none"/>
        </w:rPr>
        <w:t>5</w:t>
      </w:r>
      <w:r>
        <w:rPr>
          <w:rFonts w:hint="eastAsia" w:ascii="宋体" w:hAnsi="宋体" w:cs="宋体"/>
          <w:color w:val="auto"/>
          <w:sz w:val="28"/>
          <w:szCs w:val="28"/>
          <w:highlight w:val="none"/>
        </w:rPr>
        <w:t>个工作日内，中标单位须及时缴纳30</w:t>
      </w:r>
      <w:r>
        <w:rPr>
          <w:rFonts w:ascii="宋体" w:hAnsi="宋体" w:cs="宋体"/>
          <w:color w:val="auto"/>
          <w:sz w:val="28"/>
          <w:szCs w:val="28"/>
          <w:highlight w:val="none"/>
        </w:rPr>
        <w:t>000</w:t>
      </w:r>
      <w:r>
        <w:rPr>
          <w:rFonts w:hint="eastAsia" w:ascii="宋体" w:hAnsi="宋体" w:cs="宋体"/>
          <w:color w:val="auto"/>
          <w:sz w:val="28"/>
          <w:szCs w:val="28"/>
          <w:highlight w:val="none"/>
        </w:rPr>
        <w:t>元履约保证金并前来我校领取的《中标通知书》（一式二份）。</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）中标单位须在接《中标通知书》起</w:t>
      </w:r>
      <w:r>
        <w:rPr>
          <w:rFonts w:ascii="宋体" w:hAnsi="宋体" w:cs="宋体"/>
          <w:color w:val="auto"/>
          <w:sz w:val="28"/>
          <w:szCs w:val="28"/>
          <w:highlight w:val="none"/>
        </w:rPr>
        <w:t>7</w:t>
      </w:r>
      <w:r>
        <w:rPr>
          <w:rFonts w:hint="eastAsia" w:ascii="宋体" w:hAnsi="宋体" w:cs="宋体"/>
          <w:color w:val="auto"/>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（3）合同文件构成包括：中标通知书、招标文件、投标文件及其它补充文件。</w:t>
      </w:r>
    </w:p>
    <w:p>
      <w:pPr>
        <w:spacing w:line="360" w:lineRule="auto"/>
        <w:ind w:firstLine="548" w:firstLineChars="196"/>
        <w:rPr>
          <w:rFonts w:ascii="宋体" w:hAnsi="宋体" w:cs="宋体"/>
          <w:b w:val="0"/>
          <w:bCs/>
          <w:color w:val="auto"/>
          <w:sz w:val="28"/>
          <w:szCs w:val="28"/>
          <w:highlight w:val="none"/>
        </w:rPr>
      </w:pPr>
      <w:r>
        <w:rPr>
          <w:rFonts w:hint="eastAsia" w:ascii="宋体" w:hAnsi="宋体" w:cs="宋体"/>
          <w:b w:val="0"/>
          <w:bCs/>
          <w:color w:val="auto"/>
          <w:sz w:val="28"/>
          <w:szCs w:val="28"/>
          <w:highlight w:val="none"/>
        </w:rPr>
        <w:t>（4）附后的合同文本为参考文本，以最终签订的合同为准。</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服务地点：南京信息工程大学校内。</w:t>
      </w:r>
    </w:p>
    <w:p>
      <w:pPr>
        <w:spacing w:line="360" w:lineRule="auto"/>
        <w:ind w:firstLine="548" w:firstLineChars="196"/>
        <w:rPr>
          <w:rFonts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付款方式：</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内供应货物，中标单位所供设备（或软件、服务）进场安装调试或服务工作完毕，经验收、检测合格后，提供全额税务发票，凭最终签字和盖章的验收合格报告，支付至合同价的95%，余5%作质保金，质保期满后并经有关单位确认无质量问题后，一次性</w:t>
      </w:r>
      <w:r>
        <w:rPr>
          <w:rFonts w:hint="eastAsia" w:ascii="宋体" w:hAnsi="宋体" w:cs="宋体"/>
          <w:color w:val="auto"/>
          <w:sz w:val="28"/>
          <w:szCs w:val="28"/>
          <w:highlight w:val="none"/>
          <w:lang w:val="en-US" w:eastAsia="zh-CN"/>
        </w:rPr>
        <w:t>无息付清</w:t>
      </w:r>
      <w:r>
        <w:rPr>
          <w:rFonts w:hint="eastAsia" w:ascii="宋体" w:hAnsi="宋体" w:cs="宋体"/>
          <w:color w:val="auto"/>
          <w:sz w:val="28"/>
          <w:szCs w:val="28"/>
          <w:highlight w:val="none"/>
        </w:rPr>
        <w:t>。具体内容以最终签署的合同约定为准。</w:t>
      </w:r>
    </w:p>
    <w:p>
      <w:pPr>
        <w:spacing w:line="360" w:lineRule="auto"/>
        <w:ind w:firstLine="548" w:firstLineChars="196"/>
        <w:rPr>
          <w:rFonts w:ascii="宋体" w:hAnsi="宋体" w:cs="宋体"/>
          <w:color w:val="auto"/>
          <w:sz w:val="28"/>
          <w:szCs w:val="28"/>
          <w:highlight w:val="none"/>
        </w:rPr>
      </w:pPr>
      <w:r>
        <w:rPr>
          <w:rFonts w:hint="eastAsia" w:ascii="宋体" w:hAnsi="宋体" w:cs="宋体"/>
          <w:color w:val="auto"/>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资料费：</w:t>
      </w:r>
      <w:r>
        <w:rPr>
          <w:rFonts w:ascii="宋体" w:hAnsi="宋体" w:cs="宋体"/>
          <w:color w:val="auto"/>
          <w:sz w:val="28"/>
          <w:szCs w:val="28"/>
          <w:highlight w:val="none"/>
        </w:rPr>
        <w:t>300</w:t>
      </w:r>
      <w:r>
        <w:rPr>
          <w:rFonts w:hint="eastAsia" w:ascii="宋体" w:hAnsi="宋体" w:cs="宋体"/>
          <w:color w:val="auto"/>
          <w:sz w:val="28"/>
          <w:szCs w:val="28"/>
          <w:highlight w:val="none"/>
        </w:rPr>
        <w:t>元</w:t>
      </w:r>
      <w:r>
        <w:rPr>
          <w:rFonts w:ascii="宋体" w:hAnsi="宋体" w:cs="宋体"/>
          <w:color w:val="auto"/>
          <w:sz w:val="28"/>
          <w:szCs w:val="28"/>
          <w:highlight w:val="none"/>
        </w:rPr>
        <w:t>/</w:t>
      </w:r>
      <w:r>
        <w:rPr>
          <w:rFonts w:hint="eastAsia" w:ascii="宋体" w:hAnsi="宋体" w:cs="宋体"/>
          <w:color w:val="auto"/>
          <w:sz w:val="28"/>
          <w:szCs w:val="28"/>
          <w:highlight w:val="none"/>
        </w:rPr>
        <w:t>家。</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color w:val="auto"/>
          <w:sz w:val="28"/>
          <w:szCs w:val="28"/>
          <w:highlight w:val="none"/>
        </w:rPr>
        <w:t>10115401040000228</w:t>
      </w:r>
      <w:r>
        <w:rPr>
          <w:rFonts w:hint="eastAsia" w:ascii="宋体" w:hAnsi="宋体" w:cs="宋体"/>
          <w:color w:val="auto"/>
          <w:sz w:val="28"/>
          <w:szCs w:val="28"/>
          <w:highlight w:val="none"/>
        </w:rPr>
        <w:t>；开户银行：中国农业银行南京盘城支行。请各投标人务必在转账留言栏备注填写</w:t>
      </w:r>
      <w:r>
        <w:rPr>
          <w:rFonts w:hint="eastAsia" w:ascii="宋体" w:hAnsi="宋体" w:cs="宋体"/>
          <w:b/>
          <w:color w:val="auto"/>
          <w:sz w:val="28"/>
          <w:szCs w:val="28"/>
          <w:highlight w:val="none"/>
        </w:rPr>
        <w:t>“</w:t>
      </w:r>
      <w:r>
        <w:rPr>
          <w:rFonts w:ascii="宋体" w:hAnsi="宋体" w:cs="宋体"/>
          <w:b/>
          <w:color w:val="auto"/>
          <w:sz w:val="28"/>
          <w:szCs w:val="28"/>
          <w:highlight w:val="none"/>
        </w:rPr>
        <w:t>SBC20200</w:t>
      </w:r>
      <w:r>
        <w:rPr>
          <w:rFonts w:hint="eastAsia" w:ascii="宋体" w:hAnsi="宋体" w:cs="宋体"/>
          <w:b/>
          <w:color w:val="auto"/>
          <w:sz w:val="28"/>
          <w:szCs w:val="28"/>
          <w:highlight w:val="none"/>
        </w:rPr>
        <w:t>39资料费”</w:t>
      </w:r>
      <w:r>
        <w:rPr>
          <w:rFonts w:hint="eastAsia" w:ascii="宋体" w:hAnsi="宋体" w:cs="宋体"/>
          <w:color w:val="auto"/>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我校提供电子普通发票，招标科定期到财务结算中心对账（时间约半个月）。请投标单位在邮件报名时提供单位纳税人识别号，并确保联系人手机号及邮箱状态正常，以便接收电子发票信息。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5.</w:t>
      </w:r>
      <w:r>
        <w:rPr>
          <w:rFonts w:hint="eastAsia" w:ascii="宋体" w:hAnsi="宋体" w:cs="宋体"/>
          <w:color w:val="auto"/>
          <w:sz w:val="28"/>
          <w:szCs w:val="28"/>
          <w:highlight w:val="none"/>
        </w:rPr>
        <w:t>履约保证金（或投标保证金）：</w:t>
      </w:r>
      <w:r>
        <w:rPr>
          <w:rFonts w:hint="eastAsia" w:ascii="宋体" w:hAnsi="宋体" w:cs="宋体"/>
          <w:b/>
          <w:color w:val="auto"/>
          <w:sz w:val="28"/>
          <w:szCs w:val="28"/>
          <w:highlight w:val="none"/>
          <w:u w:val="single"/>
        </w:rPr>
        <w:t>30</w:t>
      </w:r>
      <w:r>
        <w:rPr>
          <w:rFonts w:ascii="宋体" w:hAnsi="宋体" w:cs="宋体"/>
          <w:b/>
          <w:color w:val="auto"/>
          <w:sz w:val="28"/>
          <w:szCs w:val="28"/>
          <w:highlight w:val="none"/>
          <w:u w:val="single"/>
        </w:rPr>
        <w:t>000</w:t>
      </w:r>
      <w:r>
        <w:rPr>
          <w:rFonts w:hint="eastAsia" w:ascii="宋体" w:hAnsi="宋体" w:cs="宋体"/>
          <w:b/>
          <w:color w:val="auto"/>
          <w:sz w:val="28"/>
          <w:szCs w:val="28"/>
          <w:highlight w:val="none"/>
          <w:u w:val="single"/>
        </w:rPr>
        <w:t>元</w:t>
      </w:r>
      <w:r>
        <w:rPr>
          <w:rFonts w:hint="eastAsia" w:ascii="宋体" w:hAnsi="宋体" w:cs="宋体"/>
          <w:b/>
          <w:color w:val="auto"/>
          <w:sz w:val="28"/>
          <w:szCs w:val="28"/>
          <w:highlight w:val="none"/>
        </w:rPr>
        <w:t>整。</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1</w:t>
      </w:r>
      <w:r>
        <w:rPr>
          <w:rFonts w:hint="eastAsia" w:ascii="宋体" w:hAnsi="宋体" w:cs="宋体"/>
          <w:color w:val="auto"/>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财务处招标科领取中标通知书后再与采购单位签订供货和服务合同。</w:t>
      </w:r>
      <w:r>
        <w:rPr>
          <w:rFonts w:hint="eastAsia" w:ascii="宋体" w:hAnsi="宋体" w:cs="宋体"/>
          <w:b/>
          <w:color w:val="auto"/>
          <w:sz w:val="28"/>
          <w:szCs w:val="28"/>
          <w:highlight w:val="none"/>
        </w:rPr>
        <w:t>30</w:t>
      </w:r>
      <w:r>
        <w:rPr>
          <w:rFonts w:ascii="宋体" w:hAnsi="宋体" w:cs="宋体"/>
          <w:b/>
          <w:color w:val="auto"/>
          <w:sz w:val="28"/>
          <w:szCs w:val="28"/>
          <w:highlight w:val="none"/>
        </w:rPr>
        <w:t>000</w:t>
      </w:r>
      <w:r>
        <w:rPr>
          <w:rFonts w:hint="eastAsia" w:ascii="宋体" w:hAnsi="宋体" w:cs="宋体"/>
          <w:b/>
          <w:color w:val="auto"/>
          <w:sz w:val="28"/>
          <w:szCs w:val="28"/>
          <w:highlight w:val="none"/>
        </w:rPr>
        <w:t>元</w:t>
      </w:r>
      <w:r>
        <w:rPr>
          <w:rFonts w:hint="eastAsia" w:ascii="宋体" w:hAnsi="宋体" w:cs="宋体"/>
          <w:color w:val="auto"/>
          <w:sz w:val="28"/>
          <w:szCs w:val="28"/>
          <w:highlight w:val="none"/>
        </w:rPr>
        <w:t>履约保证金交款账号同</w:t>
      </w:r>
      <w:r>
        <w:rPr>
          <w:rFonts w:ascii="宋体" w:hAnsi="宋体" w:cs="宋体"/>
          <w:color w:val="auto"/>
          <w:sz w:val="28"/>
          <w:szCs w:val="28"/>
          <w:highlight w:val="none"/>
        </w:rPr>
        <w:t>300</w:t>
      </w:r>
      <w:r>
        <w:rPr>
          <w:rFonts w:hint="eastAsia" w:ascii="宋体" w:hAnsi="宋体" w:cs="宋体"/>
          <w:color w:val="auto"/>
          <w:sz w:val="28"/>
          <w:szCs w:val="28"/>
          <w:highlight w:val="none"/>
        </w:rPr>
        <w:t>元资料费。</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2</w:t>
      </w:r>
      <w:r>
        <w:rPr>
          <w:rFonts w:hint="eastAsia" w:ascii="宋体" w:hAnsi="宋体" w:cs="宋体"/>
          <w:color w:val="auto"/>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3</w:t>
      </w:r>
      <w:r>
        <w:rPr>
          <w:rFonts w:hint="eastAsia" w:ascii="宋体" w:hAnsi="宋体" w:cs="宋体"/>
          <w:color w:val="auto"/>
          <w:sz w:val="28"/>
          <w:szCs w:val="28"/>
          <w:highlight w:val="none"/>
        </w:rPr>
        <w:t>）履约保证金交退咨询：财务处结算中心（体育馆北面，南气宾馆东侧的大学生创业中心</w:t>
      </w:r>
      <w:r>
        <w:rPr>
          <w:rFonts w:ascii="宋体" w:hAnsi="宋体" w:cs="宋体"/>
          <w:color w:val="auto"/>
          <w:sz w:val="28"/>
          <w:szCs w:val="28"/>
          <w:highlight w:val="none"/>
        </w:rPr>
        <w:t>3</w:t>
      </w:r>
      <w:r>
        <w:rPr>
          <w:rFonts w:hint="eastAsia" w:ascii="宋体" w:hAnsi="宋体" w:cs="宋体"/>
          <w:color w:val="auto"/>
          <w:sz w:val="28"/>
          <w:szCs w:val="28"/>
          <w:highlight w:val="none"/>
        </w:rPr>
        <w:t>号楼二楼201）。</w:t>
      </w:r>
    </w:p>
    <w:p>
      <w:pPr>
        <w:spacing w:line="360" w:lineRule="auto"/>
        <w:ind w:firstLine="548" w:firstLineChars="196"/>
        <w:rPr>
          <w:rFonts w:ascii="宋体" w:cs="宋体"/>
          <w:color w:val="auto"/>
          <w:sz w:val="28"/>
          <w:szCs w:val="28"/>
          <w:highlight w:val="none"/>
        </w:rPr>
      </w:pPr>
      <w:r>
        <w:rPr>
          <w:rFonts w:hint="eastAsia" w:ascii="宋体" w:hAnsi="宋体" w:cs="宋体"/>
          <w:color w:val="auto"/>
          <w:sz w:val="28"/>
          <w:szCs w:val="28"/>
          <w:highlight w:val="none"/>
        </w:rPr>
        <w:t>（</w:t>
      </w:r>
      <w:r>
        <w:rPr>
          <w:rFonts w:ascii="宋体" w:hAnsi="宋体" w:cs="宋体"/>
          <w:color w:val="auto"/>
          <w:sz w:val="28"/>
          <w:szCs w:val="28"/>
          <w:highlight w:val="none"/>
        </w:rPr>
        <w:t>4</w:t>
      </w:r>
      <w:r>
        <w:rPr>
          <w:rFonts w:hint="eastAsia" w:ascii="宋体" w:hAnsi="宋体" w:cs="宋体"/>
          <w:color w:val="auto"/>
          <w:sz w:val="28"/>
          <w:szCs w:val="28"/>
          <w:highlight w:val="none"/>
        </w:rPr>
        <w:t>）如中标单位有下列情况之一，不予退还履约保证金，我校将其列入招投标诚信“黑名单”，</w:t>
      </w:r>
      <w:r>
        <w:rPr>
          <w:rFonts w:ascii="宋体" w:hAnsi="宋体" w:cs="宋体"/>
          <w:color w:val="auto"/>
          <w:sz w:val="28"/>
          <w:szCs w:val="28"/>
          <w:highlight w:val="none"/>
        </w:rPr>
        <w:t>3</w:t>
      </w:r>
      <w:r>
        <w:rPr>
          <w:rFonts w:hint="eastAsia" w:ascii="宋体" w:hAnsi="宋体" w:cs="宋体"/>
          <w:color w:val="auto"/>
          <w:sz w:val="28"/>
          <w:szCs w:val="28"/>
          <w:highlight w:val="none"/>
        </w:rPr>
        <w:t>年内不得到我校从事任何投标活动。</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a.</w:t>
      </w:r>
      <w:r>
        <w:rPr>
          <w:rFonts w:hint="eastAsia" w:ascii="宋体" w:hAnsi="宋体" w:cs="宋体"/>
          <w:color w:val="auto"/>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b.</w:t>
      </w:r>
      <w:r>
        <w:rPr>
          <w:rFonts w:hint="eastAsia" w:ascii="宋体" w:hAnsi="宋体" w:cs="宋体"/>
          <w:color w:val="auto"/>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c.</w:t>
      </w:r>
      <w:r>
        <w:rPr>
          <w:rFonts w:hint="eastAsia" w:ascii="宋体" w:hAnsi="宋体" w:cs="宋体"/>
          <w:color w:val="auto"/>
          <w:sz w:val="28"/>
          <w:szCs w:val="28"/>
          <w:highlight w:val="none"/>
        </w:rPr>
        <w:t>出现其他不予退还履约保证金情形的。</w:t>
      </w:r>
    </w:p>
    <w:p>
      <w:pPr>
        <w:spacing w:line="360" w:lineRule="auto"/>
        <w:ind w:firstLine="548" w:firstLineChars="196"/>
        <w:rPr>
          <w:rFonts w:ascii="宋体" w:cs="宋体"/>
          <w:color w:val="auto"/>
          <w:sz w:val="28"/>
          <w:szCs w:val="28"/>
          <w:highlight w:val="none"/>
        </w:rPr>
      </w:pPr>
      <w:r>
        <w:rPr>
          <w:rFonts w:ascii="宋体" w:hAnsi="宋体" w:cs="宋体"/>
          <w:color w:val="auto"/>
          <w:sz w:val="28"/>
          <w:szCs w:val="28"/>
          <w:highlight w:val="none"/>
        </w:rPr>
        <w:t>6.</w:t>
      </w:r>
      <w:r>
        <w:rPr>
          <w:rFonts w:hint="eastAsia" w:ascii="宋体" w:hAnsi="宋体" w:cs="宋体"/>
          <w:color w:val="auto"/>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color w:val="auto"/>
          <w:sz w:val="28"/>
          <w:szCs w:val="28"/>
          <w:highlight w:val="none"/>
        </w:rPr>
      </w:pPr>
      <w:r>
        <w:rPr>
          <w:rFonts w:ascii="宋体" w:hAnsi="宋体" w:cs="宋体"/>
          <w:color w:val="auto"/>
          <w:sz w:val="28"/>
          <w:szCs w:val="28"/>
          <w:highlight w:val="none"/>
        </w:rPr>
        <w:t>7.</w:t>
      </w:r>
      <w:r>
        <w:rPr>
          <w:rFonts w:hint="eastAsia" w:ascii="宋体" w:hAnsi="宋体" w:cs="宋体"/>
          <w:color w:val="auto"/>
          <w:sz w:val="28"/>
          <w:szCs w:val="28"/>
          <w:highlight w:val="none"/>
        </w:rPr>
        <w:t>质保：参照附件4服务要求</w:t>
      </w:r>
    </w:p>
    <w:p>
      <w:pPr>
        <w:spacing w:beforeLines="100" w:afterLines="100" w:line="360" w:lineRule="auto"/>
        <w:jc w:val="center"/>
        <w:rPr>
          <w:rFonts w:ascii="黑体" w:hAnsi="黑体" w:eastAsia="黑体"/>
          <w:color w:val="auto"/>
          <w:sz w:val="28"/>
          <w:szCs w:val="28"/>
          <w:highlight w:val="none"/>
        </w:rPr>
      </w:pPr>
      <w:bookmarkStart w:id="7" w:name="_Hlk9866833"/>
      <w:r>
        <w:rPr>
          <w:rFonts w:hint="eastAsia" w:ascii="黑体" w:hAnsi="黑体" w:eastAsia="黑体"/>
          <w:color w:val="auto"/>
          <w:sz w:val="28"/>
          <w:szCs w:val="28"/>
          <w:highlight w:val="none"/>
        </w:rPr>
        <w:t>八、日程安排和联系方式</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报名时间：招标信息发布后。</w:t>
      </w:r>
    </w:p>
    <w:p>
      <w:pPr>
        <w:spacing w:line="360" w:lineRule="auto"/>
        <w:ind w:firstLine="560" w:firstLineChars="200"/>
        <w:rPr>
          <w:rFonts w:ascii="宋体" w:cs="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领取招标文件：</w:t>
      </w:r>
      <w:r>
        <w:rPr>
          <w:rFonts w:hint="eastAsia" w:ascii="宋体" w:hAnsi="宋体"/>
          <w:color w:val="auto"/>
          <w:sz w:val="28"/>
          <w:szCs w:val="28"/>
          <w:highlight w:val="none"/>
          <w:u w:val="single"/>
        </w:rPr>
        <w:t>自行下载</w:t>
      </w:r>
      <w:r>
        <w:rPr>
          <w:rFonts w:hint="eastAsia" w:ascii="宋体" w:hAnsi="宋体" w:cs="宋体"/>
          <w:color w:val="auto"/>
          <w:kern w:val="0"/>
          <w:sz w:val="28"/>
          <w:szCs w:val="28"/>
          <w:highlight w:val="none"/>
        </w:rPr>
        <w:t>。</w:t>
      </w:r>
    </w:p>
    <w:p>
      <w:pPr>
        <w:spacing w:line="360" w:lineRule="auto"/>
        <w:ind w:firstLine="560" w:firstLineChars="200"/>
        <w:rPr>
          <w:rFonts w:asci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 xml:space="preserve">答疑时间：          </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）投标人如有疑问，请在</w:t>
      </w:r>
      <w:r>
        <w:rPr>
          <w:rFonts w:ascii="宋体" w:hAnsi="宋体"/>
          <w:b/>
          <w:color w:val="auto"/>
          <w:sz w:val="28"/>
          <w:szCs w:val="28"/>
          <w:highlight w:val="none"/>
          <w:u w:val="single"/>
        </w:rPr>
        <w:t>2020</w:t>
      </w:r>
      <w:r>
        <w:rPr>
          <w:rFonts w:hint="eastAsia" w:ascii="宋体" w:hAnsi="宋体"/>
          <w:b/>
          <w:color w:val="auto"/>
          <w:sz w:val="28"/>
          <w:szCs w:val="28"/>
          <w:highlight w:val="none"/>
          <w:u w:val="single"/>
        </w:rPr>
        <w:t>年</w:t>
      </w:r>
      <w:r>
        <w:rPr>
          <w:rFonts w:hint="eastAsia" w:ascii="宋体" w:hAnsi="宋体"/>
          <w:b/>
          <w:color w:val="auto"/>
          <w:sz w:val="28"/>
          <w:szCs w:val="28"/>
          <w:highlight w:val="none"/>
          <w:u w:val="single"/>
        </w:rPr>
        <w:t>0</w:t>
      </w:r>
      <w:r>
        <w:rPr>
          <w:rFonts w:hint="eastAsia" w:ascii="宋体" w:hAnsi="宋体"/>
          <w:b/>
          <w:color w:val="auto"/>
          <w:sz w:val="28"/>
          <w:szCs w:val="28"/>
          <w:highlight w:val="none"/>
          <w:u w:val="single"/>
          <w:lang w:val="en-US" w:eastAsia="zh-CN"/>
        </w:rPr>
        <w:t>7</w:t>
      </w:r>
      <w:r>
        <w:rPr>
          <w:rFonts w:hint="eastAsia" w:ascii="宋体" w:hAnsi="宋体"/>
          <w:b/>
          <w:color w:val="auto"/>
          <w:sz w:val="28"/>
          <w:szCs w:val="28"/>
          <w:highlight w:val="none"/>
          <w:u w:val="single"/>
        </w:rPr>
        <w:t>月</w:t>
      </w:r>
      <w:r>
        <w:rPr>
          <w:rFonts w:hint="eastAsia" w:ascii="宋体" w:hAnsi="宋体"/>
          <w:b/>
          <w:color w:val="auto"/>
          <w:sz w:val="28"/>
          <w:szCs w:val="28"/>
          <w:highlight w:val="none"/>
          <w:u w:val="single"/>
          <w:lang w:val="en-US" w:eastAsia="zh-CN"/>
        </w:rPr>
        <w:t>08</w:t>
      </w:r>
      <w:r>
        <w:rPr>
          <w:rFonts w:hint="eastAsia" w:ascii="宋体" w:hAnsi="宋体"/>
          <w:b/>
          <w:color w:val="auto"/>
          <w:sz w:val="28"/>
          <w:szCs w:val="28"/>
          <w:highlight w:val="none"/>
          <w:u w:val="single"/>
        </w:rPr>
        <w:t>日</w:t>
      </w:r>
      <w:r>
        <w:rPr>
          <w:rFonts w:ascii="宋体" w:hAnsi="宋体"/>
          <w:b/>
          <w:color w:val="auto"/>
          <w:sz w:val="28"/>
          <w:szCs w:val="28"/>
          <w:highlight w:val="none"/>
          <w:u w:val="single"/>
        </w:rPr>
        <w:t>11</w:t>
      </w:r>
      <w:r>
        <w:rPr>
          <w:rFonts w:hint="eastAsia" w:ascii="宋体" w:hAnsi="宋体"/>
          <w:b/>
          <w:color w:val="auto"/>
          <w:sz w:val="28"/>
          <w:szCs w:val="28"/>
          <w:highlight w:val="none"/>
          <w:u w:val="single"/>
        </w:rPr>
        <w:t>：</w:t>
      </w:r>
      <w:r>
        <w:rPr>
          <w:rFonts w:ascii="宋体" w:hAnsi="宋体"/>
          <w:b/>
          <w:color w:val="auto"/>
          <w:sz w:val="28"/>
          <w:szCs w:val="28"/>
          <w:highlight w:val="none"/>
          <w:u w:val="single"/>
        </w:rPr>
        <w:t>3</w:t>
      </w:r>
      <w:r>
        <w:rPr>
          <w:color w:val="auto"/>
          <w:highlight w:val="none"/>
        </w:rPr>
        <w:fldChar w:fldCharType="begin"/>
      </w:r>
      <w:r>
        <w:rPr>
          <w:color w:val="auto"/>
          <w:highlight w:val="none"/>
        </w:rPr>
        <w:instrText xml:space="preserve"> HYPERLINK "mailto:30前将问题一律以word格式或txt格式发至89523765@qq.com" </w:instrText>
      </w:r>
      <w:r>
        <w:rPr>
          <w:color w:val="auto"/>
          <w:highlight w:val="none"/>
        </w:rPr>
        <w:fldChar w:fldCharType="separate"/>
      </w:r>
      <w:r>
        <w:rPr>
          <w:rFonts w:ascii="宋体"/>
          <w:b/>
          <w:color w:val="auto"/>
          <w:sz w:val="28"/>
          <w:szCs w:val="28"/>
          <w:highlight w:val="none"/>
          <w:u w:val="single"/>
        </w:rPr>
        <w:t>0</w:t>
      </w:r>
      <w:r>
        <w:rPr>
          <w:rFonts w:hint="eastAsia" w:ascii="宋体" w:hAnsi="宋体"/>
          <w:color w:val="auto"/>
          <w:sz w:val="28"/>
          <w:szCs w:val="28"/>
          <w:highlight w:val="none"/>
        </w:rPr>
        <w:t>前将问题以</w:t>
      </w:r>
      <w:r>
        <w:rPr>
          <w:rFonts w:ascii="宋体" w:hAnsi="宋体"/>
          <w:color w:val="auto"/>
          <w:sz w:val="28"/>
          <w:szCs w:val="28"/>
          <w:highlight w:val="none"/>
        </w:rPr>
        <w:t>word</w:t>
      </w:r>
      <w:r>
        <w:rPr>
          <w:rFonts w:hint="eastAsia" w:ascii="宋体" w:hAnsi="宋体"/>
          <w:color w:val="auto"/>
          <w:sz w:val="28"/>
          <w:szCs w:val="28"/>
          <w:highlight w:val="none"/>
        </w:rPr>
        <w:t>格式或</w:t>
      </w:r>
      <w:r>
        <w:rPr>
          <w:rFonts w:ascii="宋体" w:hAnsi="宋体"/>
          <w:color w:val="auto"/>
          <w:sz w:val="28"/>
          <w:szCs w:val="28"/>
          <w:highlight w:val="none"/>
        </w:rPr>
        <w:t>txt</w:t>
      </w:r>
      <w:r>
        <w:rPr>
          <w:rFonts w:hint="eastAsia" w:ascii="宋体" w:hAnsi="宋体"/>
          <w:color w:val="auto"/>
          <w:sz w:val="28"/>
          <w:szCs w:val="28"/>
          <w:highlight w:val="none"/>
        </w:rPr>
        <w:t>格式发至</w:t>
      </w:r>
      <w:r>
        <w:rPr>
          <w:rFonts w:ascii="宋体" w:hAnsi="宋体"/>
          <w:color w:val="auto"/>
          <w:sz w:val="28"/>
          <w:szCs w:val="28"/>
          <w:highlight w:val="none"/>
        </w:rPr>
        <w:t>2483567991@qq.com</w:t>
      </w:r>
      <w:r>
        <w:rPr>
          <w:rFonts w:ascii="宋体" w:hAnsi="宋体"/>
          <w:color w:val="auto"/>
          <w:sz w:val="28"/>
          <w:szCs w:val="28"/>
          <w:highlight w:val="none"/>
        </w:rPr>
        <w:fldChar w:fldCharType="end"/>
      </w:r>
      <w:r>
        <w:rPr>
          <w:rFonts w:hint="eastAsia" w:ascii="宋体" w:hAnsi="宋体"/>
          <w:color w:val="auto"/>
          <w:sz w:val="28"/>
          <w:szCs w:val="28"/>
          <w:highlight w:val="none"/>
        </w:rPr>
        <w:t>（质疑函请勿以</w:t>
      </w:r>
      <w:r>
        <w:rPr>
          <w:rFonts w:ascii="宋体" w:hAnsi="宋体"/>
          <w:color w:val="auto"/>
          <w:sz w:val="28"/>
          <w:szCs w:val="28"/>
          <w:highlight w:val="none"/>
        </w:rPr>
        <w:t>JPG</w:t>
      </w:r>
      <w:r>
        <w:rPr>
          <w:rFonts w:hint="eastAsia" w:ascii="宋体" w:hAnsi="宋体"/>
          <w:color w:val="auto"/>
          <w:sz w:val="28"/>
          <w:szCs w:val="28"/>
          <w:highlight w:val="none"/>
        </w:rPr>
        <w:t>或</w:t>
      </w:r>
      <w:r>
        <w:rPr>
          <w:rFonts w:ascii="宋体" w:hAnsi="宋体"/>
          <w:color w:val="auto"/>
          <w:sz w:val="28"/>
          <w:szCs w:val="28"/>
          <w:highlight w:val="none"/>
        </w:rPr>
        <w:t>PDF</w:t>
      </w:r>
      <w:r>
        <w:rPr>
          <w:rFonts w:hint="eastAsia" w:ascii="宋体" w:hAnsi="宋体"/>
          <w:color w:val="auto"/>
          <w:sz w:val="28"/>
          <w:szCs w:val="28"/>
          <w:highlight w:val="none"/>
        </w:rPr>
        <w:t>格式，对</w:t>
      </w:r>
      <w:r>
        <w:rPr>
          <w:rFonts w:ascii="宋体" w:hAnsi="宋体"/>
          <w:color w:val="auto"/>
          <w:sz w:val="28"/>
          <w:szCs w:val="28"/>
          <w:highlight w:val="none"/>
        </w:rPr>
        <w:t>JPG</w:t>
      </w:r>
      <w:r>
        <w:rPr>
          <w:rFonts w:hint="eastAsia" w:ascii="宋体" w:hAnsi="宋体"/>
          <w:color w:val="auto"/>
          <w:sz w:val="28"/>
          <w:szCs w:val="28"/>
          <w:highlight w:val="none"/>
        </w:rPr>
        <w:t>和</w:t>
      </w:r>
      <w:r>
        <w:rPr>
          <w:rFonts w:ascii="宋体" w:hAnsi="宋体"/>
          <w:color w:val="auto"/>
          <w:sz w:val="28"/>
          <w:szCs w:val="28"/>
          <w:highlight w:val="none"/>
        </w:rPr>
        <w:t>PDF</w:t>
      </w:r>
      <w:r>
        <w:rPr>
          <w:rFonts w:hint="eastAsia" w:ascii="宋体" w:hAnsi="宋体"/>
          <w:color w:val="auto"/>
          <w:sz w:val="28"/>
          <w:szCs w:val="28"/>
          <w:highlight w:val="none"/>
        </w:rPr>
        <w:t>格式的附件一律删除，不予采纳，敬请谅解）。</w:t>
      </w:r>
    </w:p>
    <w:p>
      <w:pPr>
        <w:spacing w:line="360" w:lineRule="auto"/>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2</w:t>
      </w:r>
      <w:r>
        <w:rPr>
          <w:rFonts w:hint="eastAsia" w:ascii="宋体" w:hAnsi="宋体"/>
          <w:color w:val="auto"/>
          <w:sz w:val="28"/>
          <w:szCs w:val="28"/>
          <w:highlight w:val="none"/>
        </w:rPr>
        <w:t>）我校项目归口管理部门将通过财务处招标科向各投标人统一进行书面（或电子版）答疑回复。</w:t>
      </w:r>
    </w:p>
    <w:p>
      <w:pPr>
        <w:widowControl/>
        <w:snapToGrid w:val="0"/>
        <w:spacing w:line="360" w:lineRule="auto"/>
        <w:ind w:firstLine="548" w:firstLineChars="196"/>
        <w:rPr>
          <w:rFonts w:ascii="黑体" w:hAnsi="黑体" w:eastAsia="黑体"/>
          <w:i/>
          <w:color w:val="auto"/>
          <w:sz w:val="28"/>
          <w:szCs w:val="28"/>
          <w:highlight w:val="none"/>
        </w:rPr>
      </w:pPr>
      <w:r>
        <w:rPr>
          <w:rFonts w:hint="eastAsia" w:ascii="宋体" w:hAnsi="宋体"/>
          <w:color w:val="auto"/>
          <w:sz w:val="28"/>
          <w:szCs w:val="28"/>
          <w:highlight w:val="none"/>
        </w:rPr>
        <w:t>4.投标文件</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（1）投标送达方式：</w:t>
      </w:r>
      <w:r>
        <w:rPr>
          <w:rFonts w:hint="eastAsia" w:ascii="宋体" w:hAnsi="宋体"/>
          <w:b/>
          <w:color w:val="auto"/>
          <w:sz w:val="28"/>
          <w:szCs w:val="28"/>
          <w:highlight w:val="none"/>
        </w:rPr>
        <w:t>只接受以邮寄方式送达，并请务必用顺丰快递</w:t>
      </w:r>
      <w:r>
        <w:rPr>
          <w:rFonts w:hint="eastAsia" w:ascii="宋体" w:hAnsi="宋体"/>
          <w:color w:val="auto"/>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auto"/>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（2）投标截止时间：202</w:t>
      </w:r>
      <w:r>
        <w:rPr>
          <w:rFonts w:hint="eastAsia" w:ascii="宋体" w:hAnsi="宋体"/>
          <w:color w:val="auto"/>
          <w:sz w:val="28"/>
          <w:szCs w:val="28"/>
          <w:highlight w:val="none"/>
        </w:rPr>
        <w:t>0年</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22</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0。</w:t>
      </w:r>
      <w:bookmarkStart w:id="8" w:name="_Hlk32349437"/>
    </w:p>
    <w:bookmarkEnd w:id="8"/>
    <w:p>
      <w:pPr>
        <w:widowControl/>
        <w:adjustRightInd w:val="0"/>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（3）邮寄送达地点：</w:t>
      </w:r>
      <w:r>
        <w:rPr>
          <w:rFonts w:hint="eastAsia" w:ascii="宋体" w:hAnsi="宋体" w:cs="宋体"/>
          <w:color w:val="auto"/>
          <w:kern w:val="0"/>
          <w:sz w:val="28"/>
          <w:szCs w:val="28"/>
          <w:highlight w:val="none"/>
        </w:rPr>
        <w:t>南京市浦口区宁六路219号</w:t>
      </w:r>
      <w:r>
        <w:rPr>
          <w:rFonts w:ascii="宋体" w:hAnsi="宋体" w:cs="宋体"/>
          <w:color w:val="auto"/>
          <w:kern w:val="0"/>
          <w:sz w:val="28"/>
          <w:szCs w:val="28"/>
          <w:highlight w:val="none"/>
        </w:rPr>
        <w:t>南京信息工程大学</w:t>
      </w:r>
      <w:r>
        <w:rPr>
          <w:rFonts w:hint="eastAsia" w:ascii="宋体" w:hAnsi="宋体"/>
          <w:color w:val="auto"/>
          <w:sz w:val="28"/>
          <w:szCs w:val="28"/>
          <w:highlight w:val="none"/>
        </w:rPr>
        <w:t>东苑大学生</w:t>
      </w:r>
      <w:bookmarkStart w:id="12" w:name="_GoBack"/>
      <w:r>
        <w:rPr>
          <w:rFonts w:hint="eastAsia" w:ascii="宋体" w:hAnsi="宋体"/>
          <w:color w:val="auto"/>
          <w:sz w:val="28"/>
          <w:szCs w:val="28"/>
          <w:highlight w:val="none"/>
        </w:rPr>
        <w:t>创业中心3号楼（体育馆北面三层小楼）210室</w:t>
      </w:r>
      <w:r>
        <w:rPr>
          <w:rFonts w:hint="eastAsia" w:ascii="宋体" w:hAnsi="宋体" w:cs="宋体"/>
          <w:color w:val="auto"/>
          <w:kern w:val="0"/>
          <w:sz w:val="28"/>
          <w:szCs w:val="28"/>
          <w:highlight w:val="none"/>
        </w:rPr>
        <w:t>财务处招标科。联系人：马老师、罗</w:t>
      </w:r>
      <w:bookmarkEnd w:id="12"/>
      <w:r>
        <w:rPr>
          <w:rFonts w:hint="eastAsia" w:ascii="宋体" w:hAnsi="宋体" w:cs="宋体"/>
          <w:color w:val="auto"/>
          <w:kern w:val="0"/>
          <w:sz w:val="28"/>
          <w:szCs w:val="28"/>
          <w:highlight w:val="none"/>
        </w:rPr>
        <w:t>老师、方老师；联系电话：025-58731441。</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5.开标、唱标和评标</w:t>
      </w:r>
    </w:p>
    <w:p>
      <w:pPr>
        <w:widowControl/>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（1）开标、唱标：202</w:t>
      </w:r>
      <w:r>
        <w:rPr>
          <w:rFonts w:hint="eastAsia" w:ascii="宋体" w:hAnsi="宋体"/>
          <w:color w:val="auto"/>
          <w:sz w:val="28"/>
          <w:szCs w:val="28"/>
          <w:highlight w:val="none"/>
        </w:rPr>
        <w:t>0年</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22</w:t>
      </w:r>
      <w:r>
        <w:rPr>
          <w:rFonts w:hint="eastAsia" w:ascii="宋体" w:hAnsi="宋体"/>
          <w:color w:val="auto"/>
          <w:sz w:val="28"/>
          <w:szCs w:val="28"/>
          <w:highlight w:val="none"/>
        </w:rPr>
        <w:t>日</w:t>
      </w:r>
      <w:r>
        <w:rPr>
          <w:rFonts w:hint="eastAsia" w:ascii="宋体" w:hAnsi="宋体"/>
          <w:color w:val="auto"/>
          <w:sz w:val="28"/>
          <w:szCs w:val="28"/>
          <w:highlight w:val="none"/>
          <w:lang w:val="en-US" w:eastAsia="zh-CN"/>
        </w:rPr>
        <w:t>9</w:t>
      </w: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0</w:t>
      </w:r>
      <w:r>
        <w:rPr>
          <w:rFonts w:hint="eastAsia" w:ascii="宋体" w:hAnsi="宋体"/>
          <w:color w:val="auto"/>
          <w:sz w:val="28"/>
          <w:szCs w:val="28"/>
          <w:highlight w:val="none"/>
        </w:rPr>
        <w:t>0；(不安排公开开标、唱标，由财务处招标科工作人员在我校纪检监察部门监督见证下进行，开标、唱标工作全程视频监控并录像)。</w:t>
      </w:r>
    </w:p>
    <w:p>
      <w:pPr>
        <w:snapToGrid w:val="0"/>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（2）唱标和开标地点：南京信息工程大学东苑大学生创业中心</w:t>
      </w:r>
      <w:r>
        <w:rPr>
          <w:rFonts w:ascii="宋体" w:hAnsi="宋体"/>
          <w:color w:val="auto"/>
          <w:sz w:val="28"/>
          <w:szCs w:val="28"/>
          <w:highlight w:val="none"/>
        </w:rPr>
        <w:t>3</w:t>
      </w:r>
      <w:r>
        <w:rPr>
          <w:rFonts w:hint="eastAsia" w:ascii="宋体" w:hAnsi="宋体"/>
          <w:color w:val="auto"/>
          <w:sz w:val="28"/>
          <w:szCs w:val="28"/>
          <w:highlight w:val="none"/>
        </w:rPr>
        <w:t>号楼（体育馆北面三层小楼）</w:t>
      </w:r>
      <w:r>
        <w:rPr>
          <w:rFonts w:ascii="宋体" w:hAnsi="宋体"/>
          <w:color w:val="auto"/>
          <w:sz w:val="28"/>
          <w:szCs w:val="28"/>
          <w:highlight w:val="none"/>
        </w:rPr>
        <w:t>210</w:t>
      </w:r>
      <w:r>
        <w:rPr>
          <w:rFonts w:hint="eastAsia" w:ascii="宋体" w:hAnsi="宋体"/>
          <w:color w:val="auto"/>
          <w:sz w:val="28"/>
          <w:szCs w:val="28"/>
          <w:highlight w:val="none"/>
        </w:rPr>
        <w:t>室。</w:t>
      </w:r>
    </w:p>
    <w:p>
      <w:pPr>
        <w:snapToGrid w:val="0"/>
        <w:spacing w:line="360" w:lineRule="auto"/>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6.相关单位联系人及电话</w:t>
      </w:r>
    </w:p>
    <w:p>
      <w:pPr>
        <w:snapToGrid w:val="0"/>
        <w:spacing w:line="360" w:lineRule="auto"/>
        <w:ind w:firstLine="425" w:firstLineChars="152"/>
        <w:rPr>
          <w:rFonts w:ascii="宋体"/>
          <w:color w:val="auto"/>
          <w:sz w:val="28"/>
          <w:szCs w:val="28"/>
          <w:highlight w:val="none"/>
        </w:rPr>
      </w:pPr>
      <w:r>
        <w:rPr>
          <w:rFonts w:hint="eastAsia" w:ascii="宋体" w:hAnsi="宋体"/>
          <w:color w:val="auto"/>
          <w:sz w:val="28"/>
          <w:szCs w:val="28"/>
          <w:highlight w:val="none"/>
        </w:rPr>
        <w:t>（</w:t>
      </w:r>
      <w:r>
        <w:rPr>
          <w:rFonts w:ascii="宋体" w:hAnsi="宋体"/>
          <w:color w:val="auto"/>
          <w:sz w:val="28"/>
          <w:szCs w:val="28"/>
          <w:highlight w:val="none"/>
        </w:rPr>
        <w:t>1</w:t>
      </w:r>
      <w:r>
        <w:rPr>
          <w:rFonts w:hint="eastAsia" w:ascii="宋体" w:hAnsi="宋体"/>
          <w:color w:val="auto"/>
          <w:sz w:val="28"/>
          <w:szCs w:val="28"/>
          <w:highlight w:val="none"/>
        </w:rPr>
        <w:t>）财务处招标科（招投标管理业务单位）：联系电话：</w:t>
      </w:r>
      <w:r>
        <w:rPr>
          <w:rFonts w:ascii="宋体" w:hAnsi="宋体"/>
          <w:color w:val="auto"/>
          <w:sz w:val="28"/>
          <w:szCs w:val="28"/>
          <w:highlight w:val="none"/>
        </w:rPr>
        <w:t>025-58731441</w:t>
      </w:r>
      <w:r>
        <w:rPr>
          <w:rFonts w:hint="eastAsia" w:ascii="宋体" w:hAnsi="宋体"/>
          <w:color w:val="auto"/>
          <w:sz w:val="28"/>
          <w:szCs w:val="28"/>
          <w:highlight w:val="none"/>
        </w:rPr>
        <w:t>，联系人：马老师、罗老师、方老师；</w:t>
      </w:r>
    </w:p>
    <w:p>
      <w:pPr>
        <w:snapToGrid w:val="0"/>
        <w:spacing w:line="360" w:lineRule="auto"/>
        <w:ind w:firstLine="425" w:firstLineChars="152"/>
        <w:rPr>
          <w:rFonts w:ascii="宋体" w:hAnsi="宋体"/>
          <w:color w:val="auto"/>
          <w:sz w:val="28"/>
          <w:szCs w:val="28"/>
          <w:highlight w:val="none"/>
        </w:rPr>
      </w:pPr>
      <w:r>
        <w:rPr>
          <w:rFonts w:hint="eastAsia" w:ascii="宋体" w:hAnsi="宋体"/>
          <w:color w:val="auto"/>
          <w:sz w:val="28"/>
          <w:szCs w:val="28"/>
          <w:highlight w:val="none"/>
        </w:rPr>
        <w:t>（2）</w:t>
      </w:r>
      <w:bookmarkEnd w:id="7"/>
      <w:r>
        <w:rPr>
          <w:rFonts w:hint="eastAsia" w:ascii="宋体" w:hAnsi="宋体"/>
          <w:color w:val="auto"/>
          <w:sz w:val="28"/>
          <w:szCs w:val="28"/>
          <w:highlight w:val="none"/>
        </w:rPr>
        <w:t>用户单位联系电话：13951670255，联系人：姚老师。</w:t>
      </w:r>
    </w:p>
    <w:p>
      <w:pPr>
        <w:tabs>
          <w:tab w:val="left" w:pos="1260"/>
        </w:tabs>
        <w:spacing w:line="360" w:lineRule="auto"/>
        <w:ind w:left="1959" w:leftChars="933" w:firstLine="2530" w:firstLineChars="900"/>
        <w:rPr>
          <w:rFonts w:ascii="宋体"/>
          <w:b/>
          <w:color w:val="auto"/>
          <w:sz w:val="28"/>
          <w:szCs w:val="28"/>
          <w:highlight w:val="none"/>
        </w:rPr>
      </w:pPr>
      <w:bookmarkStart w:id="9" w:name="_Hlk9866962"/>
      <w:r>
        <w:rPr>
          <w:rFonts w:hint="eastAsia" w:ascii="宋体" w:hAnsi="宋体"/>
          <w:b/>
          <w:color w:val="auto"/>
          <w:sz w:val="28"/>
          <w:szCs w:val="28"/>
          <w:highlight w:val="none"/>
        </w:rPr>
        <w:t>南京信息工程大学财务处</w:t>
      </w:r>
    </w:p>
    <w:p>
      <w:pPr>
        <w:pStyle w:val="9"/>
        <w:spacing w:line="360" w:lineRule="auto"/>
        <w:ind w:left="99" w:leftChars="47" w:firstLine="4919" w:firstLineChars="1750"/>
        <w:rPr>
          <w:rStyle w:val="39"/>
          <w:rFonts w:ascii="宋体" w:hAnsi="Times New Roman" w:eastAsia="宋体"/>
          <w:color w:val="auto"/>
          <w:sz w:val="28"/>
          <w:szCs w:val="28"/>
          <w:highlight w:val="none"/>
        </w:rPr>
      </w:pPr>
      <w:r>
        <w:rPr>
          <w:rStyle w:val="39"/>
          <w:rFonts w:ascii="宋体" w:hAnsi="宋体" w:eastAsia="宋体"/>
          <w:color w:val="auto"/>
          <w:sz w:val="28"/>
          <w:szCs w:val="28"/>
          <w:highlight w:val="none"/>
        </w:rPr>
        <w:t>20</w:t>
      </w:r>
      <w:r>
        <w:rPr>
          <w:rStyle w:val="39"/>
          <w:rFonts w:hint="eastAsia" w:ascii="宋体" w:hAnsi="宋体" w:eastAsia="宋体"/>
          <w:color w:val="auto"/>
          <w:sz w:val="28"/>
          <w:szCs w:val="28"/>
          <w:highlight w:val="none"/>
        </w:rPr>
        <w:t>20年0</w:t>
      </w:r>
      <w:r>
        <w:rPr>
          <w:rStyle w:val="39"/>
          <w:rFonts w:hint="eastAsia" w:ascii="宋体" w:hAnsi="宋体"/>
          <w:color w:val="auto"/>
          <w:sz w:val="28"/>
          <w:szCs w:val="28"/>
          <w:highlight w:val="none"/>
          <w:lang w:val="en-US"/>
        </w:rPr>
        <w:t>7</w:t>
      </w:r>
      <w:r>
        <w:rPr>
          <w:rStyle w:val="39"/>
          <w:rFonts w:hint="eastAsia" w:ascii="宋体" w:hAnsi="宋体" w:eastAsia="宋体"/>
          <w:color w:val="auto"/>
          <w:sz w:val="28"/>
          <w:szCs w:val="28"/>
          <w:highlight w:val="none"/>
        </w:rPr>
        <w:t>月</w:t>
      </w:r>
      <w:r>
        <w:rPr>
          <w:rStyle w:val="39"/>
          <w:rFonts w:hint="eastAsia" w:ascii="宋体" w:hAnsi="宋体"/>
          <w:color w:val="auto"/>
          <w:sz w:val="28"/>
          <w:szCs w:val="28"/>
          <w:highlight w:val="none"/>
          <w:lang w:val="en-US"/>
        </w:rPr>
        <w:t>02</w:t>
      </w:r>
      <w:r>
        <w:rPr>
          <w:rStyle w:val="39"/>
          <w:rFonts w:hint="eastAsia" w:ascii="宋体" w:hAnsi="宋体" w:eastAsia="宋体"/>
          <w:color w:val="auto"/>
          <w:sz w:val="28"/>
          <w:szCs w:val="28"/>
          <w:highlight w:val="none"/>
        </w:rPr>
        <w:t>日</w:t>
      </w:r>
    </w:p>
    <w:bookmarkEnd w:id="9"/>
    <w:p>
      <w:pPr>
        <w:pStyle w:val="8"/>
        <w:adjustRightInd w:val="0"/>
        <w:snapToGrid w:val="0"/>
        <w:spacing w:before="120" w:after="120" w:line="360" w:lineRule="auto"/>
        <w:rPr>
          <w:rFonts w:ascii="Times New Roman" w:hAnsi="Times New Roman"/>
          <w:color w:val="auto"/>
          <w:sz w:val="24"/>
          <w:szCs w:val="24"/>
          <w:highlight w:val="none"/>
        </w:rPr>
      </w:pPr>
      <w:r>
        <w:rPr>
          <w:rStyle w:val="39"/>
          <w:rFonts w:ascii="宋体" w:hAnsi="Times New Roman" w:eastAsia="宋体"/>
          <w:b w:val="0"/>
          <w:color w:val="auto"/>
          <w:sz w:val="28"/>
          <w:szCs w:val="28"/>
          <w:highlight w:val="none"/>
        </w:rPr>
        <w:br w:type="page"/>
      </w:r>
      <w:bookmarkStart w:id="10" w:name="_Toc462564147"/>
      <w:r>
        <w:rPr>
          <w:rFonts w:ascii="Times New Roman" w:hAnsi="Times New Roman"/>
          <w:b/>
          <w:bCs/>
          <w:color w:val="auto"/>
          <w:sz w:val="24"/>
          <w:szCs w:val="24"/>
          <w:highlight w:val="none"/>
        </w:rPr>
        <w:t>附件1：</w:t>
      </w:r>
    </w:p>
    <w:p>
      <w:pPr>
        <w:widowControl/>
        <w:jc w:val="left"/>
        <w:rPr>
          <w:rStyle w:val="39"/>
          <w:rFonts w:ascii="宋体" w:hAnsi="宋体" w:eastAsia="宋体"/>
          <w:b w:val="0"/>
          <w:color w:val="auto"/>
          <w:sz w:val="28"/>
          <w:szCs w:val="28"/>
          <w:highlight w:val="none"/>
        </w:rPr>
      </w:pPr>
    </w:p>
    <w:p>
      <w:pPr>
        <w:spacing w:line="300" w:lineRule="auto"/>
        <w:ind w:left="180"/>
        <w:jc w:val="center"/>
        <w:rPr>
          <w:rFonts w:ascii="宋体" w:hAnsi="宋体"/>
          <w:b/>
          <w:bCs/>
          <w:color w:val="auto"/>
          <w:sz w:val="24"/>
          <w:highlight w:val="none"/>
        </w:rPr>
      </w:pPr>
      <w:r>
        <w:rPr>
          <w:rFonts w:ascii="宋体" w:hAnsi="宋体"/>
          <w:b/>
          <w:bCs/>
          <w:color w:val="auto"/>
          <w:sz w:val="24"/>
          <w:highlight w:val="none"/>
        </w:rPr>
        <w:t>招标项目设备名称、数量、主要技术要求及其他要求</w:t>
      </w:r>
    </w:p>
    <w:tbl>
      <w:tblPr>
        <w:tblStyle w:val="15"/>
        <w:tblW w:w="5000" w:type="pct"/>
        <w:tblInd w:w="0" w:type="dxa"/>
        <w:tblLayout w:type="fixed"/>
        <w:tblCellMar>
          <w:top w:w="15" w:type="dxa"/>
          <w:left w:w="15" w:type="dxa"/>
          <w:bottom w:w="15" w:type="dxa"/>
          <w:right w:w="15" w:type="dxa"/>
        </w:tblCellMar>
      </w:tblPr>
      <w:tblGrid>
        <w:gridCol w:w="626"/>
        <w:gridCol w:w="2115"/>
        <w:gridCol w:w="2084"/>
        <w:gridCol w:w="1093"/>
        <w:gridCol w:w="815"/>
        <w:gridCol w:w="3503"/>
      </w:tblGrid>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分包</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仪器设备名称</w:t>
            </w:r>
          </w:p>
        </w:tc>
        <w:tc>
          <w:tcPr>
            <w:tcW w:w="101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参考型号</w:t>
            </w:r>
          </w:p>
        </w:tc>
        <w:tc>
          <w:tcPr>
            <w:tcW w:w="534"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主要配置或技术参数</w:t>
            </w:r>
          </w:p>
        </w:tc>
      </w:tr>
      <w:tr>
        <w:tblPrEx>
          <w:tblCellMar>
            <w:top w:w="15" w:type="dxa"/>
            <w:left w:w="15" w:type="dxa"/>
            <w:bottom w:w="15" w:type="dxa"/>
            <w:right w:w="15" w:type="dxa"/>
          </w:tblCellMar>
        </w:tblPrEx>
        <w:tc>
          <w:tcPr>
            <w:tcW w:w="306"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1</w:t>
            </w:r>
          </w:p>
        </w:tc>
        <w:tc>
          <w:tcPr>
            <w:tcW w:w="1033"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hint="eastAsia" w:ascii="宋体" w:hAnsi="宋体"/>
                <w:color w:val="auto"/>
                <w:sz w:val="24"/>
                <w:highlight w:val="none"/>
              </w:rPr>
              <w:t>WR0.65FM型混频器</w:t>
            </w:r>
          </w:p>
        </w:tc>
        <w:tc>
          <w:tcPr>
            <w:tcW w:w="101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p>
        </w:tc>
        <w:tc>
          <w:tcPr>
            <w:tcW w:w="534"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hint="eastAsia" w:ascii="宋体" w:hAnsi="宋体"/>
                <w:color w:val="auto"/>
                <w:sz w:val="24"/>
                <w:highlight w:val="none"/>
              </w:rPr>
              <w:t>套</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hint="eastAsia" w:ascii="宋体" w:hAnsi="宋体"/>
                <w:color w:val="auto"/>
                <w:sz w:val="24"/>
                <w:highlight w:val="none"/>
              </w:rPr>
              <w:t>2</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00" w:lineRule="auto"/>
              <w:jc w:val="center"/>
              <w:textAlignment w:val="center"/>
              <w:rPr>
                <w:rFonts w:ascii="宋体" w:hAnsi="宋体"/>
                <w:color w:val="auto"/>
                <w:sz w:val="24"/>
                <w:highlight w:val="none"/>
              </w:rPr>
            </w:pPr>
            <w:r>
              <w:rPr>
                <w:rFonts w:ascii="宋体" w:hAnsi="宋体"/>
                <w:color w:val="auto"/>
                <w:sz w:val="24"/>
                <w:highlight w:val="none"/>
              </w:rPr>
              <w:t>详见表后内容</w:t>
            </w:r>
          </w:p>
        </w:tc>
      </w:tr>
    </w:tbl>
    <w:p>
      <w:pPr>
        <w:spacing w:beforeLines="50" w:line="300" w:lineRule="auto"/>
        <w:rPr>
          <w:rFonts w:ascii="宋体" w:hAnsi="宋体"/>
          <w:b/>
          <w:bCs/>
          <w:color w:val="auto"/>
          <w:sz w:val="24"/>
          <w:highlight w:val="none"/>
        </w:rPr>
      </w:pPr>
      <w:r>
        <w:rPr>
          <w:rFonts w:ascii="宋体" w:hAnsi="宋体"/>
          <w:b/>
          <w:bCs/>
          <w:color w:val="auto"/>
          <w:sz w:val="24"/>
          <w:highlight w:val="none"/>
        </w:rPr>
        <w:t>以上所有设备要求免费质保期至少1年。</w:t>
      </w:r>
    </w:p>
    <w:p>
      <w:pPr>
        <w:spacing w:line="300" w:lineRule="auto"/>
        <w:rPr>
          <w:rFonts w:ascii="宋体" w:hAnsi="宋体"/>
          <w:b/>
          <w:color w:val="auto"/>
          <w:sz w:val="24"/>
          <w:highlight w:val="none"/>
        </w:rPr>
      </w:pPr>
    </w:p>
    <w:p>
      <w:pPr>
        <w:spacing w:line="300" w:lineRule="auto"/>
        <w:rPr>
          <w:rFonts w:ascii="宋体" w:hAnsi="宋体"/>
          <w:b/>
          <w:bCs/>
          <w:color w:val="auto"/>
          <w:sz w:val="24"/>
          <w:highlight w:val="none"/>
        </w:rPr>
      </w:pPr>
      <w:r>
        <w:rPr>
          <w:rFonts w:hint="eastAsia" w:ascii="宋体" w:hAnsi="宋体"/>
          <w:b/>
          <w:bCs/>
          <w:color w:val="auto"/>
          <w:sz w:val="24"/>
          <w:highlight w:val="none"/>
        </w:rPr>
        <w:t>1.</w:t>
      </w:r>
      <w:r>
        <w:rPr>
          <w:rFonts w:ascii="宋体" w:hAnsi="宋体"/>
          <w:b/>
          <w:bCs/>
          <w:color w:val="auto"/>
          <w:sz w:val="24"/>
          <w:highlight w:val="none"/>
        </w:rPr>
        <w:t>主要配置或技术参数：（标注“</w:t>
      </w:r>
      <w:r>
        <w:rPr>
          <w:rFonts w:hint="eastAsia" w:ascii="宋体" w:hAnsi="宋体"/>
          <w:b/>
          <w:bCs/>
          <w:color w:val="auto"/>
          <w:sz w:val="24"/>
          <w:highlight w:val="none"/>
        </w:rPr>
        <w:t>★</w:t>
      </w:r>
      <w:r>
        <w:rPr>
          <w:rFonts w:ascii="宋体" w:hAnsi="宋体"/>
          <w:b/>
          <w:bCs/>
          <w:color w:val="auto"/>
          <w:sz w:val="24"/>
          <w:highlight w:val="none"/>
        </w:rPr>
        <w:t>”指标为必须满足项，不满足按</w:t>
      </w:r>
      <w:r>
        <w:rPr>
          <w:rFonts w:hint="eastAsia" w:ascii="宋体" w:hAnsi="宋体"/>
          <w:b/>
          <w:bCs/>
          <w:color w:val="auto"/>
          <w:sz w:val="24"/>
          <w:highlight w:val="none"/>
        </w:rPr>
        <w:t>无效标</w:t>
      </w:r>
      <w:r>
        <w:rPr>
          <w:rFonts w:ascii="宋体" w:hAnsi="宋体"/>
          <w:b/>
          <w:bCs/>
          <w:color w:val="auto"/>
          <w:sz w:val="24"/>
          <w:highlight w:val="none"/>
        </w:rPr>
        <w:t>处理。）</w:t>
      </w:r>
    </w:p>
    <w:p>
      <w:pPr>
        <w:spacing w:line="300" w:lineRule="auto"/>
        <w:rPr>
          <w:rFonts w:ascii="宋体" w:hAnsi="宋体"/>
          <w:b/>
          <w:bCs/>
          <w:color w:val="auto"/>
          <w:sz w:val="24"/>
          <w:highlight w:val="none"/>
        </w:rPr>
      </w:pPr>
      <w:r>
        <w:rPr>
          <w:rFonts w:hint="eastAsia" w:ascii="宋体" w:hAnsi="宋体"/>
          <w:b/>
          <w:bCs/>
          <w:color w:val="auto"/>
          <w:sz w:val="24"/>
          <w:highlight w:val="none"/>
        </w:rPr>
        <w:t>拟采购WR0.65FM型混频器技术参数见下表</w:t>
      </w:r>
    </w:p>
    <w:p>
      <w:pPr>
        <w:numPr>
          <w:ilvl w:val="1"/>
          <w:numId w:val="1"/>
        </w:numPr>
        <w:spacing w:beforeLines="50" w:afterLines="50" w:line="300" w:lineRule="auto"/>
        <w:rPr>
          <w:rFonts w:ascii="宋体" w:hAnsi="宋体" w:cs="Arial"/>
          <w:color w:val="auto"/>
          <w:highlight w:val="none"/>
        </w:rPr>
      </w:pPr>
      <w:r>
        <w:rPr>
          <w:rFonts w:ascii="宋体" w:hAnsi="宋体" w:cs="Arial"/>
          <w:color w:val="auto"/>
          <w:highlight w:val="none"/>
        </w:rPr>
        <w:t>技术指标</w:t>
      </w:r>
    </w:p>
    <w:p>
      <w:pPr>
        <w:pStyle w:val="32"/>
        <w:widowControl w:val="0"/>
        <w:numPr>
          <w:ilvl w:val="0"/>
          <w:numId w:val="2"/>
        </w:numPr>
        <w:spacing w:line="360" w:lineRule="auto"/>
        <w:ind w:firstLineChars="0"/>
        <w:jc w:val="both"/>
        <w:rPr>
          <w:color w:val="auto"/>
          <w:sz w:val="24"/>
          <w:szCs w:val="24"/>
          <w:highlight w:val="none"/>
        </w:rPr>
      </w:pPr>
      <w:r>
        <w:rPr>
          <w:color w:val="auto"/>
          <w:sz w:val="24"/>
          <w:szCs w:val="24"/>
          <w:highlight w:val="none"/>
        </w:rPr>
        <w:t>电性能指标</w:t>
      </w:r>
    </w:p>
    <w:p>
      <w:pPr>
        <w:spacing w:line="360" w:lineRule="auto"/>
        <w:ind w:left="480"/>
        <w:rPr>
          <w:color w:val="auto"/>
          <w:sz w:val="24"/>
          <w:highlight w:val="none"/>
        </w:rPr>
      </w:pPr>
      <w:r>
        <w:rPr>
          <w:rFonts w:hint="eastAsia" w:ascii="宋体" w:hAnsi="宋体"/>
          <w:b/>
          <w:color w:val="auto"/>
          <w:sz w:val="28"/>
          <w:szCs w:val="28"/>
          <w:highlight w:val="none"/>
        </w:rPr>
        <w:t>★</w:t>
      </w:r>
      <w:r>
        <w:rPr>
          <w:rFonts w:hint="eastAsia" w:ascii="Segoe UI Symbol" w:hAnsi="Segoe UI Symbol" w:cs="Segoe UI Symbol" w:eastAsiaTheme="minorEastAsia"/>
          <w:bCs/>
          <w:color w:val="auto"/>
          <w:szCs w:val="21"/>
          <w:highlight w:val="none"/>
        </w:rPr>
        <w:t>（1）</w:t>
      </w:r>
      <w:r>
        <w:rPr>
          <w:color w:val="auto"/>
          <w:sz w:val="24"/>
          <w:highlight w:val="none"/>
        </w:rPr>
        <w:t>频率：</w:t>
      </w:r>
      <w:r>
        <w:rPr>
          <w:rFonts w:hint="eastAsia"/>
          <w:color w:val="auto"/>
          <w:sz w:val="24"/>
          <w:highlight w:val="none"/>
        </w:rPr>
        <w:t>1100-1700GHz</w:t>
      </w:r>
      <w:r>
        <w:rPr>
          <w:color w:val="auto"/>
          <w:sz w:val="24"/>
          <w:highlight w:val="none"/>
        </w:rPr>
        <w:t>；</w:t>
      </w:r>
    </w:p>
    <w:p>
      <w:pPr>
        <w:spacing w:line="360" w:lineRule="auto"/>
        <w:ind w:left="480"/>
        <w:rPr>
          <w:color w:val="auto"/>
          <w:sz w:val="24"/>
          <w:highlight w:val="none"/>
        </w:rPr>
      </w:pPr>
      <w:r>
        <w:rPr>
          <w:rFonts w:hint="eastAsia" w:ascii="宋体" w:hAnsi="宋体"/>
          <w:b/>
          <w:color w:val="auto"/>
          <w:sz w:val="28"/>
          <w:szCs w:val="28"/>
          <w:highlight w:val="none"/>
        </w:rPr>
        <w:t>★</w:t>
      </w:r>
      <w:r>
        <w:rPr>
          <w:rFonts w:hint="eastAsia" w:ascii="Segoe UI Symbol" w:hAnsi="Segoe UI Symbol" w:cs="Segoe UI Symbol" w:eastAsiaTheme="minorEastAsia"/>
          <w:bCs/>
          <w:color w:val="auto"/>
          <w:szCs w:val="21"/>
          <w:highlight w:val="none"/>
        </w:rPr>
        <w:t>（2）</w:t>
      </w:r>
      <w:r>
        <w:rPr>
          <w:rFonts w:hint="eastAsia"/>
          <w:color w:val="auto"/>
          <w:sz w:val="24"/>
          <w:highlight w:val="none"/>
        </w:rPr>
        <w:t>变频损耗（典型值）：20dB Typ.；</w:t>
      </w:r>
    </w:p>
    <w:p>
      <w:pPr>
        <w:spacing w:line="360" w:lineRule="auto"/>
        <w:ind w:firstLine="720" w:firstLineChars="300"/>
        <w:rPr>
          <w:color w:val="auto"/>
          <w:sz w:val="24"/>
          <w:highlight w:val="none"/>
        </w:rPr>
      </w:pPr>
      <w:r>
        <w:rPr>
          <w:rFonts w:hint="eastAsia"/>
          <w:color w:val="auto"/>
          <w:sz w:val="24"/>
          <w:highlight w:val="none"/>
        </w:rPr>
        <w:t>（3）最大中频带宽：40GHz；</w:t>
      </w:r>
    </w:p>
    <w:p>
      <w:pPr>
        <w:spacing w:line="360" w:lineRule="auto"/>
        <w:ind w:left="480"/>
        <w:rPr>
          <w:color w:val="auto"/>
          <w:sz w:val="24"/>
          <w:highlight w:val="none"/>
        </w:rPr>
      </w:pPr>
      <w:r>
        <w:rPr>
          <w:rFonts w:hint="eastAsia" w:ascii="宋体" w:hAnsi="宋体"/>
          <w:b/>
          <w:color w:val="auto"/>
          <w:sz w:val="28"/>
          <w:szCs w:val="28"/>
          <w:highlight w:val="none"/>
        </w:rPr>
        <w:t>★</w:t>
      </w:r>
      <w:r>
        <w:rPr>
          <w:rFonts w:hint="eastAsia"/>
          <w:color w:val="auto"/>
          <w:sz w:val="24"/>
          <w:highlight w:val="none"/>
        </w:rPr>
        <w:t>（4）本振功率：~1mW；</w:t>
      </w:r>
    </w:p>
    <w:p>
      <w:pPr>
        <w:spacing w:line="360" w:lineRule="auto"/>
        <w:ind w:left="480"/>
        <w:rPr>
          <w:color w:val="auto"/>
          <w:sz w:val="24"/>
          <w:highlight w:val="none"/>
        </w:rPr>
      </w:pPr>
      <w:r>
        <w:rPr>
          <w:rFonts w:hint="eastAsia" w:ascii="宋体" w:hAnsi="宋体"/>
          <w:b/>
          <w:color w:val="auto"/>
          <w:sz w:val="28"/>
          <w:szCs w:val="28"/>
          <w:highlight w:val="none"/>
        </w:rPr>
        <w:t>★</w:t>
      </w:r>
      <w:r>
        <w:rPr>
          <w:rFonts w:hint="eastAsia"/>
          <w:color w:val="auto"/>
          <w:sz w:val="24"/>
          <w:highlight w:val="none"/>
        </w:rPr>
        <w:t>（5）天线 3dB 波束宽度：10deg；</w:t>
      </w:r>
    </w:p>
    <w:p>
      <w:pPr>
        <w:spacing w:line="360" w:lineRule="auto"/>
        <w:ind w:left="480"/>
        <w:rPr>
          <w:color w:val="auto"/>
          <w:sz w:val="24"/>
          <w:highlight w:val="none"/>
        </w:rPr>
      </w:pPr>
      <w:r>
        <w:rPr>
          <w:rFonts w:hint="eastAsia" w:ascii="宋体" w:hAnsi="宋体"/>
          <w:b/>
          <w:color w:val="auto"/>
          <w:sz w:val="28"/>
          <w:szCs w:val="28"/>
          <w:highlight w:val="none"/>
        </w:rPr>
        <w:t>★</w:t>
      </w:r>
      <w:r>
        <w:rPr>
          <w:rFonts w:hint="eastAsia"/>
          <w:color w:val="auto"/>
          <w:sz w:val="24"/>
          <w:highlight w:val="none"/>
        </w:rPr>
        <w:t>（6）天线束腰半径：0.45mm；</w:t>
      </w:r>
    </w:p>
    <w:p>
      <w:pPr>
        <w:spacing w:line="360" w:lineRule="auto"/>
        <w:ind w:left="480"/>
        <w:rPr>
          <w:color w:val="auto"/>
          <w:sz w:val="24"/>
          <w:highlight w:val="none"/>
        </w:rPr>
      </w:pPr>
      <w:r>
        <w:rPr>
          <w:rFonts w:hint="eastAsia"/>
          <w:color w:val="auto"/>
          <w:sz w:val="24"/>
          <w:highlight w:val="none"/>
        </w:rPr>
        <w:t>（7）天线口径：1.1mm。</w:t>
      </w:r>
    </w:p>
    <w:p>
      <w:pPr>
        <w:pStyle w:val="32"/>
        <w:widowControl w:val="0"/>
        <w:numPr>
          <w:ilvl w:val="0"/>
          <w:numId w:val="2"/>
        </w:numPr>
        <w:spacing w:line="360" w:lineRule="auto"/>
        <w:ind w:firstLineChars="0"/>
        <w:jc w:val="both"/>
        <w:rPr>
          <w:color w:val="auto"/>
          <w:sz w:val="24"/>
          <w:szCs w:val="24"/>
          <w:highlight w:val="none"/>
        </w:rPr>
      </w:pPr>
      <w:r>
        <w:rPr>
          <w:color w:val="auto"/>
          <w:sz w:val="24"/>
          <w:szCs w:val="24"/>
          <w:highlight w:val="none"/>
        </w:rPr>
        <w:t>结构及接口要求</w:t>
      </w:r>
    </w:p>
    <w:p>
      <w:pPr>
        <w:spacing w:line="360" w:lineRule="auto"/>
        <w:ind w:left="480"/>
        <w:rPr>
          <w:color w:val="auto"/>
          <w:sz w:val="24"/>
          <w:highlight w:val="none"/>
        </w:rPr>
      </w:pPr>
      <w:r>
        <w:rPr>
          <w:rFonts w:hint="eastAsia"/>
          <w:color w:val="auto"/>
          <w:sz w:val="28"/>
          <w:szCs w:val="28"/>
          <w:highlight w:val="none"/>
        </w:rPr>
        <w:t>▲</w:t>
      </w:r>
      <w:r>
        <w:rPr>
          <w:rFonts w:hint="eastAsia"/>
          <w:color w:val="auto"/>
          <w:sz w:val="24"/>
          <w:highlight w:val="none"/>
        </w:rPr>
        <w:t>（1）RF&amp;LO 法兰：WM-164（WR-0.65）UG-387/U-M，一个输入口；</w:t>
      </w:r>
    </w:p>
    <w:p>
      <w:pPr>
        <w:spacing w:line="360" w:lineRule="auto"/>
        <w:ind w:left="480" w:firstLine="240" w:firstLineChars="100"/>
        <w:rPr>
          <w:color w:val="auto"/>
          <w:sz w:val="24"/>
          <w:highlight w:val="none"/>
        </w:rPr>
      </w:pPr>
      <w:r>
        <w:rPr>
          <w:rFonts w:hint="eastAsia"/>
          <w:color w:val="auto"/>
          <w:sz w:val="24"/>
          <w:highlight w:val="none"/>
        </w:rPr>
        <w:t>（2）包括偏置电源（需要-5V输入）和偏置器（0.1MHz-6GHz）；</w:t>
      </w:r>
    </w:p>
    <w:p>
      <w:pPr>
        <w:spacing w:line="360" w:lineRule="auto"/>
        <w:ind w:left="480"/>
        <w:rPr>
          <w:color w:val="auto"/>
          <w:highlight w:val="none"/>
        </w:rPr>
      </w:pPr>
      <w:r>
        <w:rPr>
          <w:rFonts w:hint="eastAsia"/>
          <w:color w:val="auto"/>
          <w:sz w:val="28"/>
          <w:szCs w:val="28"/>
          <w:highlight w:val="none"/>
        </w:rPr>
        <w:t>▲</w:t>
      </w:r>
      <w:r>
        <w:rPr>
          <w:rFonts w:hint="eastAsia"/>
          <w:color w:val="auto"/>
          <w:sz w:val="24"/>
          <w:highlight w:val="none"/>
        </w:rPr>
        <w:t>（3）混频器与天线一体集成；</w:t>
      </w:r>
    </w:p>
    <w:p>
      <w:pPr>
        <w:pStyle w:val="8"/>
        <w:adjustRightInd w:val="0"/>
        <w:snapToGrid w:val="0"/>
        <w:spacing w:before="120" w:after="120" w:line="360" w:lineRule="auto"/>
        <w:rPr>
          <w:rFonts w:hAnsi="宋体"/>
          <w:b/>
          <w:color w:val="auto"/>
          <w:sz w:val="28"/>
          <w:szCs w:val="28"/>
          <w:highlight w:val="none"/>
        </w:rPr>
      </w:pPr>
      <w:r>
        <w:rPr>
          <w:rFonts w:hint="eastAsia" w:hAnsi="宋体"/>
          <w:b/>
          <w:color w:val="auto"/>
          <w:sz w:val="28"/>
          <w:szCs w:val="28"/>
          <w:highlight w:val="none"/>
        </w:rPr>
        <w:t>注：</w:t>
      </w:r>
      <w:r>
        <w:rPr>
          <w:rFonts w:hint="eastAsia" w:hAnsi="宋体"/>
          <w:b/>
          <w:color w:val="auto"/>
          <w:sz w:val="28"/>
          <w:szCs w:val="28"/>
          <w:highlight w:val="none"/>
          <w:u w:val="single"/>
        </w:rPr>
        <w:t>报价时必须注明或说明品牌中具体投标品牌，否则投标无效。</w:t>
      </w:r>
    </w:p>
    <w:p>
      <w:pPr>
        <w:spacing w:line="360" w:lineRule="auto"/>
        <w:rPr>
          <w:rFonts w:ascii="宋体" w:hAnsi="宋体"/>
          <w:b/>
          <w:color w:val="auto"/>
          <w:sz w:val="28"/>
          <w:szCs w:val="28"/>
          <w:highlight w:val="none"/>
        </w:rPr>
      </w:pPr>
      <w:r>
        <w:rPr>
          <w:rFonts w:hint="eastAsia" w:ascii="宋体" w:hAnsi="宋体"/>
          <w:b/>
          <w:color w:val="auto"/>
          <w:sz w:val="28"/>
          <w:szCs w:val="28"/>
          <w:highlight w:val="none"/>
        </w:rPr>
        <w:t>★</w:t>
      </w:r>
      <w:r>
        <w:rPr>
          <w:rFonts w:hint="eastAsia"/>
          <w:color w:val="auto"/>
          <w:sz w:val="28"/>
          <w:szCs w:val="28"/>
          <w:highlight w:val="none"/>
        </w:rPr>
        <w:t>▲</w:t>
      </w:r>
      <w:r>
        <w:rPr>
          <w:rFonts w:hint="eastAsia" w:ascii="宋体" w:hAnsi="宋体"/>
          <w:b/>
          <w:color w:val="auto"/>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color w:val="auto"/>
          <w:sz w:val="36"/>
          <w:szCs w:val="36"/>
          <w:highlight w:val="none"/>
        </w:rPr>
      </w:pPr>
      <w:r>
        <w:rPr>
          <w:rFonts w:hint="eastAsia" w:hAnsi="宋体"/>
          <w:b/>
          <w:color w:val="auto"/>
          <w:sz w:val="28"/>
          <w:szCs w:val="28"/>
          <w:highlight w:val="none"/>
        </w:rPr>
        <w:t>附件</w:t>
      </w:r>
      <w:r>
        <w:rPr>
          <w:rFonts w:hAnsi="宋体"/>
          <w:b/>
          <w:color w:val="auto"/>
          <w:sz w:val="28"/>
          <w:szCs w:val="28"/>
          <w:highlight w:val="none"/>
        </w:rPr>
        <w:t>2</w:t>
      </w:r>
      <w:r>
        <w:rPr>
          <w:rFonts w:hint="eastAsia" w:hAnsi="宋体"/>
          <w:b/>
          <w:color w:val="auto"/>
          <w:sz w:val="28"/>
          <w:szCs w:val="28"/>
          <w:highlight w:val="none"/>
        </w:rPr>
        <w:t>：</w:t>
      </w:r>
    </w:p>
    <w:p>
      <w:pPr>
        <w:tabs>
          <w:tab w:val="left" w:pos="3270"/>
        </w:tabs>
        <w:autoSpaceDE w:val="0"/>
        <w:autoSpaceDN w:val="0"/>
        <w:adjustRightInd w:val="0"/>
        <w:spacing w:line="360" w:lineRule="exact"/>
        <w:rPr>
          <w:rFonts w:ascii="宋体" w:hAnsi="宋体"/>
          <w:b/>
          <w:color w:val="auto"/>
          <w:sz w:val="24"/>
          <w:highlight w:val="none"/>
          <w:lang w:val="zh-CN"/>
        </w:rPr>
      </w:pPr>
      <w:bookmarkStart w:id="11" w:name="_Hlk9862420"/>
    </w:p>
    <w:p>
      <w:pPr>
        <w:autoSpaceDE w:val="0"/>
        <w:autoSpaceDN w:val="0"/>
        <w:adjustRightInd w:val="0"/>
        <w:spacing w:line="360" w:lineRule="exact"/>
        <w:ind w:firstLine="723" w:firstLineChars="200"/>
        <w:jc w:val="center"/>
        <w:rPr>
          <w:rFonts w:ascii="宋体" w:hAnsi="宋体"/>
          <w:b/>
          <w:color w:val="auto"/>
          <w:sz w:val="36"/>
          <w:szCs w:val="36"/>
          <w:highlight w:val="none"/>
          <w:lang w:val="zh-CN"/>
        </w:rPr>
      </w:pPr>
      <w:r>
        <w:rPr>
          <w:rFonts w:hint="eastAsia" w:ascii="宋体" w:hAnsi="宋体"/>
          <w:b/>
          <w:color w:val="auto"/>
          <w:sz w:val="36"/>
          <w:szCs w:val="36"/>
          <w:highlight w:val="none"/>
          <w:lang w:val="zh-CN"/>
        </w:rPr>
        <w:t>投标函</w:t>
      </w:r>
    </w:p>
    <w:p>
      <w:pPr>
        <w:autoSpaceDE w:val="0"/>
        <w:autoSpaceDN w:val="0"/>
        <w:adjustRightInd w:val="0"/>
        <w:spacing w:line="300" w:lineRule="auto"/>
        <w:rPr>
          <w:rFonts w:ascii="宋体" w:hAnsi="宋体"/>
          <w:color w:val="auto"/>
          <w:sz w:val="24"/>
          <w:highlight w:val="none"/>
          <w:lang w:val="zh-CN"/>
        </w:rPr>
      </w:pPr>
      <w:r>
        <w:rPr>
          <w:rFonts w:hint="eastAsia" w:ascii="宋体" w:hAnsi="宋体"/>
          <w:color w:val="auto"/>
          <w:sz w:val="24"/>
          <w:highlight w:val="none"/>
          <w:lang w:val="zh-CN"/>
        </w:rPr>
        <w:t>致：南京信息工程大学</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根据贵方（项目名称）（项目编号）投标邀请，正式授权下述签字人</w:t>
      </w:r>
      <w:r>
        <w:rPr>
          <w:rFonts w:ascii="宋体" w:hAnsi="宋体"/>
          <w:color w:val="auto"/>
          <w:sz w:val="24"/>
          <w:highlight w:val="none"/>
          <w:lang w:val="zh-CN"/>
        </w:rPr>
        <w:t>(</w:t>
      </w:r>
      <w:r>
        <w:rPr>
          <w:rFonts w:hint="eastAsia" w:ascii="宋体" w:hAnsi="宋体"/>
          <w:color w:val="auto"/>
          <w:sz w:val="24"/>
          <w:highlight w:val="none"/>
          <w:lang w:val="zh-CN"/>
        </w:rPr>
        <w:t>姓名和职务</w:t>
      </w:r>
      <w:r>
        <w:rPr>
          <w:rFonts w:ascii="宋体" w:hAnsi="宋体"/>
          <w:color w:val="auto"/>
          <w:sz w:val="24"/>
          <w:highlight w:val="none"/>
          <w:lang w:val="zh-CN"/>
        </w:rPr>
        <w:t>)</w:t>
      </w:r>
      <w:r>
        <w:rPr>
          <w:rFonts w:hint="eastAsia" w:ascii="宋体" w:hAnsi="宋体"/>
          <w:color w:val="auto"/>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color w:val="auto"/>
          <w:sz w:val="24"/>
          <w:highlight w:val="none"/>
        </w:rPr>
      </w:pPr>
      <w:r>
        <w:rPr>
          <w:rFonts w:ascii="宋体" w:hAnsi="宋体"/>
          <w:color w:val="auto"/>
          <w:sz w:val="24"/>
          <w:highlight w:val="none"/>
          <w:lang w:val="zh-CN"/>
        </w:rPr>
        <w:t>1</w:t>
      </w:r>
      <w:r>
        <w:rPr>
          <w:rFonts w:hint="eastAsia" w:ascii="宋体" w:hAnsi="宋体"/>
          <w:color w:val="auto"/>
          <w:sz w:val="24"/>
          <w:highlight w:val="none"/>
          <w:lang w:val="zh-CN"/>
        </w:rPr>
        <w:t>、</w:t>
      </w:r>
      <w:r>
        <w:rPr>
          <w:rFonts w:hint="eastAsia" w:ascii="宋体" w:hAnsi="宋体"/>
          <w:b/>
          <w:color w:val="auto"/>
          <w:sz w:val="24"/>
          <w:highlight w:val="none"/>
          <w:lang w:val="zh-CN"/>
        </w:rPr>
        <w:t>我们的资格条件完全符合政府采购法和本次招标要求</w:t>
      </w:r>
      <w:r>
        <w:rPr>
          <w:rFonts w:hint="eastAsia" w:ascii="宋体" w:hAnsi="宋体"/>
          <w:color w:val="auto"/>
          <w:sz w:val="24"/>
          <w:highlight w:val="none"/>
          <w:lang w:val="zh-CN"/>
        </w:rPr>
        <w:t>，</w:t>
      </w:r>
      <w:r>
        <w:rPr>
          <w:rFonts w:hint="eastAsia" w:ascii="宋体" w:hAnsi="宋体"/>
          <w:color w:val="auto"/>
          <w:sz w:val="24"/>
          <w:highlight w:val="none"/>
        </w:rPr>
        <w:t>我们</w:t>
      </w:r>
      <w:r>
        <w:rPr>
          <w:rFonts w:hint="eastAsia" w:ascii="宋体" w:hAnsi="宋体"/>
          <w:color w:val="auto"/>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val="zh-CN"/>
        </w:rPr>
        <w:t>按招标要求，我们的投标总报价为人民币大写</w:t>
      </w:r>
      <w:r>
        <w:rPr>
          <w:rFonts w:hint="eastAsia" w:ascii="宋体" w:hAnsi="宋体"/>
          <w:color w:val="auto"/>
          <w:sz w:val="24"/>
          <w:highlight w:val="none"/>
          <w:u w:val="single"/>
          <w:lang w:val="zh-CN"/>
        </w:rPr>
        <w:t xml:space="preserve">                        ，</w:t>
      </w:r>
      <w:r>
        <w:rPr>
          <w:rFonts w:hint="eastAsia" w:ascii="宋体" w:hAnsi="宋体"/>
          <w:color w:val="auto"/>
          <w:sz w:val="24"/>
          <w:highlight w:val="none"/>
          <w:lang w:val="zh-CN"/>
        </w:rPr>
        <w:t>小写：</w:t>
      </w:r>
      <w:r>
        <w:rPr>
          <w:rFonts w:hint="eastAsia" w:ascii="宋体" w:hAnsi="宋体"/>
          <w:color w:val="auto"/>
          <w:sz w:val="24"/>
          <w:highlight w:val="none"/>
          <w:u w:val="single"/>
          <w:lang w:val="zh-CN"/>
        </w:rPr>
        <w:t>￥         。</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3、项目负责人</w:t>
      </w:r>
      <w:r>
        <w:rPr>
          <w:rFonts w:ascii="宋体" w:hAnsi="宋体"/>
          <w:color w:val="auto"/>
          <w:sz w:val="24"/>
          <w:highlight w:val="none"/>
          <w:lang w:val="zh-CN"/>
        </w:rPr>
        <w:t>(</w:t>
      </w:r>
      <w:r>
        <w:rPr>
          <w:rFonts w:hint="eastAsia" w:ascii="宋体" w:hAnsi="宋体"/>
          <w:color w:val="auto"/>
          <w:sz w:val="24"/>
          <w:highlight w:val="none"/>
          <w:lang w:val="zh-CN"/>
        </w:rPr>
        <w:t>姓名</w:t>
      </w:r>
      <w:r>
        <w:rPr>
          <w:rFonts w:ascii="宋体" w:hAnsi="宋体"/>
          <w:color w:val="auto"/>
          <w:sz w:val="24"/>
          <w:highlight w:val="none"/>
          <w:lang w:val="zh-CN"/>
        </w:rPr>
        <w:t>)</w:t>
      </w:r>
      <w:r>
        <w:rPr>
          <w:rFonts w:hint="eastAsia" w:ascii="宋体" w:hAnsi="宋体"/>
          <w:color w:val="auto"/>
          <w:sz w:val="24"/>
          <w:highlight w:val="none"/>
          <w:lang w:val="zh-CN"/>
        </w:rPr>
        <w:t>，身份证号。</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4、我们已详细审核全部招标文件及其有效补充文件，我们放弃对招标文件任何误解的权利，提交投标文件后，</w:t>
      </w:r>
      <w:r>
        <w:rPr>
          <w:rFonts w:hint="eastAsia" w:ascii="宋体" w:hAnsi="宋体"/>
          <w:b/>
          <w:color w:val="auto"/>
          <w:sz w:val="24"/>
          <w:highlight w:val="none"/>
          <w:lang w:val="zh-CN"/>
        </w:rPr>
        <w:t>不对招标文件本身提出质疑</w:t>
      </w:r>
      <w:r>
        <w:rPr>
          <w:rFonts w:hint="eastAsia" w:ascii="宋体" w:hAnsi="宋体"/>
          <w:color w:val="auto"/>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6、一旦我方中标，我方将根据招标文件的规定严格履行合同，并保证于承诺的时间完成服务的启动</w:t>
      </w:r>
      <w:r>
        <w:rPr>
          <w:rFonts w:ascii="宋体" w:hAnsi="宋体"/>
          <w:color w:val="auto"/>
          <w:sz w:val="24"/>
          <w:highlight w:val="none"/>
          <w:lang w:val="zh-CN"/>
        </w:rPr>
        <w:t>/</w:t>
      </w:r>
      <w:r>
        <w:rPr>
          <w:rFonts w:hint="eastAsia" w:ascii="宋体" w:hAnsi="宋体"/>
          <w:color w:val="auto"/>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color w:val="auto"/>
          <w:sz w:val="24"/>
          <w:highlight w:val="none"/>
          <w:lang w:val="zh-CN"/>
        </w:rPr>
      </w:pPr>
      <w:r>
        <w:rPr>
          <w:rFonts w:ascii="宋体" w:hAnsi="宋体"/>
          <w:color w:val="auto"/>
          <w:sz w:val="24"/>
          <w:highlight w:val="none"/>
          <w:lang w:val="zh-CN"/>
        </w:rPr>
        <w:t>8</w:t>
      </w:r>
      <w:r>
        <w:rPr>
          <w:rFonts w:hint="eastAsia" w:ascii="宋体" w:hAnsi="宋体"/>
          <w:color w:val="auto"/>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地址：</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电话：</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传真：</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开户银行：</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银行账号：</w:t>
      </w:r>
    </w:p>
    <w:p>
      <w:pPr>
        <w:autoSpaceDE w:val="0"/>
        <w:autoSpaceDN w:val="0"/>
        <w:adjustRightInd w:val="0"/>
        <w:spacing w:line="300" w:lineRule="auto"/>
        <w:ind w:firstLine="480" w:firstLineChars="200"/>
        <w:rPr>
          <w:rFonts w:ascii="宋体" w:hAnsi="宋体"/>
          <w:color w:val="auto"/>
          <w:sz w:val="24"/>
          <w:highlight w:val="none"/>
          <w:u w:val="single"/>
          <w:lang w:val="zh-CN"/>
        </w:rPr>
      </w:pPr>
      <w:r>
        <w:rPr>
          <w:rFonts w:hint="eastAsia" w:ascii="宋体" w:hAnsi="宋体"/>
          <w:color w:val="auto"/>
          <w:sz w:val="24"/>
          <w:highlight w:val="none"/>
          <w:lang w:val="zh-CN"/>
        </w:rPr>
        <w:t>投标人法定代表人姓名（签字）：</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投标人名称：（盖章）</w:t>
      </w:r>
    </w:p>
    <w:p>
      <w:pPr>
        <w:autoSpaceDE w:val="0"/>
        <w:autoSpaceDN w:val="0"/>
        <w:adjustRightInd w:val="0"/>
        <w:spacing w:line="30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日期：     年   月    日</w:t>
      </w:r>
    </w:p>
    <w:p>
      <w:pPr>
        <w:spacing w:line="360" w:lineRule="auto"/>
        <w:rPr>
          <w:rFonts w:asci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附件</w:t>
      </w:r>
      <w:r>
        <w:rPr>
          <w:rFonts w:ascii="宋体" w:hAnsi="宋体"/>
          <w:b/>
          <w:color w:val="auto"/>
          <w:sz w:val="28"/>
          <w:szCs w:val="28"/>
          <w:highlight w:val="none"/>
        </w:rPr>
        <w:t>3</w:t>
      </w:r>
      <w:r>
        <w:rPr>
          <w:rFonts w:hint="eastAsia" w:ascii="宋体" w:hAnsi="宋体"/>
          <w:b/>
          <w:color w:val="auto"/>
          <w:sz w:val="28"/>
          <w:szCs w:val="28"/>
          <w:highlight w:val="none"/>
        </w:rPr>
        <w:t>：</w:t>
      </w:r>
    </w:p>
    <w:p>
      <w:pPr>
        <w:spacing w:line="360" w:lineRule="auto"/>
        <w:jc w:val="center"/>
        <w:rPr>
          <w:rFonts w:ascii="宋体"/>
          <w:color w:val="auto"/>
          <w:sz w:val="44"/>
          <w:szCs w:val="44"/>
          <w:highlight w:val="none"/>
        </w:rPr>
      </w:pPr>
      <w:r>
        <w:rPr>
          <w:rFonts w:hint="eastAsia" w:ascii="宋体" w:hAnsi="宋体"/>
          <w:color w:val="auto"/>
          <w:sz w:val="44"/>
          <w:szCs w:val="44"/>
          <w:highlight w:val="none"/>
        </w:rPr>
        <w:t>投标项目报价明细表</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投标人</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招标编号及分包号</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投标报价</w:t>
      </w:r>
    </w:p>
    <w:tbl>
      <w:tblPr>
        <w:tblStyle w:val="15"/>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分包号</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名称</w:t>
            </w:r>
          </w:p>
        </w:tc>
        <w:tc>
          <w:tcPr>
            <w:tcW w:w="1065" w:type="dxa"/>
            <w:vAlign w:val="center"/>
          </w:tcPr>
          <w:p>
            <w:pPr>
              <w:spacing w:line="360" w:lineRule="auto"/>
              <w:jc w:val="center"/>
              <w:rPr>
                <w:rFonts w:ascii="宋体"/>
                <w:b/>
                <w:color w:val="auto"/>
                <w:sz w:val="28"/>
                <w:szCs w:val="28"/>
                <w:highlight w:val="none"/>
              </w:rPr>
            </w:pPr>
            <w:r>
              <w:rPr>
                <w:rFonts w:hint="eastAsia" w:ascii="宋体"/>
                <w:b/>
                <w:color w:val="auto"/>
                <w:sz w:val="28"/>
                <w:szCs w:val="28"/>
                <w:highlight w:val="none"/>
              </w:rPr>
              <w:t>货物</w:t>
            </w:r>
          </w:p>
          <w:p>
            <w:pPr>
              <w:spacing w:line="360" w:lineRule="auto"/>
              <w:jc w:val="center"/>
              <w:rPr>
                <w:rFonts w:ascii="宋体"/>
                <w:b/>
                <w:color w:val="auto"/>
                <w:sz w:val="28"/>
                <w:szCs w:val="28"/>
                <w:highlight w:val="none"/>
              </w:rPr>
            </w:pPr>
            <w:r>
              <w:rPr>
                <w:rFonts w:hint="eastAsia" w:ascii="宋体"/>
                <w:b/>
                <w:color w:val="auto"/>
                <w:sz w:val="28"/>
                <w:szCs w:val="28"/>
                <w:highlight w:val="none"/>
              </w:rPr>
              <w:t>品牌</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货物</w:t>
            </w:r>
          </w:p>
          <w:p>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描述</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计量</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单位</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数量</w:t>
            </w:r>
          </w:p>
        </w:tc>
        <w:tc>
          <w:tcPr>
            <w:tcW w:w="1065"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单价</w:t>
            </w:r>
          </w:p>
        </w:tc>
        <w:tc>
          <w:tcPr>
            <w:tcW w:w="1066" w:type="dxa"/>
            <w:vAlign w:val="center"/>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每项</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总价</w:t>
            </w:r>
          </w:p>
        </w:tc>
        <w:tc>
          <w:tcPr>
            <w:tcW w:w="1066" w:type="dxa"/>
          </w:tcPr>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质保</w:t>
            </w:r>
          </w:p>
          <w:p>
            <w:pPr>
              <w:spacing w:line="360" w:lineRule="auto"/>
              <w:jc w:val="center"/>
              <w:rPr>
                <w:rFonts w:ascii="宋体"/>
                <w:b/>
                <w:color w:val="auto"/>
                <w:sz w:val="28"/>
                <w:szCs w:val="28"/>
                <w:highlight w:val="none"/>
              </w:rPr>
            </w:pPr>
            <w:r>
              <w:rPr>
                <w:rFonts w:hint="eastAsia" w:ascii="宋体" w:hAnsi="宋体"/>
                <w:b/>
                <w:color w:val="auto"/>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5" w:type="dxa"/>
            <w:vAlign w:val="center"/>
          </w:tcPr>
          <w:p>
            <w:pPr>
              <w:spacing w:line="360" w:lineRule="auto"/>
              <w:jc w:val="center"/>
              <w:rPr>
                <w:rFonts w:ascii="宋体"/>
                <w:color w:val="auto"/>
                <w:sz w:val="28"/>
                <w:szCs w:val="28"/>
                <w:highlight w:val="none"/>
              </w:rPr>
            </w:pPr>
          </w:p>
        </w:tc>
        <w:tc>
          <w:tcPr>
            <w:tcW w:w="1066" w:type="dxa"/>
            <w:vAlign w:val="center"/>
          </w:tcPr>
          <w:p>
            <w:pPr>
              <w:spacing w:line="360" w:lineRule="auto"/>
              <w:jc w:val="center"/>
              <w:rPr>
                <w:rFonts w:ascii="宋体"/>
                <w:color w:val="auto"/>
                <w:sz w:val="28"/>
                <w:szCs w:val="28"/>
                <w:highlight w:val="none"/>
              </w:rPr>
            </w:pPr>
          </w:p>
        </w:tc>
        <w:tc>
          <w:tcPr>
            <w:tcW w:w="1066" w:type="dxa"/>
          </w:tcPr>
          <w:p>
            <w:pPr>
              <w:spacing w:line="360" w:lineRule="auto"/>
              <w:jc w:val="center"/>
              <w:rPr>
                <w:rFonts w:asci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gridSpan w:val="2"/>
            <w:vAlign w:val="center"/>
          </w:tcPr>
          <w:p>
            <w:pPr>
              <w:spacing w:line="360" w:lineRule="auto"/>
              <w:jc w:val="center"/>
              <w:rPr>
                <w:rFonts w:ascii="宋体"/>
                <w:color w:val="auto"/>
                <w:sz w:val="28"/>
                <w:szCs w:val="28"/>
                <w:highlight w:val="none"/>
              </w:rPr>
            </w:pPr>
            <w:r>
              <w:rPr>
                <w:rFonts w:hint="eastAsia" w:ascii="宋体" w:hAnsi="宋体"/>
                <w:color w:val="auto"/>
                <w:sz w:val="28"/>
                <w:szCs w:val="28"/>
                <w:highlight w:val="none"/>
              </w:rPr>
              <w:t>合计总价</w:t>
            </w:r>
          </w:p>
        </w:tc>
        <w:tc>
          <w:tcPr>
            <w:tcW w:w="1065" w:type="dxa"/>
            <w:vAlign w:val="center"/>
          </w:tcPr>
          <w:p>
            <w:pPr>
              <w:spacing w:line="360" w:lineRule="auto"/>
              <w:rPr>
                <w:rFonts w:ascii="宋体" w:hAnsi="宋体"/>
                <w:color w:val="auto"/>
                <w:sz w:val="28"/>
                <w:szCs w:val="28"/>
                <w:highlight w:val="none"/>
              </w:rPr>
            </w:pPr>
          </w:p>
        </w:tc>
        <w:tc>
          <w:tcPr>
            <w:tcW w:w="6392" w:type="dxa"/>
            <w:gridSpan w:val="6"/>
            <w:vAlign w:val="center"/>
          </w:tcPr>
          <w:p>
            <w:pPr>
              <w:spacing w:line="360" w:lineRule="auto"/>
              <w:rPr>
                <w:rFonts w:ascii="宋体"/>
                <w:color w:val="auto"/>
                <w:sz w:val="28"/>
                <w:szCs w:val="28"/>
                <w:highlight w:val="none"/>
                <w:u w:val="single"/>
              </w:rPr>
            </w:pPr>
            <w:r>
              <w:rPr>
                <w:rFonts w:hint="eastAsia" w:ascii="宋体" w:hAnsi="宋体"/>
                <w:color w:val="auto"/>
                <w:sz w:val="28"/>
                <w:szCs w:val="28"/>
                <w:highlight w:val="none"/>
              </w:rPr>
              <w:t>大写：小写：元</w:t>
            </w:r>
          </w:p>
        </w:tc>
      </w:tr>
    </w:tbl>
    <w:p>
      <w:pPr>
        <w:spacing w:line="360" w:lineRule="auto"/>
        <w:rPr>
          <w:rFonts w:ascii="宋体"/>
          <w:color w:val="auto"/>
          <w:sz w:val="28"/>
          <w:szCs w:val="28"/>
          <w:highlight w:val="none"/>
        </w:rPr>
      </w:pPr>
      <w:r>
        <w:rPr>
          <w:rFonts w:hint="eastAsia" w:ascii="宋体" w:hAnsi="宋体"/>
          <w:color w:val="auto"/>
          <w:sz w:val="28"/>
          <w:szCs w:val="28"/>
          <w:highlight w:val="none"/>
        </w:rPr>
        <w:t>（可续页）</w:t>
      </w:r>
    </w:p>
    <w:p>
      <w:pPr>
        <w:spacing w:line="360" w:lineRule="auto"/>
        <w:rPr>
          <w:rFonts w:ascii="宋体"/>
          <w:color w:val="auto"/>
          <w:sz w:val="28"/>
          <w:szCs w:val="28"/>
          <w:highlight w:val="none"/>
        </w:rPr>
      </w:pPr>
    </w:p>
    <w:p>
      <w:pPr>
        <w:spacing w:line="360" w:lineRule="auto"/>
        <w:rPr>
          <w:rFonts w:ascii="宋体"/>
          <w:color w:val="auto"/>
          <w:sz w:val="28"/>
          <w:szCs w:val="28"/>
          <w:highlight w:val="none"/>
          <w:u w:val="single"/>
        </w:rPr>
      </w:pPr>
      <w:r>
        <w:rPr>
          <w:rFonts w:hint="eastAsia" w:ascii="宋体" w:hAnsi="宋体"/>
          <w:color w:val="auto"/>
          <w:sz w:val="28"/>
          <w:szCs w:val="28"/>
          <w:highlight w:val="none"/>
        </w:rPr>
        <w:t>单位盖章：</w:t>
      </w:r>
    </w:p>
    <w:p>
      <w:pPr>
        <w:spacing w:line="360" w:lineRule="auto"/>
        <w:rPr>
          <w:rFonts w:ascii="宋体"/>
          <w:color w:val="auto"/>
          <w:sz w:val="28"/>
          <w:szCs w:val="28"/>
          <w:highlight w:val="none"/>
          <w:u w:val="single"/>
        </w:rPr>
      </w:pPr>
      <w:r>
        <w:rPr>
          <w:rFonts w:hint="eastAsia" w:ascii="宋体" w:hAnsi="宋体"/>
          <w:color w:val="auto"/>
          <w:sz w:val="28"/>
          <w:szCs w:val="28"/>
          <w:highlight w:val="none"/>
        </w:rPr>
        <w:t>授权代表签字：</w:t>
      </w:r>
    </w:p>
    <w:p>
      <w:pPr>
        <w:spacing w:line="360" w:lineRule="auto"/>
        <w:rPr>
          <w:rFonts w:ascii="宋体"/>
          <w:color w:val="auto"/>
          <w:sz w:val="28"/>
          <w:szCs w:val="28"/>
          <w:highlight w:val="none"/>
        </w:rPr>
      </w:pPr>
    </w:p>
    <w:p>
      <w:pPr>
        <w:spacing w:line="360" w:lineRule="auto"/>
        <w:rPr>
          <w:rFonts w:ascii="宋体"/>
          <w:color w:val="auto"/>
          <w:sz w:val="28"/>
          <w:szCs w:val="28"/>
          <w:highlight w:val="none"/>
        </w:rPr>
      </w:pPr>
      <w:r>
        <w:rPr>
          <w:rFonts w:hint="eastAsia" w:ascii="宋体" w:hAnsi="宋体"/>
          <w:color w:val="auto"/>
          <w:sz w:val="28"/>
          <w:szCs w:val="28"/>
          <w:highlight w:val="none"/>
        </w:rPr>
        <w:t>年月日</w:t>
      </w:r>
    </w:p>
    <w:p>
      <w:pPr>
        <w:jc w:val="left"/>
        <w:rPr>
          <w:b/>
          <w:color w:val="auto"/>
          <w:sz w:val="28"/>
          <w:szCs w:val="28"/>
          <w:highlight w:val="none"/>
        </w:rPr>
      </w:pPr>
    </w:p>
    <w:bookmarkEnd w:id="10"/>
    <w:bookmarkEnd w:id="11"/>
    <w:p>
      <w:pPr>
        <w:jc w:val="left"/>
        <w:rPr>
          <w:b/>
          <w:color w:val="auto"/>
          <w:sz w:val="28"/>
          <w:szCs w:val="28"/>
          <w:highlight w:val="none"/>
        </w:rPr>
      </w:pPr>
      <w:r>
        <w:rPr>
          <w:rFonts w:hint="eastAsia"/>
          <w:b/>
          <w:color w:val="auto"/>
          <w:sz w:val="28"/>
          <w:szCs w:val="28"/>
          <w:highlight w:val="none"/>
        </w:rPr>
        <w:t>附件</w:t>
      </w:r>
      <w:r>
        <w:rPr>
          <w:b/>
          <w:color w:val="auto"/>
          <w:sz w:val="28"/>
          <w:szCs w:val="28"/>
          <w:highlight w:val="none"/>
        </w:rPr>
        <w:t>4</w:t>
      </w:r>
      <w:r>
        <w:rPr>
          <w:rFonts w:hint="eastAsia"/>
          <w:b/>
          <w:color w:val="auto"/>
          <w:sz w:val="28"/>
          <w:szCs w:val="28"/>
          <w:highlight w:val="none"/>
        </w:rPr>
        <w:t>：服务要求</w:t>
      </w:r>
    </w:p>
    <w:p>
      <w:pPr>
        <w:ind w:firstLine="420" w:firstLineChars="200"/>
        <w:rPr>
          <w:rFonts w:ascii="Arial" w:hAnsi="Arial" w:cs="Arial"/>
          <w:color w:val="auto"/>
          <w:szCs w:val="21"/>
          <w:highlight w:val="none"/>
        </w:rPr>
      </w:pPr>
      <w:r>
        <w:rPr>
          <w:rFonts w:hint="eastAsia" w:ascii="Arial" w:hAnsi="Arial" w:cs="Arial"/>
          <w:color w:val="auto"/>
          <w:szCs w:val="21"/>
          <w:highlight w:val="none"/>
        </w:rPr>
        <w:t>1.供货期:供方于合同生效后4个月内完成设备安装调试等。</w:t>
      </w:r>
    </w:p>
    <w:p>
      <w:pPr>
        <w:ind w:firstLine="420" w:firstLineChars="200"/>
        <w:rPr>
          <w:b/>
          <w:color w:val="auto"/>
          <w:kern w:val="0"/>
          <w:sz w:val="24"/>
          <w:highlight w:val="none"/>
        </w:rPr>
      </w:pPr>
      <w:r>
        <w:rPr>
          <w:rFonts w:hint="eastAsia" w:ascii="Arial" w:hAnsi="Arial" w:cs="Arial"/>
          <w:color w:val="auto"/>
          <w:szCs w:val="21"/>
          <w:highlight w:val="none"/>
        </w:rPr>
        <w:t>2.</w:t>
      </w:r>
      <w:r>
        <w:rPr>
          <w:rFonts w:ascii="Arial" w:hAnsi="Arial" w:cs="Arial"/>
          <w:color w:val="auto"/>
          <w:szCs w:val="21"/>
          <w:highlight w:val="none"/>
        </w:rPr>
        <w:t>设备安装、调试、验收</w:t>
      </w:r>
      <w:r>
        <w:rPr>
          <w:rFonts w:hint="eastAsia" w:ascii="Arial" w:hAnsi="Arial" w:cs="Arial"/>
          <w:color w:val="auto"/>
          <w:szCs w:val="21"/>
          <w:highlight w:val="none"/>
        </w:rPr>
        <w:t>：</w:t>
      </w:r>
      <w:r>
        <w:rPr>
          <w:rFonts w:ascii="Arial" w:hAnsi="Arial" w:cs="Arial"/>
          <w:color w:val="auto"/>
          <w:szCs w:val="21"/>
          <w:highlight w:val="none"/>
        </w:rPr>
        <w:t>供方安装人员与需方共同开箱，检查设备及附件是</w:t>
      </w:r>
      <w:r>
        <w:rPr>
          <w:color w:val="auto"/>
          <w:highlight w:val="none"/>
        </w:rPr>
        <w:t>否全新、完整无损如发生破损、缺件等问题，供方应及时解决。</w:t>
      </w:r>
    </w:p>
    <w:p>
      <w:pPr>
        <w:spacing w:line="400" w:lineRule="exact"/>
        <w:ind w:firstLine="420" w:firstLineChars="200"/>
        <w:rPr>
          <w:rFonts w:ascii="Arial" w:hAnsi="Arial" w:cs="Arial"/>
          <w:b/>
          <w:color w:val="auto"/>
          <w:szCs w:val="21"/>
          <w:highlight w:val="none"/>
        </w:rPr>
      </w:pPr>
      <w:r>
        <w:rPr>
          <w:rFonts w:hint="eastAsia" w:ascii="Arial" w:hAnsi="Arial" w:cs="Arial"/>
          <w:color w:val="auto"/>
          <w:szCs w:val="21"/>
          <w:highlight w:val="none"/>
        </w:rPr>
        <w:t>3.</w:t>
      </w:r>
      <w:r>
        <w:rPr>
          <w:rFonts w:ascii="Arial" w:hAnsi="宋体" w:cs="Arial"/>
          <w:color w:val="auto"/>
          <w:szCs w:val="21"/>
          <w:highlight w:val="none"/>
        </w:rPr>
        <w:t>验收标准</w:t>
      </w:r>
      <w:r>
        <w:rPr>
          <w:rFonts w:hint="eastAsia" w:ascii="Arial" w:hAnsi="宋体" w:cs="Arial"/>
          <w:color w:val="auto"/>
          <w:szCs w:val="21"/>
          <w:highlight w:val="none"/>
        </w:rPr>
        <w:t>：</w:t>
      </w:r>
      <w:r>
        <w:rPr>
          <w:rFonts w:ascii="Arial" w:hAnsi="宋体" w:cs="Arial"/>
          <w:color w:val="auto"/>
          <w:szCs w:val="21"/>
          <w:highlight w:val="none"/>
        </w:rPr>
        <w:t>以</w:t>
      </w:r>
      <w:r>
        <w:rPr>
          <w:rFonts w:hint="eastAsia" w:ascii="Arial" w:hAnsi="宋体" w:cs="Arial"/>
          <w:color w:val="auto"/>
          <w:szCs w:val="21"/>
          <w:highlight w:val="none"/>
        </w:rPr>
        <w:t>投标文件</w:t>
      </w:r>
      <w:r>
        <w:rPr>
          <w:rFonts w:ascii="Arial" w:hAnsi="宋体" w:cs="Arial"/>
          <w:color w:val="auto"/>
          <w:szCs w:val="21"/>
          <w:highlight w:val="none"/>
        </w:rPr>
        <w:t>的指标为准（不</w:t>
      </w:r>
      <w:r>
        <w:rPr>
          <w:rFonts w:hint="eastAsia" w:ascii="Arial" w:hAnsi="宋体" w:cs="Arial"/>
          <w:color w:val="auto"/>
          <w:szCs w:val="21"/>
          <w:highlight w:val="none"/>
        </w:rPr>
        <w:t>得</w:t>
      </w:r>
      <w:r>
        <w:rPr>
          <w:rFonts w:ascii="Arial" w:hAnsi="宋体" w:cs="Arial"/>
          <w:color w:val="auto"/>
          <w:szCs w:val="21"/>
          <w:highlight w:val="none"/>
        </w:rPr>
        <w:t>低于招标标书所要求的指标）。</w:t>
      </w:r>
      <w:r>
        <w:rPr>
          <w:rFonts w:ascii="Arial" w:hAnsi="宋体" w:cs="Arial"/>
          <w:b/>
          <w:color w:val="auto"/>
          <w:szCs w:val="21"/>
          <w:highlight w:val="none"/>
        </w:rPr>
        <w:t>任何虚假指标响应一经发现即作</w:t>
      </w:r>
      <w:r>
        <w:rPr>
          <w:rFonts w:hint="eastAsia" w:ascii="Arial" w:hAnsi="宋体" w:cs="Arial"/>
          <w:b/>
          <w:color w:val="auto"/>
          <w:szCs w:val="21"/>
          <w:highlight w:val="none"/>
        </w:rPr>
        <w:t>无效</w:t>
      </w:r>
      <w:r>
        <w:rPr>
          <w:rFonts w:ascii="Arial" w:hAnsi="宋体" w:cs="Arial"/>
          <w:b/>
          <w:color w:val="auto"/>
          <w:szCs w:val="21"/>
          <w:highlight w:val="none"/>
        </w:rPr>
        <w:t>标，</w:t>
      </w:r>
      <w:r>
        <w:rPr>
          <w:rFonts w:hint="eastAsia" w:ascii="Arial" w:hAnsi="宋体" w:cs="Arial"/>
          <w:b/>
          <w:color w:val="auto"/>
          <w:szCs w:val="21"/>
          <w:highlight w:val="none"/>
        </w:rPr>
        <w:t>且</w:t>
      </w:r>
      <w:r>
        <w:rPr>
          <w:rFonts w:ascii="Arial" w:hAnsi="宋体" w:cs="Arial"/>
          <w:b/>
          <w:color w:val="auto"/>
          <w:szCs w:val="21"/>
          <w:highlight w:val="none"/>
        </w:rPr>
        <w:t>必须承担由此给用户带来的一切经济损失和其它相关责任。</w:t>
      </w:r>
    </w:p>
    <w:p>
      <w:pPr>
        <w:spacing w:line="400" w:lineRule="exact"/>
        <w:ind w:firstLine="420" w:firstLineChars="200"/>
        <w:rPr>
          <w:rFonts w:ascii="Arial" w:hAnsi="Arial" w:cs="Arial"/>
          <w:b/>
          <w:color w:val="auto"/>
          <w:szCs w:val="21"/>
          <w:highlight w:val="none"/>
        </w:rPr>
      </w:pPr>
      <w:r>
        <w:rPr>
          <w:rFonts w:hint="eastAsia" w:ascii="Arial" w:hAnsi="Arial" w:cs="Arial"/>
          <w:color w:val="auto"/>
          <w:szCs w:val="21"/>
          <w:highlight w:val="none"/>
        </w:rPr>
        <w:t>4.</w:t>
      </w:r>
      <w:r>
        <w:rPr>
          <w:rFonts w:ascii="Arial" w:hAnsi="宋体" w:cs="Arial"/>
          <w:color w:val="auto"/>
          <w:szCs w:val="21"/>
          <w:highlight w:val="none"/>
        </w:rPr>
        <w:t>保修期</w:t>
      </w:r>
      <w:r>
        <w:rPr>
          <w:rFonts w:hint="eastAsia" w:ascii="Arial" w:hAnsi="Arial" w:cs="Arial"/>
          <w:color w:val="auto"/>
          <w:szCs w:val="21"/>
          <w:highlight w:val="none"/>
        </w:rPr>
        <w:t>：</w:t>
      </w:r>
      <w:r>
        <w:rPr>
          <w:rFonts w:ascii="Arial" w:hAnsi="宋体" w:cs="Arial"/>
          <w:color w:val="auto"/>
          <w:szCs w:val="21"/>
          <w:highlight w:val="none"/>
        </w:rPr>
        <w:t>提供</w:t>
      </w:r>
      <w:r>
        <w:rPr>
          <w:rFonts w:ascii="Arial" w:hAnsi="Arial" w:cs="Arial"/>
          <w:color w:val="auto"/>
          <w:szCs w:val="21"/>
          <w:highlight w:val="none"/>
        </w:rPr>
        <w:t>1</w:t>
      </w:r>
      <w:r>
        <w:rPr>
          <w:rFonts w:ascii="Arial" w:hAnsi="宋体" w:cs="Arial"/>
          <w:color w:val="auto"/>
          <w:szCs w:val="21"/>
          <w:highlight w:val="none"/>
        </w:rPr>
        <w:t>年的免费保修</w:t>
      </w:r>
      <w:r>
        <w:rPr>
          <w:rFonts w:hint="eastAsia" w:ascii="Arial" w:hAnsi="宋体" w:cs="Arial"/>
          <w:color w:val="auto"/>
          <w:szCs w:val="21"/>
          <w:highlight w:val="none"/>
        </w:rPr>
        <w:t>，</w:t>
      </w:r>
      <w:r>
        <w:rPr>
          <w:rFonts w:ascii="Arial" w:hAnsi="宋体" w:cs="Arial"/>
          <w:color w:val="auto"/>
          <w:szCs w:val="21"/>
          <w:highlight w:val="none"/>
        </w:rPr>
        <w:t>保修期自验收合格</w:t>
      </w:r>
      <w:r>
        <w:rPr>
          <w:rFonts w:hint="eastAsia" w:ascii="Arial" w:hAnsi="宋体" w:cs="Arial"/>
          <w:color w:val="auto"/>
          <w:szCs w:val="21"/>
          <w:highlight w:val="none"/>
        </w:rPr>
        <w:t>之</w:t>
      </w:r>
      <w:r>
        <w:rPr>
          <w:rFonts w:ascii="Arial" w:hAnsi="宋体" w:cs="Arial"/>
          <w:color w:val="auto"/>
          <w:szCs w:val="21"/>
          <w:highlight w:val="none"/>
        </w:rPr>
        <w:t>日起计算。</w:t>
      </w:r>
    </w:p>
    <w:p>
      <w:pPr>
        <w:spacing w:line="400" w:lineRule="exact"/>
        <w:ind w:firstLine="420" w:firstLineChars="200"/>
        <w:rPr>
          <w:rFonts w:ascii="Arial" w:hAnsi="Arial" w:cs="Arial"/>
          <w:b/>
          <w:color w:val="auto"/>
          <w:szCs w:val="21"/>
          <w:highlight w:val="none"/>
        </w:rPr>
      </w:pPr>
      <w:r>
        <w:rPr>
          <w:rFonts w:hint="eastAsia" w:ascii="Arial" w:hAnsi="Arial" w:cs="Arial"/>
          <w:color w:val="auto"/>
          <w:szCs w:val="21"/>
          <w:highlight w:val="none"/>
        </w:rPr>
        <w:t>5.</w:t>
      </w:r>
      <w:r>
        <w:rPr>
          <w:rFonts w:ascii="Arial" w:hAnsi="宋体" w:cs="Arial"/>
          <w:color w:val="auto"/>
          <w:szCs w:val="21"/>
          <w:highlight w:val="none"/>
        </w:rPr>
        <w:t>维修响应时间</w:t>
      </w:r>
      <w:r>
        <w:rPr>
          <w:rFonts w:hint="eastAsia" w:ascii="Arial" w:hAnsi="Arial" w:cs="Arial"/>
          <w:color w:val="auto"/>
          <w:szCs w:val="21"/>
          <w:highlight w:val="none"/>
        </w:rPr>
        <w:t>：</w:t>
      </w:r>
      <w:r>
        <w:rPr>
          <w:rFonts w:ascii="Arial" w:hAnsi="宋体" w:cs="Arial"/>
          <w:color w:val="auto"/>
          <w:szCs w:val="21"/>
          <w:highlight w:val="none"/>
        </w:rPr>
        <w:t>供方应在</w:t>
      </w:r>
      <w:r>
        <w:rPr>
          <w:rFonts w:ascii="Arial" w:hAnsi="Arial" w:cs="Arial"/>
          <w:color w:val="auto"/>
          <w:szCs w:val="21"/>
          <w:highlight w:val="none"/>
        </w:rPr>
        <w:t>24</w:t>
      </w:r>
      <w:r>
        <w:rPr>
          <w:rFonts w:ascii="Arial" w:hAnsi="宋体" w:cs="Arial"/>
          <w:color w:val="auto"/>
          <w:szCs w:val="21"/>
          <w:highlight w:val="none"/>
        </w:rPr>
        <w:t>小时内对</w:t>
      </w:r>
      <w:r>
        <w:rPr>
          <w:rFonts w:hint="eastAsia" w:ascii="Arial" w:hAnsi="宋体" w:cs="Arial"/>
          <w:color w:val="auto"/>
          <w:szCs w:val="21"/>
          <w:highlight w:val="none"/>
        </w:rPr>
        <w:t>技术问题</w:t>
      </w:r>
      <w:r>
        <w:rPr>
          <w:rFonts w:ascii="Arial" w:hAnsi="宋体" w:cs="Arial"/>
          <w:color w:val="auto"/>
          <w:szCs w:val="21"/>
          <w:highlight w:val="none"/>
        </w:rPr>
        <w:t>作出响应。一般性问题应在</w:t>
      </w:r>
      <w:r>
        <w:rPr>
          <w:rFonts w:ascii="Arial" w:hAnsi="Arial" w:cs="Arial"/>
          <w:color w:val="auto"/>
          <w:szCs w:val="21"/>
          <w:highlight w:val="none"/>
        </w:rPr>
        <w:t>48</w:t>
      </w:r>
      <w:r>
        <w:rPr>
          <w:rFonts w:ascii="Arial" w:hAnsi="宋体" w:cs="Arial"/>
          <w:color w:val="auto"/>
          <w:szCs w:val="21"/>
          <w:highlight w:val="none"/>
        </w:rPr>
        <w:t>小时内解决；对于较大的问题，应在</w:t>
      </w:r>
      <w:r>
        <w:rPr>
          <w:rFonts w:ascii="Arial" w:hAnsi="Arial" w:cs="Arial"/>
          <w:color w:val="auto"/>
          <w:szCs w:val="21"/>
          <w:highlight w:val="none"/>
        </w:rPr>
        <w:t>3</w:t>
      </w:r>
      <w:r>
        <w:rPr>
          <w:rFonts w:ascii="Arial" w:hAnsi="宋体" w:cs="Arial"/>
          <w:color w:val="auto"/>
          <w:szCs w:val="21"/>
          <w:highlight w:val="none"/>
        </w:rPr>
        <w:t>天内给以</w:t>
      </w:r>
      <w:r>
        <w:rPr>
          <w:rFonts w:hint="eastAsia" w:ascii="Arial" w:hAnsi="宋体" w:cs="Arial"/>
          <w:color w:val="auto"/>
          <w:szCs w:val="21"/>
          <w:highlight w:val="none"/>
        </w:rPr>
        <w:t>答复并</w:t>
      </w:r>
      <w:r>
        <w:rPr>
          <w:rFonts w:ascii="Arial" w:hAnsi="宋体" w:cs="Arial"/>
          <w:color w:val="auto"/>
          <w:szCs w:val="21"/>
          <w:highlight w:val="none"/>
        </w:rPr>
        <w:t>提出解决方案，在预定的期限内解决。</w:t>
      </w: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1470" w:right="1470"/>
        <w:rPr>
          <w:rFonts w:ascii="宋体" w:hAnsi="宋体" w:cs="仿宋"/>
          <w:b/>
          <w:bCs/>
          <w:color w:val="auto"/>
          <w:sz w:val="28"/>
          <w:szCs w:val="28"/>
          <w:highlight w:val="none"/>
        </w:rPr>
      </w:pPr>
    </w:p>
    <w:p>
      <w:pPr>
        <w:pStyle w:val="2"/>
        <w:ind w:left="0" w:leftChars="0" w:right="1470"/>
        <w:rPr>
          <w:rFonts w:ascii="宋体" w:hAnsi="宋体" w:cs="仿宋"/>
          <w:b/>
          <w:bCs/>
          <w:color w:val="auto"/>
          <w:sz w:val="28"/>
          <w:szCs w:val="28"/>
          <w:highlight w:val="none"/>
        </w:rPr>
      </w:pPr>
    </w:p>
    <w:p>
      <w:pPr>
        <w:pStyle w:val="2"/>
        <w:ind w:left="0" w:leftChars="0" w:right="1470"/>
        <w:rPr>
          <w:rFonts w:ascii="宋体" w:hAnsi="宋体" w:cs="仿宋"/>
          <w:b/>
          <w:bCs/>
          <w:color w:val="auto"/>
          <w:sz w:val="28"/>
          <w:szCs w:val="28"/>
          <w:highlight w:val="none"/>
        </w:rPr>
      </w:pPr>
    </w:p>
    <w:p>
      <w:pPr>
        <w:adjustRightInd w:val="0"/>
        <w:snapToGrid w:val="0"/>
        <w:spacing w:line="360" w:lineRule="auto"/>
        <w:rPr>
          <w:rFonts w:ascii="宋体" w:hAnsi="宋体" w:cs="仿宋"/>
          <w:b/>
          <w:bCs/>
          <w:color w:val="auto"/>
          <w:sz w:val="28"/>
          <w:szCs w:val="28"/>
          <w:highlight w:val="none"/>
        </w:rPr>
      </w:pPr>
    </w:p>
    <w:p>
      <w:pPr>
        <w:pStyle w:val="2"/>
        <w:ind w:left="1470" w:right="1470"/>
        <w:rPr>
          <w:color w:val="auto"/>
          <w:highlight w:val="none"/>
        </w:rPr>
      </w:pPr>
    </w:p>
    <w:p>
      <w:pPr>
        <w:adjustRightInd w:val="0"/>
        <w:snapToGrid w:val="0"/>
        <w:spacing w:line="360" w:lineRule="auto"/>
        <w:rPr>
          <w:rFonts w:ascii="宋体" w:hAnsi="宋体" w:cs="仿宋"/>
          <w:b/>
          <w:bCs/>
          <w:color w:val="auto"/>
          <w:sz w:val="28"/>
          <w:szCs w:val="28"/>
          <w:highlight w:val="none"/>
        </w:rPr>
      </w:pPr>
      <w:r>
        <w:rPr>
          <w:rFonts w:hint="eastAsia" w:ascii="宋体" w:hAnsi="宋体" w:cs="仿宋"/>
          <w:b/>
          <w:bCs/>
          <w:color w:val="auto"/>
          <w:sz w:val="28"/>
          <w:szCs w:val="28"/>
          <w:highlight w:val="none"/>
        </w:rPr>
        <w:t>附件</w:t>
      </w:r>
      <w:r>
        <w:rPr>
          <w:rFonts w:ascii="宋体" w:hAnsi="宋体" w:cs="仿宋"/>
          <w:b/>
          <w:bCs/>
          <w:color w:val="auto"/>
          <w:sz w:val="28"/>
          <w:szCs w:val="28"/>
          <w:highlight w:val="none"/>
        </w:rPr>
        <w:t>5</w:t>
      </w:r>
      <w:r>
        <w:rPr>
          <w:rFonts w:hint="eastAsia" w:ascii="宋体" w:hAnsi="宋体" w:cs="仿宋"/>
          <w:b/>
          <w:bCs/>
          <w:color w:val="auto"/>
          <w:sz w:val="28"/>
          <w:szCs w:val="28"/>
          <w:highlight w:val="none"/>
        </w:rPr>
        <w:t>：评标办法</w:t>
      </w: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本项目采用综合评分法，总分为：</w:t>
      </w:r>
      <w:r>
        <w:rPr>
          <w:rFonts w:ascii="宋体" w:hAnsi="宋体"/>
          <w:b/>
          <w:bCs/>
          <w:color w:val="auto"/>
          <w:sz w:val="24"/>
          <w:highlight w:val="none"/>
        </w:rPr>
        <w:t>100</w:t>
      </w:r>
      <w:r>
        <w:rPr>
          <w:rFonts w:hint="eastAsia" w:ascii="宋体" w:hAnsi="宋体"/>
          <w:b/>
          <w:bCs/>
          <w:color w:val="auto"/>
          <w:sz w:val="24"/>
          <w:highlight w:val="none"/>
        </w:rPr>
        <w:t>分。</w:t>
      </w:r>
    </w:p>
    <w:tbl>
      <w:tblPr>
        <w:tblStyle w:val="15"/>
        <w:tblW w:w="96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340"/>
        <w:gridCol w:w="7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br w:type="page"/>
            </w:r>
            <w:r>
              <w:rPr>
                <w:rFonts w:eastAsiaTheme="majorEastAsia"/>
                <w:color w:val="auto"/>
                <w:kern w:val="0"/>
                <w:sz w:val="24"/>
                <w:highlight w:val="none"/>
              </w:rPr>
              <w:t>序号</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评审因素</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1</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投标报价</w:t>
            </w:r>
          </w:p>
          <w:p>
            <w:pPr>
              <w:jc w:val="left"/>
              <w:rPr>
                <w:rFonts w:eastAsiaTheme="majorEastAsia"/>
                <w:color w:val="auto"/>
                <w:kern w:val="0"/>
                <w:sz w:val="24"/>
                <w:highlight w:val="none"/>
              </w:rPr>
            </w:pPr>
            <w:r>
              <w:rPr>
                <w:rFonts w:eastAsiaTheme="majorEastAsia"/>
                <w:color w:val="auto"/>
                <w:kern w:val="0"/>
                <w:sz w:val="24"/>
                <w:highlight w:val="none"/>
              </w:rPr>
              <w:t>（</w:t>
            </w:r>
            <w:r>
              <w:rPr>
                <w:rFonts w:hint="eastAsia" w:eastAsiaTheme="majorEastAsia"/>
                <w:color w:val="auto"/>
                <w:kern w:val="0"/>
                <w:sz w:val="24"/>
                <w:highlight w:val="none"/>
              </w:rPr>
              <w:t>60</w:t>
            </w:r>
            <w:r>
              <w:rPr>
                <w:rFonts w:eastAsiaTheme="majorEastAsia"/>
                <w:color w:val="auto"/>
                <w:kern w:val="0"/>
                <w:sz w:val="24"/>
                <w:highlight w:val="none"/>
              </w:rPr>
              <w:t>分）</w:t>
            </w:r>
          </w:p>
        </w:tc>
        <w:tc>
          <w:tcPr>
            <w:tcW w:w="7581" w:type="dxa"/>
            <w:tcBorders>
              <w:top w:val="single" w:color="auto" w:sz="4" w:space="0"/>
              <w:left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价格分采用低价优先法计算，即满足招标文件要求且投标价格最低的投标报价为评标基准价，其价格分为满分</w:t>
            </w:r>
            <w:r>
              <w:rPr>
                <w:rFonts w:hint="eastAsia" w:eastAsiaTheme="majorEastAsia"/>
                <w:color w:val="auto"/>
                <w:kern w:val="0"/>
                <w:sz w:val="24"/>
                <w:highlight w:val="none"/>
              </w:rPr>
              <w:t>60</w:t>
            </w:r>
            <w:r>
              <w:rPr>
                <w:rFonts w:eastAsiaTheme="majorEastAsia"/>
                <w:color w:val="auto"/>
                <w:kern w:val="0"/>
                <w:sz w:val="24"/>
                <w:highlight w:val="none"/>
              </w:rPr>
              <w:t>分。其他投标人的价格分按照下列公式计算：</w:t>
            </w:r>
          </w:p>
          <w:p>
            <w:pPr>
              <w:jc w:val="left"/>
              <w:rPr>
                <w:rFonts w:eastAsiaTheme="majorEastAsia"/>
                <w:color w:val="auto"/>
                <w:kern w:val="0"/>
                <w:sz w:val="24"/>
                <w:highlight w:val="none"/>
              </w:rPr>
            </w:pPr>
            <w:r>
              <w:rPr>
                <w:rFonts w:eastAsiaTheme="majorEastAsia"/>
                <w:color w:val="auto"/>
                <w:kern w:val="0"/>
                <w:sz w:val="24"/>
                <w:highlight w:val="none"/>
              </w:rPr>
              <w:t>投标报价得分=（评标基准价／投标报价）×</w:t>
            </w:r>
            <w:r>
              <w:rPr>
                <w:rFonts w:hint="eastAsia" w:eastAsiaTheme="majorEastAsia"/>
                <w:color w:val="auto"/>
                <w:kern w:val="0"/>
                <w:sz w:val="24"/>
                <w:highlight w:val="none"/>
              </w:rPr>
              <w:t>60</w:t>
            </w:r>
            <w:r>
              <w:rPr>
                <w:rFonts w:eastAsiaTheme="majorEastAsia"/>
                <w:color w:val="auto"/>
                <w:kern w:val="0"/>
                <w:sz w:val="24"/>
                <w:highlight w:val="none"/>
              </w:rPr>
              <w:t>（精确到小数点后两位）。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rPr>
        <w:tc>
          <w:tcPr>
            <w:tcW w:w="766" w:type="dxa"/>
            <w:tcBorders>
              <w:top w:val="single" w:color="auto" w:sz="4" w:space="0"/>
              <w:left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2</w:t>
            </w:r>
          </w:p>
        </w:tc>
        <w:tc>
          <w:tcPr>
            <w:tcW w:w="1340" w:type="dxa"/>
            <w:tcBorders>
              <w:top w:val="single" w:color="auto" w:sz="4" w:space="0"/>
              <w:left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技术参数</w:t>
            </w:r>
          </w:p>
          <w:p>
            <w:pPr>
              <w:jc w:val="left"/>
              <w:rPr>
                <w:rFonts w:eastAsiaTheme="majorEastAsia"/>
                <w:color w:val="auto"/>
                <w:kern w:val="0"/>
                <w:sz w:val="24"/>
                <w:highlight w:val="none"/>
              </w:rPr>
            </w:pPr>
            <w:r>
              <w:rPr>
                <w:rFonts w:eastAsiaTheme="majorEastAsia"/>
                <w:color w:val="auto"/>
                <w:kern w:val="0"/>
                <w:sz w:val="24"/>
                <w:highlight w:val="none"/>
              </w:rPr>
              <w:t>（</w:t>
            </w:r>
            <w:r>
              <w:rPr>
                <w:rFonts w:hint="eastAsia" w:eastAsiaTheme="majorEastAsia"/>
                <w:color w:val="auto"/>
                <w:kern w:val="0"/>
                <w:sz w:val="24"/>
                <w:highlight w:val="none"/>
              </w:rPr>
              <w:t>28</w:t>
            </w:r>
            <w:r>
              <w:rPr>
                <w:rFonts w:eastAsiaTheme="majorEastAsia"/>
                <w:color w:val="auto"/>
                <w:kern w:val="0"/>
                <w:sz w:val="24"/>
                <w:highlight w:val="none"/>
              </w:rPr>
              <w:t>分）</w:t>
            </w:r>
          </w:p>
        </w:tc>
        <w:tc>
          <w:tcPr>
            <w:tcW w:w="7581" w:type="dxa"/>
            <w:tcBorders>
              <w:top w:val="single" w:color="auto" w:sz="4" w:space="0"/>
              <w:left w:val="single" w:color="auto" w:sz="4" w:space="0"/>
              <w:right w:val="single" w:color="auto" w:sz="4" w:space="0"/>
            </w:tcBorders>
            <w:vAlign w:val="center"/>
          </w:tcPr>
          <w:p>
            <w:pPr>
              <w:spacing w:line="360" w:lineRule="exact"/>
              <w:rPr>
                <w:rFonts w:eastAsiaTheme="majorEastAsia"/>
                <w:color w:val="auto"/>
                <w:kern w:val="0"/>
                <w:sz w:val="24"/>
                <w:highlight w:val="none"/>
              </w:rPr>
            </w:pPr>
            <w:r>
              <w:rPr>
                <w:rFonts w:eastAsiaTheme="majorEastAsia"/>
                <w:color w:val="auto"/>
                <w:kern w:val="0"/>
                <w:sz w:val="24"/>
                <w:highlight w:val="none"/>
              </w:rPr>
              <w:t>设备技术参数全部满足招标要求的得满分；打</w:t>
            </w:r>
            <w:r>
              <w:rPr>
                <w:rFonts w:ascii="Segoe UI Symbol" w:hAnsi="Segoe UI Symbol" w:cs="Segoe UI Symbol" w:eastAsiaTheme="majorEastAsia"/>
                <w:color w:val="auto"/>
                <w:kern w:val="0"/>
                <w:sz w:val="24"/>
                <w:highlight w:val="none"/>
              </w:rPr>
              <w:t>★</w:t>
            </w:r>
            <w:r>
              <w:rPr>
                <w:rFonts w:eastAsiaTheme="majorEastAsia"/>
                <w:color w:val="auto"/>
                <w:kern w:val="0"/>
                <w:sz w:val="24"/>
                <w:highlight w:val="none"/>
              </w:rPr>
              <w:t>号指标为核心指标项，如有负偏离按无效投标处理；</w:t>
            </w:r>
            <w:r>
              <w:rPr>
                <w:rFonts w:hint="eastAsia" w:eastAsiaTheme="majorEastAsia"/>
                <w:color w:val="auto"/>
                <w:kern w:val="0"/>
                <w:sz w:val="24"/>
                <w:highlight w:val="none"/>
              </w:rPr>
              <w:t>▲为重要技术指标，如有1项偏离扣10分，</w:t>
            </w:r>
            <w:r>
              <w:rPr>
                <w:rFonts w:eastAsiaTheme="majorEastAsia"/>
                <w:color w:val="auto"/>
                <w:kern w:val="0"/>
                <w:sz w:val="24"/>
                <w:highlight w:val="none"/>
              </w:rPr>
              <w:t>非打</w:t>
            </w:r>
            <w:r>
              <w:rPr>
                <w:rFonts w:hint="eastAsia" w:ascii="宋体" w:hAnsi="宋体" w:cs="宋体"/>
                <w:color w:val="auto"/>
                <w:kern w:val="0"/>
                <w:szCs w:val="21"/>
                <w:highlight w:val="none"/>
              </w:rPr>
              <w:t>★、</w:t>
            </w:r>
            <w:r>
              <w:rPr>
                <w:rFonts w:hint="eastAsia" w:asciiTheme="minorEastAsia" w:hAnsiTheme="minorEastAsia" w:eastAsiaTheme="minorEastAsia"/>
                <w:color w:val="auto"/>
                <w:sz w:val="24"/>
                <w:highlight w:val="none"/>
              </w:rPr>
              <w:t>▲</w:t>
            </w:r>
            <w:r>
              <w:rPr>
                <w:rFonts w:eastAsiaTheme="majorEastAsia"/>
                <w:color w:val="auto"/>
                <w:kern w:val="0"/>
                <w:sz w:val="24"/>
                <w:highlight w:val="none"/>
              </w:rPr>
              <w:t>号指标，有一项负偏离扣3分，扣完为止。</w:t>
            </w:r>
          </w:p>
          <w:p>
            <w:pPr>
              <w:spacing w:line="360" w:lineRule="exact"/>
              <w:rPr>
                <w:rFonts w:eastAsiaTheme="majorEastAsia"/>
                <w:color w:val="auto"/>
                <w:kern w:val="0"/>
                <w:sz w:val="24"/>
                <w:highlight w:val="none"/>
              </w:rPr>
            </w:pPr>
            <w:r>
              <w:rPr>
                <w:rFonts w:eastAsiaTheme="majorEastAsia"/>
                <w:color w:val="auto"/>
                <w:kern w:val="0"/>
                <w:sz w:val="24"/>
                <w:highlight w:val="none"/>
              </w:rPr>
              <w:t>各投标供应商均应如实填写偏离情况，并提供厂家证明材料，技术参数性能等偏离不能改变采购产品使用的质量和功能，否则为无效投标。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766" w:type="dxa"/>
            <w:tcBorders>
              <w:left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3</w:t>
            </w:r>
          </w:p>
        </w:tc>
        <w:tc>
          <w:tcPr>
            <w:tcW w:w="1340" w:type="dxa"/>
            <w:tcBorders>
              <w:left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厂商信誉（</w:t>
            </w:r>
            <w:r>
              <w:rPr>
                <w:rFonts w:hint="eastAsia" w:eastAsiaTheme="majorEastAsia"/>
                <w:color w:val="auto"/>
                <w:kern w:val="0"/>
                <w:sz w:val="24"/>
                <w:highlight w:val="none"/>
              </w:rPr>
              <w:t>4</w:t>
            </w:r>
            <w:r>
              <w:rPr>
                <w:rFonts w:eastAsiaTheme="majorEastAsia"/>
                <w:color w:val="auto"/>
                <w:kern w:val="0"/>
                <w:sz w:val="24"/>
                <w:highlight w:val="none"/>
              </w:rPr>
              <w:t>分）</w:t>
            </w:r>
          </w:p>
        </w:tc>
        <w:tc>
          <w:tcPr>
            <w:tcW w:w="7581" w:type="dxa"/>
            <w:tcBorders>
              <w:top w:val="single" w:color="auto" w:sz="4" w:space="0"/>
              <w:left w:val="single" w:color="auto" w:sz="4" w:space="0"/>
              <w:right w:val="single" w:color="auto" w:sz="4" w:space="0"/>
            </w:tcBorders>
            <w:vAlign w:val="center"/>
          </w:tcPr>
          <w:p>
            <w:pPr>
              <w:autoSpaceDE w:val="0"/>
              <w:autoSpaceDN w:val="0"/>
              <w:adjustRightInd w:val="0"/>
              <w:rPr>
                <w:rFonts w:eastAsiaTheme="majorEastAsia"/>
                <w:color w:val="auto"/>
                <w:kern w:val="0"/>
                <w:sz w:val="24"/>
                <w:highlight w:val="none"/>
              </w:rPr>
            </w:pPr>
            <w:r>
              <w:rPr>
                <w:rFonts w:eastAsiaTheme="majorEastAsia"/>
                <w:color w:val="auto"/>
                <w:kern w:val="0"/>
                <w:sz w:val="24"/>
                <w:highlight w:val="none"/>
              </w:rPr>
              <w:t>近3年承担</w:t>
            </w:r>
            <w:r>
              <w:rPr>
                <w:rFonts w:hint="eastAsia" w:eastAsiaTheme="majorEastAsia"/>
                <w:color w:val="auto"/>
                <w:kern w:val="0"/>
                <w:sz w:val="24"/>
                <w:highlight w:val="none"/>
              </w:rPr>
              <w:t>类似</w:t>
            </w:r>
            <w:r>
              <w:rPr>
                <w:rFonts w:eastAsiaTheme="majorEastAsia"/>
                <w:color w:val="auto"/>
                <w:kern w:val="0"/>
                <w:sz w:val="24"/>
                <w:highlight w:val="none"/>
              </w:rPr>
              <w:t>项目，每有一个得</w:t>
            </w:r>
            <w:r>
              <w:rPr>
                <w:rFonts w:hint="eastAsia" w:eastAsiaTheme="majorEastAsia"/>
                <w:color w:val="auto"/>
                <w:kern w:val="0"/>
                <w:sz w:val="24"/>
                <w:highlight w:val="none"/>
              </w:rPr>
              <w:t>1</w:t>
            </w:r>
            <w:r>
              <w:rPr>
                <w:rFonts w:eastAsiaTheme="majorEastAsia"/>
                <w:color w:val="auto"/>
                <w:kern w:val="0"/>
                <w:sz w:val="24"/>
                <w:highlight w:val="none"/>
              </w:rPr>
              <w:t>分，最高得</w:t>
            </w:r>
            <w:r>
              <w:rPr>
                <w:rFonts w:hint="eastAsia" w:eastAsiaTheme="majorEastAsia"/>
                <w:color w:val="auto"/>
                <w:kern w:val="0"/>
                <w:sz w:val="24"/>
                <w:highlight w:val="none"/>
              </w:rPr>
              <w:t>4</w:t>
            </w:r>
            <w:r>
              <w:rPr>
                <w:rFonts w:eastAsiaTheme="majorEastAsia"/>
                <w:color w:val="auto"/>
                <w:kern w:val="0"/>
                <w:sz w:val="24"/>
                <w:highlight w:val="none"/>
              </w:rPr>
              <w:t>分；</w:t>
            </w:r>
          </w:p>
          <w:p>
            <w:pPr>
              <w:pStyle w:val="46"/>
              <w:jc w:val="both"/>
              <w:rPr>
                <w:rFonts w:ascii="Times New Roman" w:hAnsi="Times New Roman" w:cs="Times New Roman" w:eastAsiaTheme="majorEastAsia"/>
                <w:color w:val="auto"/>
                <w:sz w:val="24"/>
                <w:szCs w:val="24"/>
                <w:highlight w:val="none"/>
                <w:lang w:val="en-US" w:bidi="ar-SA"/>
              </w:rPr>
            </w:pPr>
            <w:r>
              <w:rPr>
                <w:rFonts w:ascii="Times New Roman" w:hAnsi="Times New Roman" w:cs="Times New Roman" w:eastAsiaTheme="majorEastAsia"/>
                <w:color w:val="auto"/>
                <w:sz w:val="24"/>
                <w:szCs w:val="24"/>
                <w:highlight w:val="none"/>
                <w:lang w:val="en-US" w:bidi="ar-SA"/>
              </w:rPr>
              <w:t>近三年是指2017年6月</w:t>
            </w:r>
            <w:r>
              <w:rPr>
                <w:rFonts w:hint="eastAsia" w:ascii="Times New Roman" w:hAnsi="Times New Roman" w:cs="Times New Roman" w:eastAsiaTheme="majorEastAsia"/>
                <w:color w:val="auto"/>
                <w:sz w:val="24"/>
                <w:szCs w:val="24"/>
                <w:highlight w:val="none"/>
                <w:lang w:val="en-US" w:bidi="ar-SA"/>
              </w:rPr>
              <w:t>1</w:t>
            </w:r>
            <w:r>
              <w:rPr>
                <w:rFonts w:ascii="Times New Roman" w:hAnsi="Times New Roman" w:cs="Times New Roman" w:eastAsiaTheme="majorEastAsia"/>
                <w:color w:val="auto"/>
                <w:sz w:val="24"/>
                <w:szCs w:val="24"/>
                <w:highlight w:val="none"/>
                <w:lang w:val="en-US" w:bidi="ar-SA"/>
              </w:rPr>
              <w:t>日至今，以合同签署时间为准，投标人须提供合同首页、含有项目名称的页面以及签章页，复印件加盖投标人公章，未提供不得分。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4</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售后服务</w:t>
            </w:r>
          </w:p>
          <w:p>
            <w:pPr>
              <w:jc w:val="left"/>
              <w:rPr>
                <w:rFonts w:eastAsiaTheme="majorEastAsia"/>
                <w:color w:val="auto"/>
                <w:kern w:val="0"/>
                <w:sz w:val="24"/>
                <w:highlight w:val="none"/>
              </w:rPr>
            </w:pPr>
            <w:r>
              <w:rPr>
                <w:rFonts w:eastAsiaTheme="majorEastAsia"/>
                <w:color w:val="auto"/>
                <w:kern w:val="0"/>
                <w:sz w:val="24"/>
                <w:highlight w:val="none"/>
              </w:rPr>
              <w:t>（</w:t>
            </w:r>
            <w:r>
              <w:rPr>
                <w:rFonts w:hint="eastAsia" w:eastAsiaTheme="majorEastAsia"/>
                <w:color w:val="auto"/>
                <w:kern w:val="0"/>
                <w:sz w:val="24"/>
                <w:highlight w:val="none"/>
              </w:rPr>
              <w:t>4</w:t>
            </w:r>
            <w:r>
              <w:rPr>
                <w:rFonts w:eastAsiaTheme="majorEastAsia"/>
                <w:color w:val="auto"/>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32"/>
              <w:numPr>
                <w:ilvl w:val="0"/>
                <w:numId w:val="3"/>
              </w:numPr>
              <w:ind w:firstLineChars="0"/>
              <w:rPr>
                <w:rFonts w:eastAsiaTheme="majorEastAsia"/>
                <w:color w:val="auto"/>
                <w:sz w:val="24"/>
                <w:szCs w:val="24"/>
                <w:highlight w:val="none"/>
              </w:rPr>
            </w:pPr>
            <w:r>
              <w:rPr>
                <w:rFonts w:eastAsiaTheme="majorEastAsia"/>
                <w:color w:val="auto"/>
                <w:sz w:val="24"/>
                <w:szCs w:val="24"/>
                <w:highlight w:val="none"/>
              </w:rPr>
              <w:t>安装调试方案（2分）：依据供应商提供的本次招标采购设备到校后的安装调试方案的完整性、合理性最优的得2分，一般得1分，其他不得分。</w:t>
            </w:r>
          </w:p>
          <w:p>
            <w:pPr>
              <w:pStyle w:val="5"/>
              <w:numPr>
                <w:ilvl w:val="0"/>
                <w:numId w:val="3"/>
              </w:numPr>
              <w:kinsoku w:val="0"/>
              <w:overflowPunct w:val="0"/>
              <w:spacing w:line="360" w:lineRule="exact"/>
              <w:jc w:val="left"/>
              <w:rPr>
                <w:rFonts w:eastAsiaTheme="majorEastAsia"/>
                <w:color w:val="auto"/>
                <w:sz w:val="24"/>
                <w:highlight w:val="none"/>
              </w:rPr>
            </w:pPr>
            <w:r>
              <w:rPr>
                <w:rFonts w:eastAsiaTheme="majorEastAsia"/>
                <w:color w:val="auto"/>
                <w:sz w:val="24"/>
                <w:highlight w:val="none"/>
              </w:rPr>
              <w:t>售后服务方案（</w:t>
            </w:r>
            <w:r>
              <w:rPr>
                <w:rFonts w:hint="eastAsia" w:eastAsiaTheme="majorEastAsia"/>
                <w:color w:val="auto"/>
                <w:sz w:val="24"/>
                <w:highlight w:val="none"/>
              </w:rPr>
              <w:t>2</w:t>
            </w:r>
            <w:r>
              <w:rPr>
                <w:rFonts w:eastAsiaTheme="majorEastAsia"/>
                <w:color w:val="auto"/>
                <w:sz w:val="24"/>
                <w:highlight w:val="none"/>
              </w:rPr>
              <w:t>分）：售后服务方案（服务体系、服务内容、故障解决方案、专业技术人员保障及服务电话）最优的得</w:t>
            </w:r>
            <w:r>
              <w:rPr>
                <w:rFonts w:hint="eastAsia" w:eastAsiaTheme="majorEastAsia"/>
                <w:color w:val="auto"/>
                <w:sz w:val="24"/>
                <w:highlight w:val="none"/>
              </w:rPr>
              <w:t>2</w:t>
            </w:r>
            <w:r>
              <w:rPr>
                <w:rFonts w:eastAsiaTheme="majorEastAsia"/>
                <w:color w:val="auto"/>
                <w:sz w:val="24"/>
                <w:highlight w:val="none"/>
              </w:rPr>
              <w:t>分，一般得1分，其他不得分。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5</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承诺</w:t>
            </w:r>
          </w:p>
          <w:p>
            <w:pPr>
              <w:jc w:val="left"/>
              <w:rPr>
                <w:rFonts w:eastAsiaTheme="majorEastAsia"/>
                <w:color w:val="auto"/>
                <w:kern w:val="0"/>
                <w:sz w:val="24"/>
                <w:highlight w:val="none"/>
              </w:rPr>
            </w:pPr>
            <w:r>
              <w:rPr>
                <w:rFonts w:eastAsiaTheme="majorEastAsia"/>
                <w:color w:val="auto"/>
                <w:kern w:val="0"/>
                <w:sz w:val="24"/>
                <w:highlight w:val="none"/>
              </w:rPr>
              <w:t>（</w:t>
            </w:r>
            <w:r>
              <w:rPr>
                <w:rFonts w:hint="eastAsia" w:eastAsiaTheme="majorEastAsia"/>
                <w:color w:val="auto"/>
                <w:kern w:val="0"/>
                <w:sz w:val="24"/>
                <w:highlight w:val="none"/>
              </w:rPr>
              <w:t>2</w:t>
            </w:r>
            <w:r>
              <w:rPr>
                <w:rFonts w:eastAsiaTheme="majorEastAsia"/>
                <w:color w:val="auto"/>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投标人承诺（</w:t>
            </w:r>
            <w:r>
              <w:rPr>
                <w:rFonts w:hint="eastAsia" w:eastAsiaTheme="majorEastAsia"/>
                <w:color w:val="auto"/>
                <w:kern w:val="0"/>
                <w:sz w:val="24"/>
                <w:highlight w:val="none"/>
              </w:rPr>
              <w:t>2</w:t>
            </w:r>
            <w:r>
              <w:rPr>
                <w:rFonts w:eastAsiaTheme="majorEastAsia"/>
                <w:color w:val="auto"/>
                <w:kern w:val="0"/>
                <w:sz w:val="24"/>
                <w:highlight w:val="none"/>
              </w:rPr>
              <w:t>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w:t>
            </w:r>
            <w:r>
              <w:rPr>
                <w:rFonts w:hint="eastAsia" w:eastAsiaTheme="majorEastAsia"/>
                <w:color w:val="auto"/>
                <w:kern w:val="0"/>
                <w:sz w:val="24"/>
                <w:highlight w:val="none"/>
              </w:rPr>
              <w:t>2</w:t>
            </w:r>
            <w:r>
              <w:rPr>
                <w:rFonts w:eastAsiaTheme="majorEastAsia"/>
                <w:color w:val="auto"/>
                <w:kern w:val="0"/>
                <w:sz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hint="eastAsia" w:eastAsiaTheme="majorEastAsia"/>
                <w:color w:val="auto"/>
                <w:kern w:val="0"/>
                <w:sz w:val="24"/>
                <w:highlight w:val="none"/>
              </w:rPr>
              <w:t>6</w:t>
            </w:r>
          </w:p>
        </w:tc>
        <w:tc>
          <w:tcPr>
            <w:tcW w:w="1340" w:type="dxa"/>
            <w:tcBorders>
              <w:top w:val="single" w:color="auto" w:sz="4" w:space="0"/>
              <w:left w:val="single" w:color="auto" w:sz="4" w:space="0"/>
              <w:bottom w:val="single" w:color="auto" w:sz="4" w:space="0"/>
              <w:right w:val="single" w:color="auto" w:sz="4" w:space="0"/>
            </w:tcBorders>
            <w:vAlign w:val="center"/>
          </w:tcPr>
          <w:p>
            <w:pPr>
              <w:jc w:val="left"/>
              <w:rPr>
                <w:rFonts w:eastAsiaTheme="majorEastAsia"/>
                <w:color w:val="auto"/>
                <w:kern w:val="0"/>
                <w:sz w:val="24"/>
                <w:highlight w:val="none"/>
              </w:rPr>
            </w:pPr>
            <w:r>
              <w:rPr>
                <w:rFonts w:eastAsiaTheme="majorEastAsia"/>
                <w:color w:val="auto"/>
                <w:kern w:val="0"/>
                <w:sz w:val="24"/>
                <w:highlight w:val="none"/>
              </w:rPr>
              <w:t>投标文件</w:t>
            </w:r>
          </w:p>
          <w:p>
            <w:pPr>
              <w:jc w:val="left"/>
              <w:rPr>
                <w:rFonts w:eastAsiaTheme="majorEastAsia"/>
                <w:color w:val="auto"/>
                <w:kern w:val="0"/>
                <w:sz w:val="24"/>
                <w:highlight w:val="none"/>
              </w:rPr>
            </w:pPr>
            <w:r>
              <w:rPr>
                <w:rFonts w:hint="eastAsia" w:eastAsiaTheme="majorEastAsia"/>
                <w:color w:val="auto"/>
                <w:kern w:val="0"/>
                <w:sz w:val="24"/>
                <w:highlight w:val="none"/>
              </w:rPr>
              <w:t>编制</w:t>
            </w:r>
            <w:r>
              <w:rPr>
                <w:rFonts w:eastAsiaTheme="majorEastAsia"/>
                <w:color w:val="auto"/>
                <w:kern w:val="0"/>
                <w:sz w:val="24"/>
                <w:highlight w:val="none"/>
              </w:rPr>
              <w:t>（</w:t>
            </w:r>
            <w:r>
              <w:rPr>
                <w:rFonts w:hint="eastAsia" w:eastAsiaTheme="majorEastAsia"/>
                <w:color w:val="auto"/>
                <w:kern w:val="0"/>
                <w:sz w:val="24"/>
                <w:highlight w:val="none"/>
              </w:rPr>
              <w:t>2</w:t>
            </w:r>
            <w:r>
              <w:rPr>
                <w:rFonts w:eastAsiaTheme="majorEastAsia"/>
                <w:color w:val="auto"/>
                <w:kern w:val="0"/>
                <w:sz w:val="24"/>
                <w:highlight w:val="none"/>
              </w:rPr>
              <w:t>分）</w:t>
            </w:r>
          </w:p>
        </w:tc>
        <w:tc>
          <w:tcPr>
            <w:tcW w:w="7581" w:type="dxa"/>
            <w:tcBorders>
              <w:top w:val="single" w:color="auto" w:sz="4" w:space="0"/>
              <w:left w:val="single" w:color="auto" w:sz="4" w:space="0"/>
              <w:bottom w:val="single" w:color="auto" w:sz="4" w:space="0"/>
              <w:right w:val="single" w:color="auto" w:sz="4" w:space="0"/>
            </w:tcBorders>
            <w:vAlign w:val="center"/>
          </w:tcPr>
          <w:p>
            <w:pPr>
              <w:pStyle w:val="46"/>
              <w:jc w:val="both"/>
              <w:rPr>
                <w:rFonts w:ascii="Times New Roman" w:hAnsi="Times New Roman" w:cs="Times New Roman" w:eastAsiaTheme="majorEastAsia"/>
                <w:color w:val="auto"/>
                <w:sz w:val="24"/>
                <w:szCs w:val="24"/>
                <w:highlight w:val="none"/>
                <w:lang w:val="en-US" w:bidi="ar-SA"/>
              </w:rPr>
            </w:pPr>
            <w:r>
              <w:rPr>
                <w:rFonts w:hint="eastAsia" w:ascii="Times New Roman" w:hAnsi="Times New Roman" w:cs="Times New Roman" w:eastAsiaTheme="majorEastAsia"/>
                <w:color w:val="auto"/>
                <w:sz w:val="24"/>
                <w:szCs w:val="24"/>
                <w:highlight w:val="none"/>
                <w:lang w:val="en-US" w:bidi="ar-SA"/>
              </w:rPr>
              <w:t>文件内容完备，格式规范，封装整齐，满足招标文件要求得2分。没有目录或目录与内文不对应扣1分；编排混乱、前后矛盾，评审委员会允许且需要通过询标等程序进行澄清的，扣0.5分；字迹模糊难辨扣0.5分。</w:t>
            </w:r>
          </w:p>
        </w:tc>
      </w:tr>
    </w:tbl>
    <w:p>
      <w:pPr>
        <w:rPr>
          <w:b/>
          <w:color w:val="auto"/>
          <w:sz w:val="28"/>
          <w:szCs w:val="28"/>
          <w:highlight w:val="none"/>
        </w:rPr>
      </w:pPr>
      <w:r>
        <w:rPr>
          <w:b/>
          <w:color w:val="auto"/>
          <w:sz w:val="28"/>
          <w:szCs w:val="28"/>
          <w:highlight w:val="none"/>
        </w:rPr>
        <w:br w:type="page"/>
      </w:r>
    </w:p>
    <w:p>
      <w:pPr>
        <w:spacing w:line="360" w:lineRule="auto"/>
        <w:rPr>
          <w:b/>
          <w:color w:val="auto"/>
          <w:sz w:val="28"/>
          <w:szCs w:val="28"/>
          <w:highlight w:val="none"/>
        </w:rPr>
      </w:pPr>
      <w:r>
        <w:rPr>
          <w:rFonts w:hint="eastAsia"/>
          <w:b/>
          <w:color w:val="auto"/>
          <w:sz w:val="28"/>
          <w:szCs w:val="28"/>
          <w:highlight w:val="none"/>
        </w:rPr>
        <w:t>附件</w:t>
      </w:r>
      <w:r>
        <w:rPr>
          <w:b/>
          <w:color w:val="auto"/>
          <w:sz w:val="28"/>
          <w:szCs w:val="28"/>
          <w:highlight w:val="none"/>
        </w:rPr>
        <w:t>6</w:t>
      </w:r>
      <w:r>
        <w:rPr>
          <w:rFonts w:hint="eastAsia"/>
          <w:b/>
          <w:color w:val="auto"/>
          <w:sz w:val="28"/>
          <w:szCs w:val="28"/>
          <w:highlight w:val="none"/>
        </w:rPr>
        <w:t>：</w:t>
      </w:r>
    </w:p>
    <w:p>
      <w:pPr>
        <w:adjustRightInd w:val="0"/>
        <w:snapToGrid w:val="0"/>
        <w:spacing w:beforeLines="50" w:afterLines="50" w:line="360" w:lineRule="auto"/>
        <w:jc w:val="center"/>
        <w:outlineLvl w:val="0"/>
        <w:rPr>
          <w:rFonts w:ascii="黑体" w:hAnsi="黑体" w:eastAsia="黑体"/>
          <w:b/>
          <w:bCs/>
          <w:color w:val="auto"/>
          <w:sz w:val="34"/>
          <w:highlight w:val="none"/>
        </w:rPr>
      </w:pPr>
      <w:r>
        <w:rPr>
          <w:rFonts w:hint="eastAsia" w:ascii="黑体" w:hAnsi="黑体" w:eastAsia="黑体"/>
          <w:b/>
          <w:color w:val="auto"/>
          <w:sz w:val="34"/>
          <w:highlight w:val="none"/>
        </w:rPr>
        <w:t>采购合同</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项目名称：</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项目编号：</w:t>
      </w:r>
    </w:p>
    <w:p>
      <w:pPr>
        <w:pStyle w:val="8"/>
        <w:adjustRightInd w:val="0"/>
        <w:snapToGrid w:val="0"/>
        <w:spacing w:before="120" w:after="120" w:line="360" w:lineRule="auto"/>
        <w:ind w:firstLine="658"/>
        <w:rPr>
          <w:rFonts w:hAnsi="宋体"/>
          <w:color w:val="auto"/>
          <w:sz w:val="24"/>
          <w:szCs w:val="24"/>
          <w:highlight w:val="none"/>
          <w:u w:val="single"/>
        </w:rPr>
      </w:pPr>
      <w:r>
        <w:rPr>
          <w:rFonts w:hint="eastAsia" w:hAnsi="宋体"/>
          <w:color w:val="auto"/>
          <w:sz w:val="24"/>
          <w:szCs w:val="24"/>
          <w:highlight w:val="none"/>
        </w:rPr>
        <w:t>甲方：（买方）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乙方：（卖方）</w:t>
      </w:r>
      <w:r>
        <w:rPr>
          <w:rFonts w:hAnsi="宋体"/>
          <w:color w:val="auto"/>
          <w:sz w:val="24"/>
          <w:szCs w:val="24"/>
          <w:highlight w:val="none"/>
        </w:rPr>
        <w:t>__________________</w:t>
      </w:r>
    </w:p>
    <w:p>
      <w:pPr>
        <w:pStyle w:val="8"/>
        <w:adjustRightInd w:val="0"/>
        <w:snapToGrid w:val="0"/>
        <w:spacing w:before="120" w:after="120" w:line="360" w:lineRule="auto"/>
        <w:ind w:firstLine="658"/>
        <w:rPr>
          <w:rFonts w:hAnsi="宋体"/>
          <w:b/>
          <w:color w:val="auto"/>
          <w:sz w:val="24"/>
          <w:szCs w:val="24"/>
          <w:highlight w:val="none"/>
        </w:rPr>
      </w:pPr>
      <w:r>
        <w:rPr>
          <w:rFonts w:hint="eastAsia" w:hAnsi="宋体"/>
          <w:color w:val="auto"/>
          <w:sz w:val="24"/>
          <w:szCs w:val="24"/>
          <w:highlight w:val="none"/>
        </w:rPr>
        <w:t>甲、乙双方根据甲方项目采购谈判的结果，签署本合同。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一、货物内容</w:t>
      </w:r>
    </w:p>
    <w:tbl>
      <w:tblPr>
        <w:tblStyle w:val="15"/>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分包号</w:t>
            </w:r>
          </w:p>
        </w:tc>
        <w:tc>
          <w:tcPr>
            <w:tcW w:w="116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货物</w:t>
            </w:r>
          </w:p>
          <w:p>
            <w:pPr>
              <w:spacing w:line="360" w:lineRule="auto"/>
              <w:jc w:val="center"/>
              <w:rPr>
                <w:rFonts w:ascii="宋体"/>
                <w:b/>
                <w:color w:val="auto"/>
                <w:sz w:val="24"/>
                <w:highlight w:val="none"/>
              </w:rPr>
            </w:pPr>
            <w:r>
              <w:rPr>
                <w:rFonts w:hint="eastAsia" w:ascii="宋体" w:hAnsi="宋体"/>
                <w:b/>
                <w:color w:val="auto"/>
                <w:sz w:val="24"/>
                <w:highlight w:val="none"/>
              </w:rPr>
              <w:t>名称</w:t>
            </w:r>
          </w:p>
        </w:tc>
        <w:tc>
          <w:tcPr>
            <w:tcW w:w="1115"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型号</w:t>
            </w:r>
            <w:r>
              <w:rPr>
                <w:rFonts w:ascii="宋体" w:hAnsi="宋体"/>
                <w:b/>
                <w:color w:val="auto"/>
                <w:sz w:val="24"/>
                <w:highlight w:val="none"/>
              </w:rPr>
              <w:t>/</w:t>
            </w:r>
          </w:p>
          <w:p>
            <w:pPr>
              <w:spacing w:line="360" w:lineRule="auto"/>
              <w:jc w:val="center"/>
              <w:rPr>
                <w:rFonts w:ascii="宋体"/>
                <w:b/>
                <w:color w:val="auto"/>
                <w:sz w:val="24"/>
                <w:highlight w:val="none"/>
              </w:rPr>
            </w:pPr>
            <w:r>
              <w:rPr>
                <w:rFonts w:hint="eastAsia" w:ascii="宋体" w:hAnsi="宋体"/>
                <w:b/>
                <w:color w:val="auto"/>
                <w:sz w:val="24"/>
                <w:highlight w:val="none"/>
              </w:rPr>
              <w:t>规格</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品牌</w:t>
            </w:r>
            <w:r>
              <w:rPr>
                <w:rFonts w:ascii="宋体" w:hAnsi="宋体"/>
                <w:b/>
                <w:color w:val="auto"/>
                <w:sz w:val="24"/>
                <w:highlight w:val="none"/>
              </w:rPr>
              <w:t>/</w:t>
            </w:r>
            <w:r>
              <w:rPr>
                <w:rFonts w:hint="eastAsia" w:ascii="宋体" w:hAnsi="宋体"/>
                <w:b/>
                <w:color w:val="auto"/>
                <w:sz w:val="24"/>
                <w:highlight w:val="none"/>
              </w:rPr>
              <w:t>生产厂家</w:t>
            </w:r>
            <w:r>
              <w:rPr>
                <w:rFonts w:ascii="宋体" w:hAnsi="宋体"/>
                <w:b/>
                <w:color w:val="auto"/>
                <w:sz w:val="24"/>
                <w:highlight w:val="none"/>
              </w:rPr>
              <w:t>/</w:t>
            </w:r>
            <w:r>
              <w:rPr>
                <w:rFonts w:hint="eastAsia" w:ascii="宋体" w:hAnsi="宋体"/>
                <w:b/>
                <w:color w:val="auto"/>
                <w:sz w:val="24"/>
                <w:highlight w:val="none"/>
              </w:rPr>
              <w:t>国别</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计量</w:t>
            </w:r>
          </w:p>
          <w:p>
            <w:pPr>
              <w:spacing w:line="360" w:lineRule="auto"/>
              <w:jc w:val="center"/>
              <w:rPr>
                <w:rFonts w:ascii="宋体"/>
                <w:b/>
                <w:color w:val="auto"/>
                <w:sz w:val="24"/>
                <w:highlight w:val="none"/>
              </w:rPr>
            </w:pPr>
            <w:r>
              <w:rPr>
                <w:rFonts w:hint="eastAsia" w:ascii="宋体" w:hAnsi="宋体"/>
                <w:b/>
                <w:color w:val="auto"/>
                <w:sz w:val="24"/>
                <w:highlight w:val="none"/>
              </w:rPr>
              <w:t>单位</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数量</w:t>
            </w:r>
          </w:p>
        </w:tc>
        <w:tc>
          <w:tcPr>
            <w:tcW w:w="1160"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单价</w:t>
            </w:r>
          </w:p>
        </w:tc>
        <w:tc>
          <w:tcPr>
            <w:tcW w:w="1162"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每项</w:t>
            </w:r>
          </w:p>
          <w:p>
            <w:pPr>
              <w:spacing w:line="360" w:lineRule="auto"/>
              <w:jc w:val="center"/>
              <w:rPr>
                <w:rFonts w:ascii="宋体"/>
                <w:b/>
                <w:color w:val="auto"/>
                <w:sz w:val="24"/>
                <w:highlight w:val="none"/>
              </w:rPr>
            </w:pPr>
            <w:r>
              <w:rPr>
                <w:rFonts w:hint="eastAsia" w:ascii="宋体" w:hAnsi="宋体"/>
                <w:b/>
                <w:color w:val="auto"/>
                <w:sz w:val="24"/>
                <w:highlight w:val="none"/>
              </w:rPr>
              <w:t>总价</w:t>
            </w:r>
          </w:p>
        </w:tc>
        <w:tc>
          <w:tcPr>
            <w:tcW w:w="1171" w:type="dxa"/>
            <w:vAlign w:val="center"/>
          </w:tcPr>
          <w:p>
            <w:pPr>
              <w:spacing w:line="360" w:lineRule="auto"/>
              <w:jc w:val="center"/>
              <w:rPr>
                <w:rFonts w:ascii="宋体"/>
                <w:b/>
                <w:color w:val="auto"/>
                <w:sz w:val="24"/>
                <w:highlight w:val="none"/>
              </w:rPr>
            </w:pPr>
            <w:r>
              <w:rPr>
                <w:rFonts w:hint="eastAsia" w:ascii="宋体" w:hAnsi="宋体"/>
                <w:b/>
                <w:color w:val="auto"/>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color w:val="auto"/>
                <w:sz w:val="24"/>
                <w:highlight w:val="none"/>
              </w:rPr>
            </w:pPr>
          </w:p>
        </w:tc>
        <w:tc>
          <w:tcPr>
            <w:tcW w:w="1165" w:type="dxa"/>
            <w:vAlign w:val="center"/>
          </w:tcPr>
          <w:p>
            <w:pPr>
              <w:spacing w:line="360" w:lineRule="auto"/>
              <w:jc w:val="center"/>
              <w:rPr>
                <w:rFonts w:ascii="宋体"/>
                <w:color w:val="auto"/>
                <w:sz w:val="24"/>
                <w:highlight w:val="none"/>
              </w:rPr>
            </w:pPr>
          </w:p>
        </w:tc>
        <w:tc>
          <w:tcPr>
            <w:tcW w:w="1115" w:type="dxa"/>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0" w:type="dxa"/>
            <w:vAlign w:val="center"/>
          </w:tcPr>
          <w:p>
            <w:pPr>
              <w:spacing w:line="360" w:lineRule="auto"/>
              <w:jc w:val="center"/>
              <w:rPr>
                <w:rFonts w:ascii="宋体"/>
                <w:color w:val="auto"/>
                <w:sz w:val="24"/>
                <w:highlight w:val="none"/>
              </w:rPr>
            </w:pPr>
          </w:p>
        </w:tc>
        <w:tc>
          <w:tcPr>
            <w:tcW w:w="1162" w:type="dxa"/>
            <w:vAlign w:val="center"/>
          </w:tcPr>
          <w:p>
            <w:pPr>
              <w:spacing w:line="360" w:lineRule="auto"/>
              <w:jc w:val="center"/>
              <w:rPr>
                <w:rFonts w:ascii="宋体"/>
                <w:color w:val="auto"/>
                <w:sz w:val="24"/>
                <w:highlight w:val="none"/>
              </w:rPr>
            </w:pPr>
          </w:p>
        </w:tc>
        <w:tc>
          <w:tcPr>
            <w:tcW w:w="1171" w:type="dxa"/>
          </w:tcPr>
          <w:p>
            <w:pPr>
              <w:spacing w:line="360" w:lineRule="auto"/>
              <w:jc w:val="center"/>
              <w:rPr>
                <w:rFonts w:asci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color w:val="auto"/>
                <w:sz w:val="24"/>
                <w:highlight w:val="none"/>
              </w:rPr>
            </w:pPr>
            <w:r>
              <w:rPr>
                <w:rFonts w:hint="eastAsia" w:ascii="宋体" w:hAnsi="宋体"/>
                <w:color w:val="auto"/>
                <w:sz w:val="24"/>
                <w:highlight w:val="none"/>
              </w:rPr>
              <w:t>合计总价</w:t>
            </w:r>
          </w:p>
        </w:tc>
        <w:tc>
          <w:tcPr>
            <w:tcW w:w="8088" w:type="dxa"/>
            <w:gridSpan w:val="7"/>
            <w:vAlign w:val="center"/>
          </w:tcPr>
          <w:p>
            <w:pPr>
              <w:spacing w:line="360" w:lineRule="auto"/>
              <w:rPr>
                <w:rFonts w:ascii="宋体"/>
                <w:color w:val="auto"/>
                <w:sz w:val="24"/>
                <w:highlight w:val="none"/>
                <w:u w:val="single"/>
              </w:rPr>
            </w:pPr>
            <w:r>
              <w:rPr>
                <w:rFonts w:hint="eastAsia" w:ascii="宋体" w:hAnsi="宋体"/>
                <w:color w:val="auto"/>
                <w:sz w:val="24"/>
                <w:highlight w:val="none"/>
              </w:rPr>
              <w:t>大写：      小写：      元</w:t>
            </w:r>
          </w:p>
        </w:tc>
      </w:tr>
    </w:tbl>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二、合同金额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2.1 </w:t>
      </w:r>
      <w:r>
        <w:rPr>
          <w:rFonts w:hint="eastAsia" w:hAnsi="宋体"/>
          <w:color w:val="auto"/>
          <w:sz w:val="24"/>
          <w:szCs w:val="24"/>
          <w:highlight w:val="none"/>
        </w:rPr>
        <w:t>本合同金额为（大写）：</w:t>
      </w:r>
      <w:r>
        <w:rPr>
          <w:rFonts w:hAnsi="宋体"/>
          <w:color w:val="auto"/>
          <w:sz w:val="24"/>
          <w:szCs w:val="24"/>
          <w:highlight w:val="none"/>
        </w:rPr>
        <w:t>________________________</w:t>
      </w:r>
      <w:r>
        <w:rPr>
          <w:rFonts w:hint="eastAsia" w:hAnsi="宋体"/>
          <w:color w:val="auto"/>
          <w:sz w:val="24"/>
          <w:szCs w:val="24"/>
          <w:highlight w:val="none"/>
        </w:rPr>
        <w:t>元人民币。</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三、技术资料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3.1</w:t>
      </w:r>
      <w:r>
        <w:rPr>
          <w:rFonts w:hint="eastAsia" w:hAnsi="宋体"/>
          <w:color w:val="auto"/>
          <w:sz w:val="24"/>
          <w:szCs w:val="24"/>
          <w:highlight w:val="none"/>
        </w:rPr>
        <w:t>乙方应按采购文件规定的时间向甲方提供使用货物的有关技术资料。</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3.2 </w:t>
      </w:r>
      <w:r>
        <w:rPr>
          <w:rFonts w:hint="eastAsia" w:hAnsi="宋体"/>
          <w:color w:val="auto"/>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adjustRightInd w:val="0"/>
        <w:snapToGrid w:val="0"/>
        <w:spacing w:before="120" w:after="120" w:line="360" w:lineRule="auto"/>
        <w:ind w:left="50" w:firstLine="660"/>
        <w:rPr>
          <w:rFonts w:hAnsi="宋体"/>
          <w:b/>
          <w:color w:val="auto"/>
          <w:sz w:val="24"/>
          <w:szCs w:val="24"/>
          <w:highlight w:val="none"/>
        </w:rPr>
      </w:pPr>
      <w:r>
        <w:rPr>
          <w:rFonts w:hint="eastAsia" w:hAnsi="宋体"/>
          <w:b/>
          <w:color w:val="auto"/>
          <w:sz w:val="24"/>
          <w:szCs w:val="24"/>
          <w:highlight w:val="none"/>
        </w:rPr>
        <w:t>四、知识产权</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4.1</w:t>
      </w:r>
      <w:r>
        <w:rPr>
          <w:rFonts w:hint="eastAsia" w:hAnsi="宋体"/>
          <w:color w:val="auto"/>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8"/>
        <w:adjustRightInd w:val="0"/>
        <w:snapToGrid w:val="0"/>
        <w:spacing w:before="120" w:after="120" w:line="360" w:lineRule="auto"/>
        <w:ind w:firstLine="660"/>
        <w:rPr>
          <w:rFonts w:hAnsi="宋体"/>
          <w:color w:val="auto"/>
          <w:sz w:val="24"/>
          <w:szCs w:val="24"/>
          <w:highlight w:val="none"/>
          <w:u w:val="single"/>
        </w:rPr>
      </w:pPr>
      <w:r>
        <w:rPr>
          <w:rFonts w:hint="eastAsia" w:hAnsi="宋体"/>
          <w:b/>
          <w:color w:val="auto"/>
          <w:sz w:val="24"/>
          <w:szCs w:val="24"/>
          <w:highlight w:val="none"/>
        </w:rPr>
        <w:t>五、产权担保</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5.1 </w:t>
      </w:r>
      <w:r>
        <w:rPr>
          <w:rFonts w:hint="eastAsia" w:hAnsi="宋体"/>
          <w:color w:val="auto"/>
          <w:sz w:val="24"/>
          <w:szCs w:val="24"/>
          <w:highlight w:val="none"/>
        </w:rPr>
        <w:t>乙方保证所交付的货物的所有权完全属于乙方且无任何抵押、查封等产权瑕疵。</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六、履约保证金</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6.1 </w:t>
      </w:r>
      <w:r>
        <w:rPr>
          <w:rFonts w:hint="eastAsia" w:hAnsi="宋体"/>
          <w:color w:val="auto"/>
          <w:sz w:val="24"/>
          <w:szCs w:val="24"/>
          <w:highlight w:val="none"/>
        </w:rPr>
        <w:t>乙方交纳人民币</w:t>
      </w:r>
      <w:r>
        <w:rPr>
          <w:rFonts w:hAnsi="宋体"/>
          <w:color w:val="auto"/>
          <w:sz w:val="24"/>
          <w:szCs w:val="24"/>
          <w:highlight w:val="none"/>
        </w:rPr>
        <w:t>_____</w:t>
      </w:r>
      <w:r>
        <w:rPr>
          <w:rFonts w:hint="eastAsia" w:hAnsi="宋体"/>
          <w:color w:val="auto"/>
          <w:sz w:val="24"/>
          <w:szCs w:val="24"/>
          <w:highlight w:val="none"/>
        </w:rPr>
        <w:t>元作为本合同的履约保证金。</w:t>
      </w:r>
    </w:p>
    <w:p>
      <w:pPr>
        <w:adjustRightInd w:val="0"/>
        <w:snapToGrid w:val="0"/>
        <w:spacing w:beforeLines="50" w:afterLines="50" w:line="360" w:lineRule="auto"/>
        <w:ind w:firstLine="480"/>
        <w:rPr>
          <w:rFonts w:ascii="宋体" w:cs="Courier New"/>
          <w:b/>
          <w:color w:val="auto"/>
          <w:sz w:val="24"/>
          <w:highlight w:val="none"/>
        </w:rPr>
      </w:pPr>
      <w:r>
        <w:rPr>
          <w:rFonts w:hint="eastAsia" w:ascii="宋体" w:hAnsi="宋体" w:cs="Courier New"/>
          <w:b/>
          <w:color w:val="auto"/>
          <w:sz w:val="24"/>
          <w:highlight w:val="none"/>
        </w:rPr>
        <w:t>七</w:t>
      </w:r>
      <w:r>
        <w:rPr>
          <w:rFonts w:ascii="宋体" w:cs="Courier New"/>
          <w:b/>
          <w:color w:val="auto"/>
          <w:sz w:val="24"/>
          <w:highlight w:val="none"/>
        </w:rPr>
        <w:t>.</w:t>
      </w:r>
      <w:r>
        <w:rPr>
          <w:rFonts w:hint="eastAsia" w:ascii="宋体" w:hAnsi="宋体" w:cs="Courier New"/>
          <w:b/>
          <w:color w:val="auto"/>
          <w:sz w:val="24"/>
          <w:highlight w:val="none"/>
        </w:rPr>
        <w:t>转包或分包</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7.1</w:t>
      </w:r>
      <w:r>
        <w:rPr>
          <w:rFonts w:hint="eastAsia" w:hAnsi="宋体"/>
          <w:color w:val="auto"/>
          <w:sz w:val="24"/>
          <w:szCs w:val="24"/>
          <w:highlight w:val="none"/>
        </w:rPr>
        <w:t>本合同范围的货物，应由乙方直接供应，不得转让他人供应；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7.2</w:t>
      </w:r>
      <w:r>
        <w:rPr>
          <w:rFonts w:hint="eastAsia" w:hAnsi="宋体"/>
          <w:color w:val="auto"/>
          <w:sz w:val="24"/>
          <w:szCs w:val="24"/>
          <w:highlight w:val="none"/>
        </w:rPr>
        <w:t>除非得到甲方的书面同意，乙方不得部分分包给他人供应。</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7.3</w:t>
      </w:r>
      <w:r>
        <w:rPr>
          <w:rFonts w:hint="eastAsia" w:hAnsi="宋体"/>
          <w:color w:val="auto"/>
          <w:sz w:val="24"/>
          <w:szCs w:val="24"/>
          <w:highlight w:val="none"/>
        </w:rPr>
        <w:t>如有转让和未经甲方同意的分包行为，甲方有权给予终止合同。</w:t>
      </w:r>
    </w:p>
    <w:p>
      <w:pPr>
        <w:pStyle w:val="8"/>
        <w:adjustRightInd w:val="0"/>
        <w:snapToGrid w:val="0"/>
        <w:spacing w:before="120" w:after="120" w:line="360" w:lineRule="auto"/>
        <w:ind w:firstLine="660"/>
        <w:rPr>
          <w:rFonts w:hAnsi="宋体"/>
          <w:color w:val="auto"/>
          <w:sz w:val="24"/>
          <w:szCs w:val="24"/>
          <w:highlight w:val="none"/>
        </w:rPr>
      </w:pPr>
      <w:r>
        <w:rPr>
          <w:rFonts w:hint="eastAsia" w:hAnsi="宋体"/>
          <w:b/>
          <w:color w:val="auto"/>
          <w:sz w:val="24"/>
          <w:szCs w:val="24"/>
          <w:highlight w:val="none"/>
        </w:rPr>
        <w:t>八、质保期</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8.1 </w:t>
      </w:r>
      <w:r>
        <w:rPr>
          <w:rFonts w:hint="eastAsia" w:hAnsi="宋体"/>
          <w:color w:val="auto"/>
          <w:sz w:val="24"/>
          <w:szCs w:val="24"/>
          <w:highlight w:val="none"/>
        </w:rPr>
        <w:t>质保期1年。（自交货验收合格之日起计）</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九、交货期、交货方式及交货地点</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9.1 </w:t>
      </w:r>
      <w:r>
        <w:rPr>
          <w:rFonts w:hint="eastAsia" w:hAnsi="宋体"/>
          <w:color w:val="auto"/>
          <w:sz w:val="24"/>
          <w:szCs w:val="24"/>
          <w:highlight w:val="none"/>
        </w:rPr>
        <w:t>交货期：</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9.2 </w:t>
      </w:r>
      <w:r>
        <w:rPr>
          <w:rFonts w:hint="eastAsia" w:hAnsi="宋体"/>
          <w:color w:val="auto"/>
          <w:sz w:val="24"/>
          <w:szCs w:val="24"/>
          <w:highlight w:val="none"/>
        </w:rPr>
        <w:t>交货方式：</w:t>
      </w:r>
      <w:r>
        <w:rPr>
          <w:rFonts w:hAnsi="宋体"/>
          <w:color w:val="auto"/>
          <w:sz w:val="24"/>
          <w:szCs w:val="24"/>
          <w:highlight w:val="none"/>
        </w:rPr>
        <w:t>_________</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9.3 </w:t>
      </w:r>
      <w:r>
        <w:rPr>
          <w:rFonts w:hint="eastAsia" w:hAnsi="宋体"/>
          <w:color w:val="auto"/>
          <w:sz w:val="24"/>
          <w:szCs w:val="24"/>
          <w:highlight w:val="none"/>
        </w:rPr>
        <w:t>交货地点：用户单位地点或用户指定地点。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十、货款支付</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10.1</w:t>
      </w:r>
      <w:r>
        <w:rPr>
          <w:rFonts w:hint="eastAsia" w:hAnsi="宋体"/>
          <w:color w:val="auto"/>
          <w:sz w:val="24"/>
          <w:szCs w:val="24"/>
          <w:highlight w:val="none"/>
        </w:rPr>
        <w:t>付款方式：针对国内供应货物，</w:t>
      </w:r>
      <w:r>
        <w:rPr>
          <w:rFonts w:hAnsi="宋体"/>
          <w:color w:val="auto"/>
          <w:sz w:val="24"/>
          <w:szCs w:val="24"/>
          <w:highlight w:val="none"/>
        </w:rPr>
        <w:t>中标单位所供设备（或软件、服务）进场安装调试或服务工作完毕，经验收、检测合格后，提供全额税务发票，凭最终签字和盖章的验收合格报告，支付至合同价的95%，余5%作质保金</w:t>
      </w:r>
      <w:r>
        <w:rPr>
          <w:rFonts w:hint="eastAsia" w:hAnsi="宋体"/>
          <w:color w:val="auto"/>
          <w:sz w:val="24"/>
          <w:szCs w:val="24"/>
          <w:highlight w:val="none"/>
        </w:rPr>
        <w:t>，质保期满后</w:t>
      </w:r>
      <w:r>
        <w:rPr>
          <w:rFonts w:hAnsi="宋体"/>
          <w:color w:val="auto"/>
          <w:sz w:val="24"/>
          <w:szCs w:val="24"/>
          <w:highlight w:val="none"/>
        </w:rPr>
        <w:t>并经有关单位确认无质量问题后，一次性</w:t>
      </w:r>
      <w:r>
        <w:rPr>
          <w:rFonts w:hint="eastAsia" w:hAnsi="宋体"/>
          <w:color w:val="auto"/>
          <w:sz w:val="24"/>
          <w:szCs w:val="24"/>
          <w:highlight w:val="none"/>
          <w:lang w:val="en-US" w:eastAsia="zh-CN"/>
        </w:rPr>
        <w:t>无息付清</w:t>
      </w:r>
      <w:r>
        <w:rPr>
          <w:rFonts w:hAnsi="宋体"/>
          <w:color w:val="auto"/>
          <w:sz w:val="24"/>
          <w:szCs w:val="24"/>
          <w:highlight w:val="none"/>
        </w:rPr>
        <w:t>。具体内容以最终签署的合同约定为准。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color w:val="auto"/>
          <w:sz w:val="24"/>
          <w:highlight w:val="none"/>
        </w:rPr>
      </w:pPr>
      <w:r>
        <w:rPr>
          <w:rFonts w:hint="eastAsia" w:ascii="宋体" w:hAnsi="宋体"/>
          <w:b/>
          <w:color w:val="auto"/>
          <w:sz w:val="24"/>
          <w:highlight w:val="none"/>
        </w:rPr>
        <w:t>十一、税</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11.1</w:t>
      </w:r>
      <w:r>
        <w:rPr>
          <w:rFonts w:hint="eastAsia" w:hAnsi="宋体"/>
          <w:color w:val="auto"/>
          <w:sz w:val="24"/>
          <w:szCs w:val="24"/>
          <w:highlight w:val="none"/>
        </w:rPr>
        <w:t>发票要求：针对国内供货的货物，乙方开具合同全额“增值税专用发票”。</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本合同执行中相关的一切税费均由乙方负担。</w:t>
      </w:r>
    </w:p>
    <w:p>
      <w:pPr>
        <w:pStyle w:val="8"/>
        <w:adjustRightInd w:val="0"/>
        <w:snapToGrid w:val="0"/>
        <w:spacing w:before="120" w:after="120" w:line="360" w:lineRule="auto"/>
        <w:ind w:left="1" w:firstLine="660"/>
        <w:rPr>
          <w:rFonts w:hAnsi="宋体"/>
          <w:color w:val="auto"/>
          <w:sz w:val="24"/>
          <w:szCs w:val="24"/>
          <w:highlight w:val="none"/>
        </w:rPr>
      </w:pPr>
      <w:r>
        <w:rPr>
          <w:rFonts w:hint="eastAsia" w:hAnsi="宋体"/>
          <w:b/>
          <w:color w:val="auto"/>
          <w:sz w:val="24"/>
          <w:szCs w:val="24"/>
          <w:highlight w:val="none"/>
        </w:rPr>
        <w:t>十二、质量保证及售后服务</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12.1 </w:t>
      </w:r>
      <w:r>
        <w:rPr>
          <w:rFonts w:hint="eastAsia" w:hAnsi="宋体"/>
          <w:color w:val="auto"/>
          <w:sz w:val="24"/>
          <w:szCs w:val="24"/>
          <w:highlight w:val="none"/>
        </w:rPr>
        <w:t>乙方应按采购文件规定的货物性能、技术要求、质量标准向甲方提供未经使用的全新产品。</w:t>
      </w:r>
    </w:p>
    <w:p>
      <w:pPr>
        <w:pStyle w:val="8"/>
        <w:adjustRightInd w:val="0"/>
        <w:snapToGrid w:val="0"/>
        <w:spacing w:before="120" w:after="120" w:line="360" w:lineRule="auto"/>
        <w:ind w:left="48" w:firstLine="658"/>
        <w:rPr>
          <w:rFonts w:hAnsi="宋体"/>
          <w:color w:val="auto"/>
          <w:sz w:val="24"/>
          <w:szCs w:val="24"/>
          <w:highlight w:val="none"/>
        </w:rPr>
      </w:pPr>
      <w:r>
        <w:rPr>
          <w:rFonts w:hAnsi="宋体"/>
          <w:color w:val="auto"/>
          <w:sz w:val="24"/>
          <w:szCs w:val="24"/>
          <w:highlight w:val="none"/>
        </w:rPr>
        <w:t xml:space="preserve">12.2 </w:t>
      </w:r>
      <w:r>
        <w:rPr>
          <w:rFonts w:hint="eastAsia" w:hAnsi="宋体"/>
          <w:color w:val="auto"/>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）更换：由乙方承担所发生的全部费用。</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2</w:t>
      </w:r>
      <w:r>
        <w:rPr>
          <w:rFonts w:hint="eastAsia"/>
          <w:color w:val="auto"/>
          <w:sz w:val="24"/>
          <w:highlight w:val="none"/>
        </w:rPr>
        <w:t>）贬值处理：由甲乙双方合议定价。</w:t>
      </w:r>
    </w:p>
    <w:p>
      <w:pPr>
        <w:adjustRightInd w:val="0"/>
        <w:snapToGrid w:val="0"/>
        <w:spacing w:line="360" w:lineRule="auto"/>
        <w:ind w:firstLine="360" w:firstLineChars="150"/>
        <w:rPr>
          <w:color w:val="auto"/>
          <w:sz w:val="24"/>
          <w:highlight w:val="none"/>
        </w:rPr>
      </w:pPr>
      <w:r>
        <w:rPr>
          <w:rFonts w:hint="eastAsia"/>
          <w:color w:val="auto"/>
          <w:sz w:val="24"/>
          <w:highlight w:val="none"/>
        </w:rPr>
        <w:t>（</w:t>
      </w:r>
      <w:r>
        <w:rPr>
          <w:color w:val="auto"/>
          <w:sz w:val="24"/>
          <w:highlight w:val="none"/>
        </w:rPr>
        <w:t>3</w:t>
      </w:r>
      <w:r>
        <w:rPr>
          <w:rFonts w:hint="eastAsia"/>
          <w:color w:val="auto"/>
          <w:sz w:val="24"/>
          <w:highlight w:val="none"/>
        </w:rPr>
        <w:t>）退货处理：乙方应退还甲方支付的合同款，同时应承担该货物的直接费用（运输、保险、检验、货款利息及银行手续费等）。</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12.3 </w:t>
      </w:r>
      <w:r>
        <w:rPr>
          <w:rFonts w:hint="eastAsia" w:hAnsi="宋体"/>
          <w:color w:val="auto"/>
          <w:sz w:val="24"/>
          <w:szCs w:val="24"/>
          <w:highlight w:val="none"/>
        </w:rPr>
        <w:t>如在使用过程中发生质量问题，乙方在接到甲方通知后在小时内到达甲方现场。</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12.4 </w:t>
      </w:r>
      <w:r>
        <w:rPr>
          <w:rFonts w:hint="eastAsia" w:hAnsi="宋体"/>
          <w:color w:val="auto"/>
          <w:sz w:val="24"/>
          <w:szCs w:val="24"/>
          <w:highlight w:val="none"/>
        </w:rPr>
        <w:t>在质保期内，乙方应对货物出现的质量及安全问题负责处理解决并承担一切费用。</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12.5</w:t>
      </w:r>
      <w:r>
        <w:rPr>
          <w:rFonts w:hint="eastAsia" w:hAnsi="宋体"/>
          <w:color w:val="auto"/>
          <w:sz w:val="24"/>
          <w:szCs w:val="24"/>
          <w:highlight w:val="none"/>
        </w:rPr>
        <w:t>上述的货物免费保修期为</w:t>
      </w:r>
      <w:r>
        <w:rPr>
          <w:rFonts w:hAnsi="宋体"/>
          <w:color w:val="auto"/>
          <w:sz w:val="24"/>
          <w:szCs w:val="24"/>
          <w:highlight w:val="none"/>
        </w:rPr>
        <w:t>________</w:t>
      </w:r>
      <w:r>
        <w:rPr>
          <w:rFonts w:hint="eastAsia" w:hAnsi="宋体"/>
          <w:color w:val="auto"/>
          <w:sz w:val="24"/>
          <w:szCs w:val="24"/>
          <w:highlight w:val="none"/>
        </w:rPr>
        <w:t>年，因人为因素出现的故障不在免费保修范围内。超过保修期的机器设备，终生维修，维修时只收部件成本费。</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十三、调试和验收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13.1 </w:t>
      </w:r>
      <w:r>
        <w:rPr>
          <w:rFonts w:hint="eastAsia" w:hAnsi="宋体"/>
          <w:color w:val="auto"/>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13.2 </w:t>
      </w:r>
      <w:r>
        <w:rPr>
          <w:rFonts w:hint="eastAsia" w:hAnsi="宋体"/>
          <w:color w:val="auto"/>
          <w:sz w:val="24"/>
          <w:szCs w:val="24"/>
          <w:highlight w:val="none"/>
        </w:rPr>
        <w:t>乙方交货前应对产品作出全面检查和对验收文件进行整理，并列出清单，作为甲方收货验收和使用的技术条件依据，检验的结果应随货物交甲方。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13.3 </w:t>
      </w:r>
      <w:r>
        <w:rPr>
          <w:rFonts w:hint="eastAsia" w:hAnsi="宋体"/>
          <w:color w:val="auto"/>
          <w:sz w:val="24"/>
          <w:szCs w:val="24"/>
          <w:highlight w:val="none"/>
        </w:rPr>
        <w:t>甲方对乙方提供的货物在使用前进行调试时，乙方需负责安装并培训甲方的使用操作人员，并协助甲方一起调试，直到符合技术要求，甲方才做最终验收。</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13.4 </w:t>
      </w:r>
      <w:r>
        <w:rPr>
          <w:rFonts w:hint="eastAsia" w:hAnsi="宋体"/>
          <w:color w:val="auto"/>
          <w:sz w:val="24"/>
          <w:szCs w:val="24"/>
          <w:highlight w:val="none"/>
        </w:rPr>
        <w:t>对技术复杂的货物，甲方可请国家认可的专业检测机构参与初步验收及最终验收，并由其出具质量检测报告。</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13.5 </w:t>
      </w:r>
      <w:r>
        <w:rPr>
          <w:rFonts w:hint="eastAsia" w:hAnsi="宋体"/>
          <w:color w:val="auto"/>
          <w:sz w:val="24"/>
          <w:szCs w:val="24"/>
          <w:highlight w:val="none"/>
        </w:rPr>
        <w:t>验收时乙方必须在现场，验收完毕后作出验收结果报告，验收报告须经甲方最终用户签字和部门盖章。</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十四、货物包装、发运及运输</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14.1 </w:t>
      </w:r>
      <w:r>
        <w:rPr>
          <w:rFonts w:hint="eastAsia" w:hAnsi="宋体"/>
          <w:color w:val="auto"/>
          <w:sz w:val="24"/>
          <w:szCs w:val="24"/>
          <w:highlight w:val="none"/>
        </w:rPr>
        <w:t>乙方应在货物发运前对其进行满足运输距离、防潮、防震、防锈和防破损装卸等要求包装，以保证货物安全运达甲方指定地点。</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14.2 </w:t>
      </w:r>
      <w:r>
        <w:rPr>
          <w:rFonts w:hint="eastAsia" w:hAnsi="宋体"/>
          <w:color w:val="auto"/>
          <w:sz w:val="24"/>
          <w:szCs w:val="24"/>
          <w:highlight w:val="none"/>
        </w:rPr>
        <w:t>使用说明书、质量检验证明书、随配附件和工具以及清单一并附于货物内。</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14.3 </w:t>
      </w:r>
      <w:r>
        <w:rPr>
          <w:rFonts w:hint="eastAsia" w:hAnsi="宋体"/>
          <w:color w:val="auto"/>
          <w:sz w:val="24"/>
          <w:szCs w:val="24"/>
          <w:highlight w:val="none"/>
        </w:rPr>
        <w:t>乙方在货物发运手续办理完毕后</w:t>
      </w:r>
      <w:r>
        <w:rPr>
          <w:rFonts w:hAnsi="宋体"/>
          <w:color w:val="auto"/>
          <w:sz w:val="24"/>
          <w:szCs w:val="24"/>
          <w:highlight w:val="none"/>
        </w:rPr>
        <w:t>24</w:t>
      </w:r>
      <w:r>
        <w:rPr>
          <w:rFonts w:hint="eastAsia" w:hAnsi="宋体"/>
          <w:color w:val="auto"/>
          <w:sz w:val="24"/>
          <w:szCs w:val="24"/>
          <w:highlight w:val="none"/>
        </w:rPr>
        <w:t>小时内或货到甲方</w:t>
      </w:r>
      <w:r>
        <w:rPr>
          <w:rFonts w:hAnsi="宋体"/>
          <w:color w:val="auto"/>
          <w:sz w:val="24"/>
          <w:szCs w:val="24"/>
          <w:highlight w:val="none"/>
        </w:rPr>
        <w:t>48</w:t>
      </w:r>
      <w:r>
        <w:rPr>
          <w:rFonts w:hint="eastAsia" w:hAnsi="宋体"/>
          <w:color w:val="auto"/>
          <w:sz w:val="24"/>
          <w:szCs w:val="24"/>
          <w:highlight w:val="none"/>
        </w:rPr>
        <w:t>小时前通知甲方，以准备接货。</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14.4 </w:t>
      </w:r>
      <w:r>
        <w:rPr>
          <w:rFonts w:hint="eastAsia" w:hAnsi="宋体"/>
          <w:color w:val="auto"/>
          <w:sz w:val="24"/>
          <w:szCs w:val="24"/>
          <w:highlight w:val="none"/>
        </w:rPr>
        <w:t>货物在交付甲方前发生的风险均由乙方负责。</w:t>
      </w:r>
    </w:p>
    <w:p>
      <w:pPr>
        <w:pStyle w:val="8"/>
        <w:adjustRightInd w:val="0"/>
        <w:snapToGrid w:val="0"/>
        <w:spacing w:before="120" w:after="120" w:line="360" w:lineRule="auto"/>
        <w:ind w:left="1" w:firstLine="566"/>
        <w:rPr>
          <w:rFonts w:hAnsi="宋体"/>
          <w:color w:val="auto"/>
          <w:sz w:val="24"/>
          <w:szCs w:val="24"/>
          <w:highlight w:val="none"/>
        </w:rPr>
      </w:pPr>
      <w:r>
        <w:rPr>
          <w:rFonts w:hAnsi="宋体"/>
          <w:color w:val="auto"/>
          <w:sz w:val="24"/>
          <w:szCs w:val="24"/>
          <w:highlight w:val="none"/>
        </w:rPr>
        <w:t xml:space="preserve">14.5 </w:t>
      </w:r>
      <w:r>
        <w:rPr>
          <w:rFonts w:hint="eastAsia" w:hAnsi="宋体"/>
          <w:color w:val="auto"/>
          <w:sz w:val="24"/>
          <w:szCs w:val="24"/>
          <w:highlight w:val="none"/>
        </w:rPr>
        <w:t>货物在规定的交付期限内由乙方送达甲方指定的地点视为交付，乙方同时需通知甲方货物已送达。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十五、违约责任</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15.1</w:t>
      </w:r>
      <w:r>
        <w:rPr>
          <w:rFonts w:hint="eastAsia" w:hAnsi="宋体"/>
          <w:color w:val="auto"/>
          <w:sz w:val="24"/>
          <w:szCs w:val="24"/>
          <w:highlight w:val="none"/>
        </w:rPr>
        <w:t>乙方逾期交付货物的，乙方应按逾期交货总额每日千分之六向甲方支付违约金，由甲方从待付货款中扣除。逾期超过约定日期</w:t>
      </w:r>
      <w:r>
        <w:rPr>
          <w:rFonts w:hAnsi="宋体"/>
          <w:color w:val="auto"/>
          <w:sz w:val="24"/>
          <w:szCs w:val="24"/>
          <w:highlight w:val="none"/>
        </w:rPr>
        <w:t>10</w:t>
      </w:r>
      <w:r>
        <w:rPr>
          <w:rFonts w:hint="eastAsia" w:hAnsi="宋体"/>
          <w:color w:val="auto"/>
          <w:sz w:val="24"/>
          <w:szCs w:val="24"/>
          <w:highlight w:val="none"/>
        </w:rPr>
        <w:t>个工作日不能交货的，甲方可解除本合同。乙方因逾期交货或因其他违约行为导致甲方解除合同的，乙方应向甲方支付合同总值</w:t>
      </w:r>
      <w:r>
        <w:rPr>
          <w:rFonts w:hAnsi="宋体"/>
          <w:color w:val="auto"/>
          <w:sz w:val="24"/>
          <w:szCs w:val="24"/>
          <w:highlight w:val="none"/>
        </w:rPr>
        <w:t>5%</w:t>
      </w:r>
      <w:r>
        <w:rPr>
          <w:rFonts w:hint="eastAsia" w:hAnsi="宋体"/>
          <w:color w:val="auto"/>
          <w:sz w:val="24"/>
          <w:szCs w:val="24"/>
          <w:highlight w:val="none"/>
        </w:rPr>
        <w:t>的违约金，如造成甲方损失超过违约金的，超出部分由乙方继续承担赔偿责任。</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15.2</w:t>
      </w:r>
      <w:r>
        <w:rPr>
          <w:rFonts w:hint="eastAsia" w:hAnsi="宋体"/>
          <w:color w:val="auto"/>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十六、廉政条款</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16.1</w:t>
      </w:r>
      <w:r>
        <w:rPr>
          <w:rFonts w:hint="eastAsia" w:hAnsi="宋体"/>
          <w:color w:val="auto"/>
          <w:sz w:val="24"/>
          <w:szCs w:val="24"/>
          <w:highlight w:val="none"/>
        </w:rPr>
        <w:t>乙方必须支持甲方的廉政建设，不得向甲方相关人员提供金钱和物质上的好处，一经发现处以合同金额</w:t>
      </w:r>
      <w:r>
        <w:rPr>
          <w:rFonts w:hAnsi="宋体"/>
          <w:color w:val="auto"/>
          <w:sz w:val="24"/>
          <w:szCs w:val="24"/>
          <w:highlight w:val="none"/>
        </w:rPr>
        <w:t>20%</w:t>
      </w:r>
      <w:r>
        <w:rPr>
          <w:rFonts w:hint="eastAsia" w:hAnsi="宋体"/>
          <w:color w:val="auto"/>
          <w:sz w:val="24"/>
          <w:szCs w:val="24"/>
          <w:highlight w:val="none"/>
        </w:rPr>
        <w:t>的罚款。</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十七、不可抗力事件处理</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17.1 </w:t>
      </w:r>
      <w:r>
        <w:rPr>
          <w:rFonts w:hint="eastAsia" w:hAnsi="宋体"/>
          <w:color w:val="auto"/>
          <w:sz w:val="24"/>
          <w:szCs w:val="24"/>
          <w:highlight w:val="none"/>
        </w:rPr>
        <w:t>在合同有效期内，任何一方因不可抗力事件导致不能履行合同，则合同履行期可延长，其延长期与不可抗力影响期相同。</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17.2 </w:t>
      </w:r>
      <w:r>
        <w:rPr>
          <w:rFonts w:hint="eastAsia" w:hAnsi="宋体"/>
          <w:color w:val="auto"/>
          <w:sz w:val="24"/>
          <w:szCs w:val="24"/>
          <w:highlight w:val="none"/>
        </w:rPr>
        <w:t>不可抗力事件发生后，应立即通知对方，并寄送有关权威机构出具的证明。</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17.3 </w:t>
      </w:r>
      <w:r>
        <w:rPr>
          <w:rFonts w:hint="eastAsia" w:hAnsi="宋体"/>
          <w:color w:val="auto"/>
          <w:sz w:val="24"/>
          <w:szCs w:val="24"/>
          <w:highlight w:val="none"/>
        </w:rPr>
        <w:t>不可抗力事件延续</w:t>
      </w:r>
      <w:r>
        <w:rPr>
          <w:rFonts w:hAnsi="宋体"/>
          <w:color w:val="auto"/>
          <w:sz w:val="24"/>
          <w:szCs w:val="24"/>
          <w:highlight w:val="none"/>
        </w:rPr>
        <w:t>30</w:t>
      </w:r>
      <w:r>
        <w:rPr>
          <w:rFonts w:hint="eastAsia" w:hAnsi="宋体"/>
          <w:color w:val="auto"/>
          <w:sz w:val="24"/>
          <w:szCs w:val="24"/>
          <w:highlight w:val="none"/>
        </w:rPr>
        <w:t>天以上，双方应通过友好协商，确定是否继续履行合同。</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十八、诉讼</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18.1 </w:t>
      </w:r>
      <w:r>
        <w:rPr>
          <w:rFonts w:hint="eastAsia" w:hAnsi="宋体"/>
          <w:color w:val="auto"/>
          <w:sz w:val="24"/>
          <w:szCs w:val="24"/>
          <w:highlight w:val="none"/>
        </w:rPr>
        <w:t>双方在执行合同中所发生的一切争议，应通过协商解决。如协商不成，可向合同签订地法院起诉，合同签订地在此约定为南京市。</w:t>
      </w:r>
    </w:p>
    <w:p>
      <w:pPr>
        <w:pStyle w:val="8"/>
        <w:adjustRightInd w:val="0"/>
        <w:snapToGrid w:val="0"/>
        <w:spacing w:before="120" w:after="120" w:line="360" w:lineRule="auto"/>
        <w:ind w:firstLine="660"/>
        <w:rPr>
          <w:rFonts w:hAnsi="宋体"/>
          <w:b/>
          <w:color w:val="auto"/>
          <w:sz w:val="24"/>
          <w:szCs w:val="24"/>
          <w:highlight w:val="none"/>
        </w:rPr>
      </w:pPr>
      <w:r>
        <w:rPr>
          <w:rFonts w:hint="eastAsia" w:hAnsi="宋体"/>
          <w:b/>
          <w:color w:val="auto"/>
          <w:sz w:val="24"/>
          <w:szCs w:val="24"/>
          <w:highlight w:val="none"/>
        </w:rPr>
        <w:t>十九、合同生效及其它</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 xml:space="preserve">19.1 </w:t>
      </w:r>
      <w:r>
        <w:rPr>
          <w:rFonts w:hint="eastAsia" w:hAnsi="宋体"/>
          <w:color w:val="auto"/>
          <w:sz w:val="24"/>
          <w:szCs w:val="24"/>
          <w:highlight w:val="none"/>
        </w:rPr>
        <w:t>合同经双方法定代表人或授权委托代表人签字并加盖单位公章后生效。</w:t>
      </w:r>
    </w:p>
    <w:p>
      <w:pPr>
        <w:pStyle w:val="8"/>
        <w:adjustRightInd w:val="0"/>
        <w:snapToGrid w:val="0"/>
        <w:spacing w:before="120" w:after="120" w:line="360" w:lineRule="auto"/>
        <w:ind w:firstLine="658"/>
        <w:rPr>
          <w:rFonts w:hAnsi="宋体"/>
          <w:color w:val="auto"/>
          <w:sz w:val="24"/>
          <w:szCs w:val="24"/>
          <w:highlight w:val="none"/>
        </w:rPr>
      </w:pPr>
      <w:r>
        <w:rPr>
          <w:rFonts w:hAnsi="宋体"/>
          <w:color w:val="auto"/>
          <w:sz w:val="24"/>
          <w:szCs w:val="24"/>
          <w:highlight w:val="none"/>
        </w:rPr>
        <w:t>19.2</w:t>
      </w:r>
      <w:r>
        <w:rPr>
          <w:rFonts w:hint="eastAsia" w:hAnsi="宋体"/>
          <w:color w:val="auto"/>
          <w:sz w:val="24"/>
          <w:szCs w:val="24"/>
          <w:highlight w:val="none"/>
        </w:rPr>
        <w:t>本合同未尽事宜，遵照《合同法》有关条文执行。</w:t>
      </w:r>
    </w:p>
    <w:p>
      <w:pPr>
        <w:pStyle w:val="8"/>
        <w:adjustRightInd w:val="0"/>
        <w:snapToGrid w:val="0"/>
        <w:spacing w:before="120" w:after="120" w:line="360" w:lineRule="auto"/>
        <w:ind w:left="1" w:firstLine="658"/>
        <w:rPr>
          <w:rFonts w:hAnsi="宋体"/>
          <w:color w:val="auto"/>
          <w:sz w:val="24"/>
          <w:szCs w:val="24"/>
          <w:highlight w:val="none"/>
        </w:rPr>
      </w:pPr>
      <w:r>
        <w:rPr>
          <w:rFonts w:hAnsi="宋体"/>
          <w:color w:val="auto"/>
          <w:sz w:val="24"/>
          <w:szCs w:val="24"/>
          <w:highlight w:val="none"/>
        </w:rPr>
        <w:t xml:space="preserve">19.3 </w:t>
      </w:r>
      <w:r>
        <w:rPr>
          <w:rFonts w:hint="eastAsia" w:hAnsi="宋体"/>
          <w:color w:val="auto"/>
          <w:sz w:val="24"/>
          <w:szCs w:val="24"/>
          <w:highlight w:val="none"/>
        </w:rPr>
        <w:t>本合同正本一式四份，具有同等法律效力，甲方、乙方各执两份。</w:t>
      </w:r>
    </w:p>
    <w:p>
      <w:pPr>
        <w:pStyle w:val="8"/>
        <w:adjustRightInd w:val="0"/>
        <w:snapToGrid w:val="0"/>
        <w:spacing w:before="120" w:after="120" w:line="360" w:lineRule="auto"/>
        <w:ind w:left="420" w:leftChars="200" w:firstLine="240" w:firstLineChars="100"/>
        <w:rPr>
          <w:rFonts w:hAnsi="宋体"/>
          <w:color w:val="auto"/>
          <w:sz w:val="24"/>
          <w:szCs w:val="24"/>
          <w:highlight w:val="none"/>
        </w:rPr>
      </w:pPr>
      <w:r>
        <w:rPr>
          <w:rFonts w:hint="eastAsia" w:hAnsi="宋体"/>
          <w:color w:val="auto"/>
          <w:sz w:val="24"/>
          <w:szCs w:val="24"/>
          <w:highlight w:val="none"/>
        </w:rPr>
        <w:t>甲方：乙方：</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地址：地址：</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项目负责人</w:t>
      </w:r>
      <w:r>
        <w:rPr>
          <w:rFonts w:hAnsi="宋体"/>
          <w:color w:val="auto"/>
          <w:sz w:val="24"/>
          <w:szCs w:val="24"/>
          <w:highlight w:val="none"/>
        </w:rPr>
        <w:t xml:space="preserve">:                              </w:t>
      </w:r>
      <w:r>
        <w:rPr>
          <w:rFonts w:hint="eastAsia" w:hAnsi="宋体"/>
          <w:color w:val="auto"/>
          <w:sz w:val="24"/>
          <w:szCs w:val="24"/>
          <w:highlight w:val="none"/>
        </w:rPr>
        <w:t>法定代表人或授权代表：</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项目联系人</w:t>
      </w:r>
      <w:r>
        <w:rPr>
          <w:rFonts w:hAnsi="宋体"/>
          <w:color w:val="auto"/>
          <w:sz w:val="24"/>
          <w:szCs w:val="24"/>
          <w:highlight w:val="none"/>
        </w:rPr>
        <w:t>:</w:t>
      </w:r>
    </w:p>
    <w:p>
      <w:pPr>
        <w:pStyle w:val="8"/>
        <w:adjustRightInd w:val="0"/>
        <w:snapToGrid w:val="0"/>
        <w:spacing w:before="120" w:after="120" w:line="360" w:lineRule="auto"/>
        <w:ind w:firstLine="658"/>
        <w:rPr>
          <w:rFonts w:hAnsi="宋体"/>
          <w:color w:val="auto"/>
          <w:sz w:val="24"/>
          <w:szCs w:val="24"/>
          <w:highlight w:val="none"/>
        </w:rPr>
      </w:pPr>
      <w:r>
        <w:rPr>
          <w:rFonts w:hint="eastAsia" w:hAnsi="宋体"/>
          <w:color w:val="auto"/>
          <w:sz w:val="24"/>
          <w:szCs w:val="24"/>
          <w:highlight w:val="none"/>
        </w:rPr>
        <w:t>联系电话：联系电话：</w:t>
      </w:r>
    </w:p>
    <w:p>
      <w:pPr>
        <w:pStyle w:val="8"/>
        <w:adjustRightInd w:val="0"/>
        <w:snapToGrid w:val="0"/>
        <w:spacing w:before="120" w:after="120" w:line="360" w:lineRule="auto"/>
        <w:ind w:firstLine="767"/>
        <w:rPr>
          <w:rFonts w:cs="仿宋"/>
          <w:color w:val="auto"/>
          <w:sz w:val="24"/>
          <w:highlight w:val="none"/>
        </w:rPr>
      </w:pPr>
      <w:r>
        <w:rPr>
          <w:rFonts w:hint="eastAsia"/>
          <w:color w:val="auto"/>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b/>
      </w:rPr>
      <w:fldChar w:fldCharType="begin"/>
    </w:r>
    <w:r>
      <w:rPr>
        <w:b/>
      </w:rPr>
      <w:instrText xml:space="preserve">PAGE  \* Arabic  \* MERGEFORMAT</w:instrText>
    </w:r>
    <w:r>
      <w:rPr>
        <w:b/>
      </w:rPr>
      <w:fldChar w:fldCharType="separate"/>
    </w:r>
    <w:r>
      <w:rPr>
        <w:b/>
        <w:lang w:val="zh-CN"/>
      </w:rPr>
      <w:t>15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22</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cs="宋体"/>
        <w:b/>
        <w:bCs/>
        <w:kern w:val="0"/>
        <w:sz w:val="15"/>
        <w:szCs w:val="15"/>
      </w:rPr>
    </w:pPr>
    <w:r>
      <w:rPr>
        <w:rFonts w:hint="eastAsia" w:ascii="宋体" w:hAnsi="宋体" w:cs="宋体"/>
        <w:b/>
        <w:bCs/>
        <w:kern w:val="0"/>
        <w:sz w:val="15"/>
        <w:szCs w:val="15"/>
      </w:rPr>
      <w:t>南京信息工程大学财务处20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20FE0"/>
    <w:multiLevelType w:val="multilevel"/>
    <w:tmpl w:val="3FE20F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0402978"/>
    <w:multiLevelType w:val="multilevel"/>
    <w:tmpl w:val="40402978"/>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64FF454A"/>
    <w:multiLevelType w:val="multilevel"/>
    <w:tmpl w:val="64FF454A"/>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51F2D"/>
    <w:rsid w:val="000527A0"/>
    <w:rsid w:val="000531E7"/>
    <w:rsid w:val="00053408"/>
    <w:rsid w:val="00054A22"/>
    <w:rsid w:val="00054EE4"/>
    <w:rsid w:val="0005500B"/>
    <w:rsid w:val="00055F2F"/>
    <w:rsid w:val="00056B5E"/>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1EB0"/>
    <w:rsid w:val="000E37D8"/>
    <w:rsid w:val="000E490E"/>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1CBA"/>
    <w:rsid w:val="002346F4"/>
    <w:rsid w:val="00235A05"/>
    <w:rsid w:val="00237A59"/>
    <w:rsid w:val="002408A3"/>
    <w:rsid w:val="00240E59"/>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77C09"/>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B7C9B"/>
    <w:rsid w:val="002C016C"/>
    <w:rsid w:val="002C0D56"/>
    <w:rsid w:val="002C3038"/>
    <w:rsid w:val="002C3D8F"/>
    <w:rsid w:val="002C6A0C"/>
    <w:rsid w:val="002C6B1B"/>
    <w:rsid w:val="002C724E"/>
    <w:rsid w:val="002D0833"/>
    <w:rsid w:val="002D16E8"/>
    <w:rsid w:val="002D247C"/>
    <w:rsid w:val="002D608B"/>
    <w:rsid w:val="002E569D"/>
    <w:rsid w:val="002E6E80"/>
    <w:rsid w:val="002E70DE"/>
    <w:rsid w:val="002E7D9A"/>
    <w:rsid w:val="002F0D2A"/>
    <w:rsid w:val="002F160A"/>
    <w:rsid w:val="002F1CF2"/>
    <w:rsid w:val="002F2B00"/>
    <w:rsid w:val="002F36B1"/>
    <w:rsid w:val="002F44D8"/>
    <w:rsid w:val="002F4D6F"/>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55E2"/>
    <w:rsid w:val="00425843"/>
    <w:rsid w:val="00425C30"/>
    <w:rsid w:val="0043026A"/>
    <w:rsid w:val="004311A5"/>
    <w:rsid w:val="004356B0"/>
    <w:rsid w:val="00435B13"/>
    <w:rsid w:val="00437796"/>
    <w:rsid w:val="00437C24"/>
    <w:rsid w:val="00437F7A"/>
    <w:rsid w:val="00441696"/>
    <w:rsid w:val="00441B79"/>
    <w:rsid w:val="00442423"/>
    <w:rsid w:val="00442808"/>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F15"/>
    <w:rsid w:val="00537018"/>
    <w:rsid w:val="00540A3F"/>
    <w:rsid w:val="00541B97"/>
    <w:rsid w:val="00544BF1"/>
    <w:rsid w:val="00545F0F"/>
    <w:rsid w:val="00546198"/>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117E"/>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62D"/>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E6975"/>
    <w:rsid w:val="007F0464"/>
    <w:rsid w:val="007F1325"/>
    <w:rsid w:val="007F141A"/>
    <w:rsid w:val="007F3D00"/>
    <w:rsid w:val="007F3D98"/>
    <w:rsid w:val="007F4654"/>
    <w:rsid w:val="007F794E"/>
    <w:rsid w:val="00801FBF"/>
    <w:rsid w:val="00803D3C"/>
    <w:rsid w:val="0081037F"/>
    <w:rsid w:val="008109D2"/>
    <w:rsid w:val="008111F7"/>
    <w:rsid w:val="00813477"/>
    <w:rsid w:val="008140F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723F"/>
    <w:rsid w:val="009B2876"/>
    <w:rsid w:val="009B3202"/>
    <w:rsid w:val="009B4732"/>
    <w:rsid w:val="009B5355"/>
    <w:rsid w:val="009B5A13"/>
    <w:rsid w:val="009B5D2C"/>
    <w:rsid w:val="009B5E85"/>
    <w:rsid w:val="009B7C1E"/>
    <w:rsid w:val="009B7FB8"/>
    <w:rsid w:val="009C018C"/>
    <w:rsid w:val="009C4AD2"/>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5FF3"/>
    <w:rsid w:val="00A3632A"/>
    <w:rsid w:val="00A36D07"/>
    <w:rsid w:val="00A36D9A"/>
    <w:rsid w:val="00A40A2B"/>
    <w:rsid w:val="00A42BC4"/>
    <w:rsid w:val="00A4334E"/>
    <w:rsid w:val="00A43640"/>
    <w:rsid w:val="00A43F31"/>
    <w:rsid w:val="00A441CE"/>
    <w:rsid w:val="00A44750"/>
    <w:rsid w:val="00A46220"/>
    <w:rsid w:val="00A46DA5"/>
    <w:rsid w:val="00A512D9"/>
    <w:rsid w:val="00A513FD"/>
    <w:rsid w:val="00A51D42"/>
    <w:rsid w:val="00A54A51"/>
    <w:rsid w:val="00A54C2B"/>
    <w:rsid w:val="00A560A6"/>
    <w:rsid w:val="00A56335"/>
    <w:rsid w:val="00A56B4D"/>
    <w:rsid w:val="00A6110E"/>
    <w:rsid w:val="00A61E93"/>
    <w:rsid w:val="00A6304F"/>
    <w:rsid w:val="00A66067"/>
    <w:rsid w:val="00A669C1"/>
    <w:rsid w:val="00A66F4B"/>
    <w:rsid w:val="00A71AD9"/>
    <w:rsid w:val="00A72112"/>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722B"/>
    <w:rsid w:val="00B972CE"/>
    <w:rsid w:val="00BA0166"/>
    <w:rsid w:val="00BA1570"/>
    <w:rsid w:val="00BA2BDC"/>
    <w:rsid w:val="00BA3F55"/>
    <w:rsid w:val="00BA4270"/>
    <w:rsid w:val="00BA508D"/>
    <w:rsid w:val="00BA524D"/>
    <w:rsid w:val="00BB0F3A"/>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58DF"/>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507B"/>
    <w:rsid w:val="00DF637A"/>
    <w:rsid w:val="00DF74C6"/>
    <w:rsid w:val="00E00B59"/>
    <w:rsid w:val="00E029A1"/>
    <w:rsid w:val="00E02D97"/>
    <w:rsid w:val="00E054EA"/>
    <w:rsid w:val="00E0577E"/>
    <w:rsid w:val="00E06C3B"/>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1B1C"/>
    <w:rsid w:val="00E33C22"/>
    <w:rsid w:val="00E33D18"/>
    <w:rsid w:val="00E34A48"/>
    <w:rsid w:val="00E3574E"/>
    <w:rsid w:val="00E363D5"/>
    <w:rsid w:val="00E36957"/>
    <w:rsid w:val="00E373F8"/>
    <w:rsid w:val="00E37982"/>
    <w:rsid w:val="00E379D9"/>
    <w:rsid w:val="00E41376"/>
    <w:rsid w:val="00E42FC6"/>
    <w:rsid w:val="00E43459"/>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B67"/>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6F9C"/>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B68"/>
    <w:rsid w:val="00FE5C60"/>
    <w:rsid w:val="00FE7480"/>
    <w:rsid w:val="00FF0C63"/>
    <w:rsid w:val="00FF0D99"/>
    <w:rsid w:val="00FF0EC6"/>
    <w:rsid w:val="00FF1DAB"/>
    <w:rsid w:val="00FF394A"/>
    <w:rsid w:val="00FF3DF8"/>
    <w:rsid w:val="05B517B2"/>
    <w:rsid w:val="06972761"/>
    <w:rsid w:val="07B91AE3"/>
    <w:rsid w:val="0C4861BD"/>
    <w:rsid w:val="10EB4170"/>
    <w:rsid w:val="10F05838"/>
    <w:rsid w:val="12162C3B"/>
    <w:rsid w:val="12963550"/>
    <w:rsid w:val="12B74DC6"/>
    <w:rsid w:val="130F1D58"/>
    <w:rsid w:val="14896182"/>
    <w:rsid w:val="155010AB"/>
    <w:rsid w:val="1584594C"/>
    <w:rsid w:val="15A90346"/>
    <w:rsid w:val="15B6459C"/>
    <w:rsid w:val="1B4D2441"/>
    <w:rsid w:val="1C4A137C"/>
    <w:rsid w:val="1F956998"/>
    <w:rsid w:val="22010244"/>
    <w:rsid w:val="243943F8"/>
    <w:rsid w:val="24E05430"/>
    <w:rsid w:val="25124BF9"/>
    <w:rsid w:val="27961F1E"/>
    <w:rsid w:val="27AD7C03"/>
    <w:rsid w:val="29B50049"/>
    <w:rsid w:val="2CE471BA"/>
    <w:rsid w:val="2CE81BAF"/>
    <w:rsid w:val="2DC20F36"/>
    <w:rsid w:val="2E726843"/>
    <w:rsid w:val="2EAF0C6D"/>
    <w:rsid w:val="3172033E"/>
    <w:rsid w:val="3227588C"/>
    <w:rsid w:val="325F6558"/>
    <w:rsid w:val="351529A9"/>
    <w:rsid w:val="366D672C"/>
    <w:rsid w:val="385D644E"/>
    <w:rsid w:val="38F33167"/>
    <w:rsid w:val="39CE1E19"/>
    <w:rsid w:val="39CE5E1D"/>
    <w:rsid w:val="3C8E6F2D"/>
    <w:rsid w:val="42643A73"/>
    <w:rsid w:val="42910B6D"/>
    <w:rsid w:val="42AA1012"/>
    <w:rsid w:val="434A0808"/>
    <w:rsid w:val="43FB66E3"/>
    <w:rsid w:val="44DC7F4B"/>
    <w:rsid w:val="45651876"/>
    <w:rsid w:val="45E41065"/>
    <w:rsid w:val="46AA377D"/>
    <w:rsid w:val="4A4B48E3"/>
    <w:rsid w:val="4B5137BF"/>
    <w:rsid w:val="4CE64744"/>
    <w:rsid w:val="50682D92"/>
    <w:rsid w:val="51BF42C7"/>
    <w:rsid w:val="531240C8"/>
    <w:rsid w:val="54B6223B"/>
    <w:rsid w:val="54E15A0F"/>
    <w:rsid w:val="57360F05"/>
    <w:rsid w:val="5AC859BF"/>
    <w:rsid w:val="5C0F2072"/>
    <w:rsid w:val="5C993E50"/>
    <w:rsid w:val="5CFC1D50"/>
    <w:rsid w:val="5DAB5126"/>
    <w:rsid w:val="5E6C25B6"/>
    <w:rsid w:val="6233128F"/>
    <w:rsid w:val="63D7368B"/>
    <w:rsid w:val="68A603CF"/>
    <w:rsid w:val="69E27B06"/>
    <w:rsid w:val="69F45866"/>
    <w:rsid w:val="6AB76CFB"/>
    <w:rsid w:val="6BC1702A"/>
    <w:rsid w:val="6DE86594"/>
    <w:rsid w:val="6E316E6B"/>
    <w:rsid w:val="73810481"/>
    <w:rsid w:val="7482067D"/>
    <w:rsid w:val="75BE6EB5"/>
    <w:rsid w:val="7AE40810"/>
    <w:rsid w:val="7BBB6C68"/>
    <w:rsid w:val="7C574749"/>
    <w:rsid w:val="7C8E2CF6"/>
    <w:rsid w:val="7CD015B7"/>
    <w:rsid w:val="7D107D3C"/>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locked/>
    <w:uiPriority w:val="99"/>
    <w:pPr>
      <w:spacing w:after="120"/>
      <w:ind w:left="1440" w:leftChars="700" w:right="1440" w:rightChars="700"/>
    </w:pPr>
  </w:style>
  <w:style w:type="paragraph" w:styleId="4">
    <w:name w:val="annotation text"/>
    <w:basedOn w:val="1"/>
    <w:link w:val="22"/>
    <w:qFormat/>
    <w:uiPriority w:val="99"/>
    <w:pPr>
      <w:jc w:val="left"/>
    </w:pPr>
    <w:rPr>
      <w:sz w:val="24"/>
      <w:szCs w:val="20"/>
    </w:rPr>
  </w:style>
  <w:style w:type="paragraph" w:styleId="5">
    <w:name w:val="Body Text"/>
    <w:basedOn w:val="1"/>
    <w:link w:val="41"/>
    <w:unhideWhenUsed/>
    <w:qFormat/>
    <w:locked/>
    <w:uiPriority w:val="99"/>
    <w:pPr>
      <w:spacing w:after="120"/>
    </w:pPr>
  </w:style>
  <w:style w:type="paragraph" w:styleId="6">
    <w:name w:val="Body Text Indent"/>
    <w:basedOn w:val="1"/>
    <w:link w:val="23"/>
    <w:qFormat/>
    <w:uiPriority w:val="99"/>
    <w:pPr>
      <w:ind w:firstLine="575" w:firstLineChars="274"/>
    </w:pPr>
    <w:rPr>
      <w:rFonts w:ascii="等线" w:eastAsia="等线"/>
      <w:sz w:val="22"/>
      <w:szCs w:val="20"/>
    </w:rPr>
  </w:style>
  <w:style w:type="paragraph" w:styleId="7">
    <w:name w:val="index 4"/>
    <w:basedOn w:val="1"/>
    <w:next w:val="1"/>
    <w:qFormat/>
    <w:uiPriority w:val="99"/>
    <w:pPr>
      <w:ind w:left="600" w:leftChars="600"/>
    </w:pPr>
    <w:rPr>
      <w:rFonts w:ascii="Verdana" w:hAnsi="Verdana"/>
    </w:rPr>
  </w:style>
  <w:style w:type="paragraph" w:styleId="8">
    <w:name w:val="Plain Text"/>
    <w:basedOn w:val="1"/>
    <w:link w:val="24"/>
    <w:qFormat/>
    <w:uiPriority w:val="0"/>
    <w:rPr>
      <w:rFonts w:ascii="宋体" w:hAnsi="Courier New"/>
      <w:szCs w:val="20"/>
    </w:rPr>
  </w:style>
  <w:style w:type="paragraph" w:styleId="9">
    <w:name w:val="Date"/>
    <w:basedOn w:val="1"/>
    <w:next w:val="1"/>
    <w:link w:val="25"/>
    <w:qFormat/>
    <w:uiPriority w:val="99"/>
    <w:pPr>
      <w:ind w:left="100" w:leftChars="2500"/>
    </w:pPr>
    <w:rPr>
      <w:sz w:val="24"/>
      <w:szCs w:val="20"/>
    </w:rPr>
  </w:style>
  <w:style w:type="paragraph" w:styleId="10">
    <w:name w:val="Balloon Text"/>
    <w:basedOn w:val="1"/>
    <w:link w:val="26"/>
    <w:semiHidden/>
    <w:qFormat/>
    <w:uiPriority w:val="99"/>
    <w:rPr>
      <w:kern w:val="0"/>
      <w:sz w:val="2"/>
      <w:szCs w:val="20"/>
    </w:rPr>
  </w:style>
  <w:style w:type="paragraph" w:styleId="11">
    <w:name w:val="footer"/>
    <w:basedOn w:val="1"/>
    <w:link w:val="27"/>
    <w:qFormat/>
    <w:uiPriority w:val="99"/>
    <w:pPr>
      <w:tabs>
        <w:tab w:val="center" w:pos="4153"/>
        <w:tab w:val="right" w:pos="8306"/>
      </w:tabs>
      <w:snapToGrid w:val="0"/>
      <w:jc w:val="left"/>
    </w:pPr>
    <w:rPr>
      <w:kern w:val="0"/>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4"/>
    <w:next w:val="4"/>
    <w:link w:val="29"/>
    <w:qFormat/>
    <w:uiPriority w:val="99"/>
    <w:rPr>
      <w:b/>
    </w:rPr>
  </w:style>
  <w:style w:type="table" w:styleId="16">
    <w:name w:val="Table Grid"/>
    <w:basedOn w:val="1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bCs/>
    </w:rPr>
  </w:style>
  <w:style w:type="character" w:styleId="19">
    <w:name w:val="Hyperlink"/>
    <w:qFormat/>
    <w:uiPriority w:val="99"/>
    <w:rPr>
      <w:rFonts w:cs="Times New Roman"/>
      <w:color w:val="0563C1"/>
      <w:u w:val="single"/>
    </w:rPr>
  </w:style>
  <w:style w:type="character" w:styleId="20">
    <w:name w:val="annotation reference"/>
    <w:basedOn w:val="17"/>
    <w:qFormat/>
    <w:uiPriority w:val="99"/>
    <w:rPr>
      <w:rFonts w:cs="Times New Roman"/>
      <w:sz w:val="21"/>
    </w:rPr>
  </w:style>
  <w:style w:type="character" w:customStyle="1" w:styleId="21">
    <w:name w:val="标题 1 Char"/>
    <w:link w:val="3"/>
    <w:qFormat/>
    <w:locked/>
    <w:uiPriority w:val="99"/>
    <w:rPr>
      <w:rFonts w:cs="Times New Roman"/>
      <w:b/>
      <w:kern w:val="44"/>
      <w:sz w:val="44"/>
    </w:rPr>
  </w:style>
  <w:style w:type="character" w:customStyle="1" w:styleId="22">
    <w:name w:val="批注文字 Char"/>
    <w:link w:val="4"/>
    <w:qFormat/>
    <w:locked/>
    <w:uiPriority w:val="99"/>
    <w:rPr>
      <w:rFonts w:cs="Times New Roman"/>
      <w:kern w:val="2"/>
      <w:sz w:val="24"/>
    </w:rPr>
  </w:style>
  <w:style w:type="character" w:customStyle="1" w:styleId="23">
    <w:name w:val="正文文本缩进 Char"/>
    <w:link w:val="6"/>
    <w:qFormat/>
    <w:locked/>
    <w:uiPriority w:val="99"/>
    <w:rPr>
      <w:rFonts w:ascii="等线" w:eastAsia="等线" w:cs="Times New Roman"/>
      <w:kern w:val="2"/>
      <w:sz w:val="22"/>
    </w:rPr>
  </w:style>
  <w:style w:type="character" w:customStyle="1" w:styleId="24">
    <w:name w:val="纯文本 Char"/>
    <w:link w:val="8"/>
    <w:qFormat/>
    <w:locked/>
    <w:uiPriority w:val="0"/>
    <w:rPr>
      <w:rFonts w:ascii="宋体" w:hAnsi="Courier New" w:cs="Times New Roman"/>
      <w:kern w:val="2"/>
      <w:sz w:val="21"/>
    </w:rPr>
  </w:style>
  <w:style w:type="character" w:customStyle="1" w:styleId="25">
    <w:name w:val="日期 Char"/>
    <w:link w:val="9"/>
    <w:qFormat/>
    <w:locked/>
    <w:uiPriority w:val="99"/>
    <w:rPr>
      <w:rFonts w:cs="Times New Roman"/>
      <w:kern w:val="2"/>
      <w:sz w:val="24"/>
    </w:rPr>
  </w:style>
  <w:style w:type="character" w:customStyle="1" w:styleId="26">
    <w:name w:val="批注框文本 Char"/>
    <w:link w:val="10"/>
    <w:semiHidden/>
    <w:qFormat/>
    <w:locked/>
    <w:uiPriority w:val="99"/>
    <w:rPr>
      <w:rFonts w:cs="Times New Roman"/>
      <w:sz w:val="2"/>
    </w:rPr>
  </w:style>
  <w:style w:type="character" w:customStyle="1" w:styleId="27">
    <w:name w:val="页脚 Char"/>
    <w:link w:val="11"/>
    <w:semiHidden/>
    <w:qFormat/>
    <w:locked/>
    <w:uiPriority w:val="99"/>
    <w:rPr>
      <w:rFonts w:cs="Times New Roman"/>
      <w:sz w:val="18"/>
      <w:szCs w:val="18"/>
    </w:rPr>
  </w:style>
  <w:style w:type="character" w:customStyle="1" w:styleId="28">
    <w:name w:val="页眉 Char"/>
    <w:link w:val="12"/>
    <w:qFormat/>
    <w:locked/>
    <w:uiPriority w:val="99"/>
    <w:rPr>
      <w:rFonts w:cs="Times New Roman"/>
      <w:kern w:val="2"/>
      <w:sz w:val="18"/>
    </w:rPr>
  </w:style>
  <w:style w:type="character" w:customStyle="1" w:styleId="29">
    <w:name w:val="批注主题 Char"/>
    <w:link w:val="14"/>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出段落 Char"/>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 Char"/>
    <w:link w:val="5"/>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1A8AD-86E4-4477-900E-DD3CB8D6E2C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1974</Words>
  <Characters>11257</Characters>
  <Lines>93</Lines>
  <Paragraphs>26</Paragraphs>
  <TotalTime>51</TotalTime>
  <ScaleCrop>false</ScaleCrop>
  <LinksUpToDate>false</LinksUpToDate>
  <CharactersWithSpaces>13205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2020-04-01T01:05:00Z</dcterms:created>
  <dc:creator>微软用户</dc:creator>
  <cp:lastModifiedBy>nxdlu</cp:lastModifiedBy>
  <cp:lastPrinted>2019-11-22T01:53:00Z</cp:lastPrinted>
  <dcterms:modified xsi:type="dcterms:W3CDTF">2020-07-02T11:16:30Z</dcterms:modified>
  <dc:title>淮海工学院A8-10号楼学生宿舍家具招标书</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