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auto"/>
          <w:sz w:val="44"/>
          <w:szCs w:val="44"/>
          <w:highlight w:val="none"/>
        </w:rPr>
      </w:pPr>
      <w:bookmarkStart w:id="0" w:name="OLE_LINK1"/>
      <w:bookmarkStart w:id="1" w:name="OLE_LINK2"/>
      <w:bookmarkStart w:id="11" w:name="_GoBack"/>
      <w:r>
        <w:rPr>
          <w:b/>
          <w:color w:val="auto"/>
          <w:sz w:val="44"/>
          <w:szCs w:val="44"/>
          <w:highlight w:val="none"/>
        </w:rPr>
        <w:t>南京信息工程大学</w:t>
      </w:r>
      <w:bookmarkEnd w:id="0"/>
      <w:bookmarkEnd w:id="1"/>
      <w:r>
        <w:rPr>
          <w:rFonts w:hint="eastAsia" w:eastAsia="宋体"/>
          <w:b/>
          <w:color w:val="auto"/>
          <w:sz w:val="44"/>
          <w:szCs w:val="44"/>
          <w:highlight w:val="none"/>
        </w:rPr>
        <w:t>虚拟仿真教学软件</w:t>
      </w:r>
      <w:r>
        <w:rPr>
          <w:rFonts w:hint="eastAsia"/>
          <w:b/>
          <w:color w:val="auto"/>
          <w:sz w:val="44"/>
          <w:szCs w:val="44"/>
          <w:highlight w:val="none"/>
          <w:lang w:val="en-US" w:eastAsia="zh-CN"/>
        </w:rPr>
        <w:t>采购</w:t>
      </w:r>
      <w:r>
        <w:rPr>
          <w:rFonts w:hint="eastAsia" w:eastAsia="宋体"/>
          <w:b/>
          <w:color w:val="auto"/>
          <w:sz w:val="44"/>
          <w:szCs w:val="44"/>
          <w:highlight w:val="none"/>
        </w:rPr>
        <w:t>项目</w:t>
      </w:r>
      <w:r>
        <w:rPr>
          <w:rFonts w:eastAsia="宋体"/>
          <w:b/>
          <w:color w:val="auto"/>
          <w:sz w:val="44"/>
          <w:szCs w:val="44"/>
          <w:highlight w:val="none"/>
        </w:rPr>
        <w:t>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lang w:val="en-US" w:eastAsia="zh-CN"/>
        </w:rPr>
        <w:t>SBC2020048</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w:t>
      </w:r>
      <w:r>
        <w:rPr>
          <w:rFonts w:hint="eastAsia" w:ascii="宋体" w:hAnsi="宋体" w:cs="仿宋"/>
          <w:color w:val="auto"/>
          <w:sz w:val="28"/>
          <w:szCs w:val="28"/>
          <w:highlight w:val="none"/>
          <w:u w:val="single"/>
          <w:lang w:val="en-US" w:eastAsia="zh-CN"/>
        </w:rPr>
        <w:t>7</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23</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15</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hint="eastAsia" w:ascii="宋体" w:hAnsi="宋体"/>
          <w:color w:val="auto"/>
          <w:sz w:val="28"/>
          <w:szCs w:val="28"/>
          <w:highlight w:val="none"/>
        </w:rPr>
        <w:t>虚拟仿真教学软件</w:t>
      </w:r>
      <w:r>
        <w:rPr>
          <w:rFonts w:hint="eastAsia" w:ascii="宋体" w:hAnsi="宋体"/>
          <w:color w:val="auto"/>
          <w:sz w:val="28"/>
          <w:szCs w:val="28"/>
          <w:highlight w:val="none"/>
          <w:lang w:val="en-US" w:eastAsia="zh-CN"/>
        </w:rPr>
        <w:t>采购项目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2"/>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2"/>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虚拟仿真教学软件</w:t>
      </w:r>
      <w:r>
        <w:rPr>
          <w:rFonts w:hint="eastAsia" w:ascii="宋体" w:hAnsi="宋体"/>
          <w:color w:val="auto"/>
          <w:sz w:val="28"/>
          <w:szCs w:val="28"/>
          <w:highlight w:val="none"/>
          <w:lang w:val="en-US" w:eastAsia="zh-CN"/>
        </w:rPr>
        <w:t>采购项目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Arial"/>
          <w:i/>
          <w:iCs/>
          <w:color w:val="auto"/>
          <w:sz w:val="28"/>
          <w:szCs w:val="28"/>
          <w:highlight w:val="none"/>
          <w:u w:val="single"/>
        </w:rPr>
        <w:t>1.具有独立承担民事责任的能力</w:t>
      </w:r>
      <w:r>
        <w:rPr>
          <w:rFonts w:hint="eastAsia" w:ascii="宋体" w:hAnsi="宋体"/>
          <w:i/>
          <w:iCs/>
          <w:color w:val="auto"/>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2.具有良好的商业信誉和健全的财务会计制度</w:t>
      </w:r>
      <w:r>
        <w:rPr>
          <w:rFonts w:hint="eastAsia" w:ascii="宋体" w:hAnsi="宋体"/>
          <w:i/>
          <w:iCs/>
          <w:color w:val="auto"/>
          <w:sz w:val="28"/>
          <w:szCs w:val="28"/>
          <w:highlight w:val="none"/>
          <w:u w:val="single"/>
        </w:rPr>
        <w:t>：需提供参加本次投标活动前近六个月内（20</w:t>
      </w:r>
      <w:r>
        <w:rPr>
          <w:rFonts w:hint="eastAsia" w:ascii="宋体" w:hAnsi="宋体"/>
          <w:i/>
          <w:iCs/>
          <w:color w:val="auto"/>
          <w:sz w:val="28"/>
          <w:szCs w:val="28"/>
          <w:highlight w:val="none"/>
          <w:u w:val="single"/>
          <w:lang w:val="en-US" w:eastAsia="zh-CN"/>
        </w:rPr>
        <w:t>20</w:t>
      </w:r>
      <w:r>
        <w:rPr>
          <w:rFonts w:hint="eastAsia" w:ascii="宋体" w:hAnsi="宋体"/>
          <w:i/>
          <w:iCs/>
          <w:color w:val="auto"/>
          <w:sz w:val="28"/>
          <w:szCs w:val="28"/>
          <w:highlight w:val="none"/>
          <w:u w:val="single"/>
        </w:rPr>
        <w:t>年</w:t>
      </w:r>
      <w:r>
        <w:rPr>
          <w:rFonts w:hint="eastAsia" w:ascii="宋体" w:hAnsi="宋体"/>
          <w:i/>
          <w:iCs/>
          <w:color w:val="auto"/>
          <w:sz w:val="28"/>
          <w:szCs w:val="28"/>
          <w:highlight w:val="none"/>
          <w:u w:val="single"/>
          <w:lang w:val="en-US" w:eastAsia="zh-CN"/>
        </w:rPr>
        <w:t>01</w:t>
      </w:r>
      <w:r>
        <w:rPr>
          <w:rFonts w:hint="eastAsia" w:ascii="宋体" w:hAnsi="宋体"/>
          <w:i/>
          <w:iCs/>
          <w:color w:val="auto"/>
          <w:sz w:val="28"/>
          <w:szCs w:val="28"/>
          <w:highlight w:val="none"/>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4.有依法缴纳税收和社会保障资金的良好记录</w:t>
      </w:r>
      <w:r>
        <w:rPr>
          <w:rFonts w:hint="eastAsia" w:ascii="宋体" w:hAnsi="宋体"/>
          <w:i/>
          <w:iCs/>
          <w:color w:val="auto"/>
          <w:sz w:val="28"/>
          <w:szCs w:val="28"/>
          <w:highlight w:val="none"/>
          <w:u w:val="single"/>
        </w:rPr>
        <w:t>：提供参加本次投标活动前近六个月内（20</w:t>
      </w:r>
      <w:r>
        <w:rPr>
          <w:rFonts w:hint="eastAsia" w:ascii="宋体" w:hAnsi="宋体"/>
          <w:i/>
          <w:iCs/>
          <w:color w:val="auto"/>
          <w:sz w:val="28"/>
          <w:szCs w:val="28"/>
          <w:highlight w:val="none"/>
          <w:u w:val="single"/>
          <w:lang w:val="en-US" w:eastAsia="zh-CN"/>
        </w:rPr>
        <w:t>20</w:t>
      </w:r>
      <w:r>
        <w:rPr>
          <w:rFonts w:hint="eastAsia" w:ascii="宋体" w:hAnsi="宋体"/>
          <w:i/>
          <w:iCs/>
          <w:color w:val="auto"/>
          <w:sz w:val="28"/>
          <w:szCs w:val="28"/>
          <w:highlight w:val="none"/>
          <w:u w:val="single"/>
        </w:rPr>
        <w:t>年</w:t>
      </w:r>
      <w:r>
        <w:rPr>
          <w:rFonts w:hint="eastAsia" w:ascii="宋体" w:hAnsi="宋体"/>
          <w:i/>
          <w:iCs/>
          <w:color w:val="auto"/>
          <w:sz w:val="28"/>
          <w:szCs w:val="28"/>
          <w:highlight w:val="none"/>
          <w:u w:val="single"/>
          <w:lang w:val="en-US" w:eastAsia="zh-CN"/>
        </w:rPr>
        <w:t>01</w:t>
      </w:r>
      <w:r>
        <w:rPr>
          <w:rFonts w:hint="eastAsia" w:ascii="宋体" w:hAnsi="宋体"/>
          <w:i/>
          <w:iCs/>
          <w:color w:val="auto"/>
          <w:sz w:val="28"/>
          <w:szCs w:val="28"/>
          <w:highlight w:val="none"/>
          <w:u w:val="singl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5.参加政府采购活动前三年内，在经营活动中没有违法记录</w:t>
      </w:r>
      <w:r>
        <w:rPr>
          <w:rFonts w:hint="eastAsia" w:ascii="宋体" w:hAnsi="宋体"/>
          <w:i/>
          <w:iCs/>
          <w:color w:val="auto"/>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（二）投标人不得存在下列情形之一</w:t>
      </w:r>
      <w:r>
        <w:rPr>
          <w:rFonts w:hint="eastAsia" w:ascii="宋体" w:hAnsi="宋体"/>
          <w:i/>
          <w:iCs/>
          <w:color w:val="auto"/>
          <w:sz w:val="28"/>
          <w:szCs w:val="28"/>
          <w:highlight w:val="none"/>
          <w:u w:val="single"/>
        </w:rPr>
        <w:t>（</w:t>
      </w:r>
      <w:r>
        <w:rPr>
          <w:rFonts w:hint="eastAsia" w:ascii="宋体" w:hAnsi="宋体"/>
          <w:b/>
          <w:i/>
          <w:iCs/>
          <w:color w:val="auto"/>
          <w:sz w:val="28"/>
          <w:szCs w:val="28"/>
          <w:highlight w:val="none"/>
          <w:u w:val="single"/>
        </w:rPr>
        <w:t>提供加盖投标人公章的承诺书）</w:t>
      </w:r>
      <w:r>
        <w:rPr>
          <w:rFonts w:hint="eastAsia" w:ascii="宋体" w:hAnsi="宋体" w:cs="宋体"/>
          <w:i/>
          <w:iCs/>
          <w:color w:val="auto"/>
          <w:kern w:val="0"/>
          <w:sz w:val="28"/>
          <w:szCs w:val="28"/>
          <w:highlight w:val="none"/>
          <w:u w:val="single"/>
        </w:rPr>
        <w:t>：</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（三）</w:t>
      </w:r>
      <w:r>
        <w:rPr>
          <w:rFonts w:hint="eastAsia" w:ascii="宋体" w:hAnsi="宋体" w:cs="宋体"/>
          <w:bCs/>
          <w:i/>
          <w:iCs/>
          <w:color w:val="auto"/>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i/>
          <w:iCs/>
          <w:color w:val="auto"/>
          <w:sz w:val="28"/>
          <w:szCs w:val="28"/>
          <w:highlight w:val="none"/>
          <w:u w:val="single"/>
        </w:rPr>
        <w:t>供应商被“信用中国”网站（www.creditchina.gov.cn）、“中国政府采购网”(www.ccgp.gov.cn)列入失信被执行人、重大税收违法案件当事人名单、政府采购</w:t>
      </w:r>
      <w:r>
        <w:rPr>
          <w:rFonts w:hint="eastAsia" w:ascii="宋体" w:hAnsi="宋体" w:cs="宋体"/>
          <w:color w:val="auto"/>
          <w:sz w:val="28"/>
          <w:szCs w:val="28"/>
          <w:highlight w:val="none"/>
        </w:rPr>
        <w:t>严</w:t>
      </w:r>
      <w:r>
        <w:rPr>
          <w:rFonts w:hint="eastAsia" w:ascii="宋体" w:hAnsi="宋体" w:cs="宋体"/>
          <w:i/>
          <w:iCs/>
          <w:color w:val="auto"/>
          <w:sz w:val="28"/>
          <w:szCs w:val="28"/>
          <w:highlight w:val="none"/>
          <w:u w:val="single"/>
        </w:rPr>
        <w:t>重违法失信行为记录名单</w:t>
      </w:r>
      <w:r>
        <w:rPr>
          <w:rFonts w:hint="eastAsia" w:ascii="宋体" w:hAnsi="宋体" w:cs="宋体"/>
          <w:b/>
          <w:i/>
          <w:iCs/>
          <w:color w:val="auto"/>
          <w:sz w:val="28"/>
          <w:szCs w:val="28"/>
          <w:highlight w:val="none"/>
          <w:u w:val="single"/>
        </w:rPr>
        <w:t>（提供本项目报名截止日后的</w:t>
      </w:r>
      <w:r>
        <w:rPr>
          <w:rFonts w:hint="eastAsia" w:ascii="宋体" w:hAnsi="宋体" w:cs="宋体"/>
          <w:b/>
          <w:i/>
          <w:iCs/>
          <w:color w:val="auto"/>
          <w:sz w:val="28"/>
          <w:szCs w:val="28"/>
          <w:highlight w:val="none"/>
          <w:u w:val="single"/>
          <w:lang w:val="en-US" w:eastAsia="zh-CN"/>
        </w:rPr>
        <w:t>以上两个</w:t>
      </w:r>
      <w:r>
        <w:rPr>
          <w:rFonts w:hint="eastAsia" w:ascii="宋体" w:hAnsi="宋体" w:cs="宋体"/>
          <w:b/>
          <w:i/>
          <w:iCs/>
          <w:color w:val="auto"/>
          <w:sz w:val="28"/>
          <w:szCs w:val="28"/>
          <w:highlight w:val="none"/>
          <w:u w:val="single"/>
        </w:rPr>
        <w:t>网站截图并加盖单位公章）</w:t>
      </w:r>
      <w:r>
        <w:rPr>
          <w:rFonts w:hint="eastAsia" w:ascii="宋体" w:hAnsi="宋体" w:cs="宋体"/>
          <w:i/>
          <w:iCs/>
          <w:color w:val="auto"/>
          <w:sz w:val="28"/>
          <w:szCs w:val="28"/>
          <w:highlight w:val="none"/>
          <w:u w:val="singl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r>
        <w:rPr>
          <w:rFonts w:hint="eastAsia" w:ascii="宋体" w:hAnsi="宋体" w:cs="宋体"/>
          <w:color w:val="auto"/>
          <w:sz w:val="28"/>
          <w:szCs w:val="28"/>
          <w:highlight w:val="none"/>
        </w:rPr>
        <w:t>供方于合同生效</w:t>
      </w:r>
      <w:r>
        <w:rPr>
          <w:rFonts w:hint="eastAsia" w:ascii="宋体" w:hAnsi="宋体" w:cs="宋体"/>
          <w:color w:val="auto"/>
          <w:sz w:val="28"/>
          <w:szCs w:val="28"/>
          <w:highlight w:val="none"/>
        </w:rPr>
        <w:t>后</w:t>
      </w:r>
      <w:r>
        <w:rPr>
          <w:rFonts w:hint="eastAsia" w:ascii="宋体" w:hAnsi="宋体" w:cs="宋体"/>
          <w:color w:val="auto"/>
          <w:sz w:val="28"/>
          <w:szCs w:val="28"/>
          <w:highlight w:val="none"/>
          <w:lang w:val="en-US" w:eastAsia="zh-CN"/>
        </w:rPr>
        <w:t>30个工作日</w:t>
      </w:r>
      <w:r>
        <w:rPr>
          <w:rFonts w:hint="eastAsia" w:ascii="宋体" w:hAnsi="宋体" w:cs="宋体"/>
          <w:color w:val="auto"/>
          <w:sz w:val="28"/>
          <w:szCs w:val="28"/>
          <w:highlight w:val="none"/>
        </w:rPr>
        <w:t>内完成设备运输（含上、下力）、安装调试等，所有费</w:t>
      </w:r>
      <w:r>
        <w:rPr>
          <w:rFonts w:hint="eastAsia" w:ascii="宋体" w:hAnsi="宋体" w:cs="宋体"/>
          <w:color w:val="auto"/>
          <w:sz w:val="28"/>
          <w:szCs w:val="28"/>
          <w:highlight w:val="none"/>
        </w:rPr>
        <w:t>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16.00</w:t>
      </w:r>
      <w:r>
        <w:rPr>
          <w:rFonts w:hint="eastAsia"/>
          <w:color w:val="auto"/>
          <w:kern w:val="2"/>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hint="eastAsia"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hint="eastAsia" w:eastAsia="宋体"/>
          <w:color w:val="auto"/>
          <w:highlight w:val="none"/>
          <w:lang w:val="en-US" w:eastAsia="zh-CN"/>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r>
        <w:rPr>
          <w:rFonts w:hint="eastAsia" w:ascii="宋体" w:hAnsi="宋体" w:cs="宋体"/>
          <w:color w:val="auto"/>
          <w:sz w:val="28"/>
          <w:szCs w:val="28"/>
          <w:highlight w:val="none"/>
          <w:lang w:val="en-US" w:eastAsia="zh-CN"/>
        </w:rPr>
        <w:t xml:space="preserve"> </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SBC2020048</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w:t>
      </w:r>
      <w:r>
        <w:rPr>
          <w:rFonts w:hint="eastAsia" w:ascii="宋体" w:hAnsi="宋体" w:cs="宋体"/>
          <w:color w:val="auto"/>
          <w:sz w:val="28"/>
          <w:szCs w:val="28"/>
          <w:highlight w:val="none"/>
        </w:rPr>
        <w:t>中标单位须及时缴纳中标</w:t>
      </w:r>
      <w:r>
        <w:rPr>
          <w:rFonts w:hint="eastAsia" w:ascii="宋体" w:hAnsi="宋体" w:cs="宋体"/>
          <w:color w:val="auto"/>
          <w:sz w:val="28"/>
          <w:szCs w:val="28"/>
          <w:highlight w:val="none"/>
          <w:lang w:val="en-US" w:eastAsia="zh-CN"/>
        </w:rPr>
        <w:t>价</w:t>
      </w:r>
      <w:r>
        <w:rPr>
          <w:rFonts w:hint="eastAsia" w:ascii="宋体" w:hAnsi="宋体" w:cs="宋体"/>
          <w:color w:val="auto"/>
          <w:sz w:val="28"/>
          <w:szCs w:val="28"/>
          <w:highlight w:val="none"/>
        </w:rPr>
        <w:t>的10%作为履约保证金并前来我校领取《中标通知书》（一式二份）。服务完成，验收合格后返还50%履约保证金，另50%履约保证金转为质量保证金。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rFonts w:hint="default" w:eastAsia="宋体"/>
          <w:color w:val="auto"/>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SBC2020</w:t>
      </w:r>
      <w:r>
        <w:rPr>
          <w:rFonts w:hint="eastAsia" w:ascii="宋体" w:hAnsi="宋体" w:cs="宋体"/>
          <w:b/>
          <w:color w:val="auto"/>
          <w:sz w:val="28"/>
          <w:szCs w:val="28"/>
          <w:highlight w:val="none"/>
          <w:lang w:val="en-US" w:eastAsia="zh-CN"/>
        </w:rPr>
        <w:t>048</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w:t>
      </w:r>
      <w:r>
        <w:rPr>
          <w:rFonts w:hint="eastAsia" w:ascii="宋体" w:hAnsi="宋体" w:cs="宋体"/>
          <w:b/>
          <w:bCs/>
          <w:color w:val="auto"/>
          <w:sz w:val="28"/>
          <w:szCs w:val="28"/>
          <w:highlight w:val="none"/>
          <w:lang w:val="en-US" w:eastAsia="zh-CN"/>
        </w:rPr>
        <w:t>办</w:t>
      </w:r>
      <w:r>
        <w:rPr>
          <w:rFonts w:hint="eastAsia" w:ascii="宋体" w:hAnsi="宋体" w:cs="宋体"/>
          <w:b/>
          <w:bCs/>
          <w:color w:val="auto"/>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中标价的10%</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w:t>
      </w:r>
      <w:r>
        <w:rPr>
          <w:rFonts w:hint="eastAsia" w:ascii="宋体" w:hAnsi="宋体"/>
          <w:color w:val="auto"/>
          <w:sz w:val="28"/>
          <w:szCs w:val="28"/>
          <w:highlight w:val="none"/>
        </w:rPr>
        <w:t>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w:t>
      </w:r>
      <w:r>
        <w:rPr>
          <w:rFonts w:hint="eastAsia" w:ascii="宋体" w:hAnsi="宋体"/>
          <w:b/>
          <w:color w:val="auto"/>
          <w:sz w:val="28"/>
          <w:szCs w:val="28"/>
          <w:highlight w:val="none"/>
          <w:u w:val="single"/>
          <w:lang w:val="en-US" w:eastAsia="zh-CN"/>
        </w:rPr>
        <w:t>29</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w:t>
      </w:r>
      <w:r>
        <w:rPr>
          <w:rFonts w:hint="eastAsia" w:ascii="宋体" w:hAnsi="宋体"/>
          <w:color w:val="auto"/>
          <w:sz w:val="28"/>
          <w:szCs w:val="28"/>
          <w:highlight w:val="none"/>
        </w:rPr>
        <w:t>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12 </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lang w:val="en-US" w:eastAsia="zh-CN"/>
        </w:rPr>
        <w:t>招标办</w:t>
      </w:r>
      <w:r>
        <w:rPr>
          <w:rFonts w:hint="eastAsia" w:ascii="宋体" w:hAnsi="宋体" w:cs="宋体"/>
          <w:color w:val="auto"/>
          <w:kern w:val="0"/>
          <w:sz w:val="28"/>
          <w:szCs w:val="28"/>
          <w:highlight w:val="none"/>
        </w:rPr>
        <w:t>。联系人：马老师、罗老师；联系电话：025-58731441。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w:t>
      </w:r>
      <w:r>
        <w:rPr>
          <w:rFonts w:hint="eastAsia" w:ascii="宋体" w:hAnsi="宋体"/>
          <w:color w:val="auto"/>
          <w:sz w:val="28"/>
          <w:szCs w:val="28"/>
          <w:highlight w:val="none"/>
        </w:rPr>
        <w:t>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12</w:t>
      </w:r>
      <w:r>
        <w:rPr>
          <w:rFonts w:hint="eastAsia" w:ascii="宋体" w:hAnsi="宋体"/>
          <w:color w:val="auto"/>
          <w:sz w:val="28"/>
          <w:szCs w:val="28"/>
          <w:highlight w:val="none"/>
        </w:rPr>
        <w:t>日09：00</w:t>
      </w:r>
      <w:r>
        <w:rPr>
          <w:rFonts w:hint="eastAsia" w:ascii="宋体" w:hAnsi="宋体"/>
          <w:color w:val="auto"/>
          <w:sz w:val="28"/>
          <w:szCs w:val="28"/>
          <w:highlight w:val="none"/>
        </w:rPr>
        <w:t>；(不安排公开开标、唱标，由</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w:t>
      </w:r>
      <w:r>
        <w:rPr>
          <w:rFonts w:hint="eastAsia" w:ascii="宋体" w:hAnsi="宋体"/>
          <w:color w:val="auto"/>
          <w:sz w:val="28"/>
          <w:szCs w:val="28"/>
          <w:highlight w:val="none"/>
          <w:lang w:val="en-US" w:eastAsia="zh-CN"/>
        </w:rPr>
        <w:t>13813921968</w:t>
      </w: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胡</w:t>
      </w:r>
      <w:r>
        <w:rPr>
          <w:rFonts w:hint="eastAsia" w:ascii="宋体" w:hAnsi="宋体"/>
          <w:color w:val="auto"/>
          <w:sz w:val="28"/>
          <w:szCs w:val="28"/>
          <w:highlight w:val="none"/>
        </w:rPr>
        <w:t>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hint="default" w:ascii="宋体" w:eastAsia="宋体"/>
          <w:b/>
          <w:color w:val="auto"/>
          <w:sz w:val="28"/>
          <w:szCs w:val="28"/>
          <w:highlight w:val="none"/>
          <w:lang w:val="en-US" w:eastAsia="zh-CN"/>
        </w:rPr>
      </w:pPr>
      <w:bookmarkStart w:id="8" w:name="_Hlk9866962"/>
      <w:r>
        <w:rPr>
          <w:rFonts w:hint="eastAsia" w:ascii="宋体" w:hAnsi="宋体"/>
          <w:b/>
          <w:color w:val="auto"/>
          <w:sz w:val="28"/>
          <w:szCs w:val="28"/>
          <w:highlight w:val="none"/>
        </w:rPr>
        <w:t>南京信息工程大学</w:t>
      </w:r>
      <w:r>
        <w:rPr>
          <w:rFonts w:hint="eastAsia" w:ascii="宋体" w:hAnsi="宋体"/>
          <w:b/>
          <w:color w:val="auto"/>
          <w:sz w:val="28"/>
          <w:szCs w:val="28"/>
          <w:highlight w:val="none"/>
          <w:lang w:val="en-US" w:eastAsia="zh-CN"/>
        </w:rPr>
        <w:t>招标办</w:t>
      </w:r>
    </w:p>
    <w:p>
      <w:pPr>
        <w:pStyle w:val="10"/>
        <w:spacing w:line="360" w:lineRule="auto"/>
        <w:ind w:left="99" w:leftChars="47" w:firstLine="4919" w:firstLineChars="1750"/>
        <w:rPr>
          <w:rStyle w:val="39"/>
          <w:rFonts w:ascii="宋体" w:hAnsi="Times New Roman" w:eastAsia="宋体"/>
          <w:color w:val="auto"/>
          <w:sz w:val="28"/>
          <w:szCs w:val="28"/>
          <w:highlight w:val="none"/>
        </w:rPr>
      </w:pPr>
      <w:r>
        <w:rPr>
          <w:rStyle w:val="39"/>
          <w:rFonts w:ascii="宋体" w:hAnsi="宋体" w:eastAsia="宋体"/>
          <w:color w:val="auto"/>
          <w:sz w:val="28"/>
          <w:szCs w:val="28"/>
          <w:highlight w:val="none"/>
        </w:rPr>
        <w:t>20</w:t>
      </w:r>
      <w:r>
        <w:rPr>
          <w:rStyle w:val="39"/>
          <w:rFonts w:hint="eastAsia" w:ascii="宋体" w:hAnsi="宋体" w:eastAsia="宋体"/>
          <w:color w:val="auto"/>
          <w:sz w:val="28"/>
          <w:szCs w:val="28"/>
          <w:highlight w:val="none"/>
        </w:rPr>
        <w:t>20年0</w:t>
      </w:r>
      <w:r>
        <w:rPr>
          <w:rStyle w:val="39"/>
          <w:rFonts w:hint="eastAsia" w:ascii="宋体" w:hAnsi="宋体"/>
          <w:color w:val="auto"/>
          <w:sz w:val="28"/>
          <w:szCs w:val="28"/>
          <w:highlight w:val="none"/>
          <w:lang w:val="en-US"/>
        </w:rPr>
        <w:t>7</w:t>
      </w:r>
      <w:r>
        <w:rPr>
          <w:rStyle w:val="39"/>
          <w:rFonts w:hint="eastAsia" w:ascii="宋体" w:hAnsi="宋体" w:eastAsia="宋体"/>
          <w:color w:val="auto"/>
          <w:sz w:val="28"/>
          <w:szCs w:val="28"/>
          <w:highlight w:val="none"/>
        </w:rPr>
        <w:t>月</w:t>
      </w:r>
      <w:r>
        <w:rPr>
          <w:rStyle w:val="39"/>
          <w:rFonts w:hint="eastAsia" w:ascii="宋体" w:hAnsi="宋体"/>
          <w:color w:val="auto"/>
          <w:sz w:val="28"/>
          <w:szCs w:val="28"/>
          <w:highlight w:val="none"/>
          <w:lang w:val="en-US"/>
        </w:rPr>
        <w:t>23</w:t>
      </w:r>
      <w:r>
        <w:rPr>
          <w:rStyle w:val="39"/>
          <w:rFonts w:hint="eastAsia" w:ascii="宋体" w:hAnsi="宋体" w:eastAsia="宋体"/>
          <w:color w:val="auto"/>
          <w:sz w:val="28"/>
          <w:szCs w:val="28"/>
          <w:highlight w:val="none"/>
        </w:rPr>
        <w:t>日</w:t>
      </w:r>
    </w:p>
    <w:bookmarkEnd w:id="8"/>
    <w:p>
      <w:pPr>
        <w:pStyle w:val="9"/>
        <w:adjustRightInd w:val="0"/>
        <w:snapToGrid w:val="0"/>
        <w:spacing w:before="120" w:after="120" w:line="360" w:lineRule="auto"/>
        <w:rPr>
          <w:rStyle w:val="39"/>
          <w:rFonts w:ascii="宋体" w:hAnsi="宋体" w:eastAsia="宋体"/>
          <w:b w:val="0"/>
          <w:color w:val="auto"/>
          <w:sz w:val="28"/>
          <w:szCs w:val="28"/>
          <w:highlight w:val="none"/>
        </w:rPr>
      </w:pPr>
      <w:r>
        <w:rPr>
          <w:rStyle w:val="39"/>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32"/>
          <w:szCs w:val="32"/>
          <w:highlight w:val="none"/>
        </w:rPr>
      </w:pPr>
      <w:r>
        <w:rPr>
          <w:rFonts w:hint="eastAsia" w:hAnsi="宋体"/>
          <w:b/>
          <w:color w:val="auto"/>
          <w:sz w:val="32"/>
          <w:szCs w:val="32"/>
          <w:highlight w:val="none"/>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eastAsiaTheme="minorEastAsia"/>
                <w:color w:val="auto"/>
                <w:sz w:val="24"/>
                <w:highlight w:val="none"/>
              </w:rPr>
            </w:pPr>
            <w:r>
              <w:rPr>
                <w:rFonts w:hint="eastAsia"/>
                <w:color w:val="auto"/>
                <w:sz w:val="24"/>
                <w:highlight w:val="none"/>
                <w:lang w:val="en-US" w:eastAsia="zh-CN"/>
              </w:rPr>
              <w:t>虚拟仿真教学软件</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eastAsia="宋体"/>
                <w:color w:val="auto"/>
                <w:sz w:val="24"/>
                <w:highlight w:val="none"/>
                <w:lang w:val="en-US" w:eastAsia="zh-CN"/>
              </w:rPr>
            </w:pPr>
            <w:r>
              <w:rPr>
                <w:rFonts w:hint="eastAsia"/>
                <w:color w:val="auto"/>
                <w:sz w:val="24"/>
                <w:highlight w:val="none"/>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color w:val="auto"/>
                <w:sz w:val="24"/>
                <w:highlight w:val="none"/>
              </w:rPr>
            </w:pPr>
            <w:r>
              <w:rPr>
                <w:color w:val="auto"/>
                <w:sz w:val="24"/>
                <w:highlight w:val="none"/>
              </w:rPr>
              <w:t>详见表后内容</w:t>
            </w:r>
          </w:p>
        </w:tc>
      </w:tr>
    </w:tbl>
    <w:p>
      <w:pPr>
        <w:pStyle w:val="2"/>
        <w:ind w:left="1470" w:right="1470"/>
        <w:rPr>
          <w:color w:val="auto"/>
          <w:highlight w:val="none"/>
        </w:rPr>
      </w:pP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一、项目描述</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应用计算机技术虚拟仿真实现《虚拟仿真教学软件》</w:t>
      </w:r>
      <w:r>
        <w:rPr>
          <w:rFonts w:hint="eastAsia" w:ascii="宋体" w:hAnsi="宋体"/>
          <w:color w:val="auto"/>
          <w:sz w:val="28"/>
          <w:szCs w:val="28"/>
          <w:highlight w:val="none"/>
          <w:lang w:val="zh-CN"/>
        </w:rPr>
        <w:t>的</w:t>
      </w:r>
      <w:r>
        <w:rPr>
          <w:rFonts w:hint="eastAsia" w:ascii="宋体" w:hAnsi="宋体"/>
          <w:color w:val="auto"/>
          <w:sz w:val="28"/>
          <w:szCs w:val="28"/>
          <w:highlight w:val="none"/>
        </w:rPr>
        <w:t>过程。虚拟实验能够记录学生的参与情况和评价学生的实验效果，达到人机互动的实验效果。虚拟实验项目要求画面运行流畅，虚拟场景逼真，符合国家关于信息化系统建设的标准规范。总之通过为学生提供虚拟项目平台，学生可以虚实结合，反复训练或设计实验，从而提高学生创新思维及创新实验技能。</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二、项目总体要求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1.技术要求：采用WebGL技术，支持Win7 64位系统/Win10 64位系统；支持大多数主流浏览器最新版本，如火狐浏览器、谷歌浏览器等在内的多款浏览器软件。</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2、虚拟实验与江苏省高等学校实验教学与实践教育中心共享平台（包括地球科学虚拟仿真实验教学共享平台esvs.nuist.edu.cn）的数据对接集成，能开展线上线下教学；</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3.交货安装要求：合同签订后30个工作日内。</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三、虚拟仿真实验开发形式要求</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1、3D模型和动画的要求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①写实的模型制作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制作正确的操作步骤，在虚拟软件里编写成可操作的脚本，与场景中的其他物体产生碰撞等效果。用户可以360度旋转场景，左键点选工具进行操作，加入道具的逻辑判断的脚本编写。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②制作写实的模型，针对已做好的动画，编写脚本程序。</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③分段制作写实的模型，制作正确的操作步骤动画，再编写脚本程序转成可操作的虚拟仿真界面。在原有的操作程序下增加参数的控制脚本和道具的逻辑判断的脚本编写。</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2、交互形式的要求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①在虚拟实训中，引导学生进行专业操作。在组件选项中加入干扰选项，如果选择错误，组件则无法搭建成功；如果学生操作错误则不能够进行下一步的操作，并弹出相应的知识提示信息，以供学生寻找原因。</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通过软件让抽象的课本知识有了形象化、真实化的表现特点，学生可以更加仔细的观察和了解书本知识内容，全面吸收虚拟场景所呈现的知识信息。</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在一定的时间范围内，学生需要完成第二步实训。在组件选项中加入干扰选项，如果选择错误，组件则无法搭建成功；如果学生操作错误则不能够进行下一步的操作，并弹出相应的知识提示信息，以供学生寻找原因。</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针对教材知识，补足课本知识概念化的缺陷，脱离课本教学限制，并且增加学习的趣味性，使学生在轻松活泼的环境中迅速掌握知识要点。</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在有限的时间内，学生必须完成仿真实验，在3-4组干扰选项中，需选择正确的选项。如果选择错误则不能进行下一步的操作，如果最终完成不了虚拟实验则自动跳转到该内容相对应的基础知识模块，以便学生参阅相关的相关知识。在交互式三维虚拟现实环境中通过不断的练习操作，切实了解课本知识的相互关系，迅速掌握操作要点，帮助学生扩展思维方式。</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四、项目开发要求</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1.总体技术要求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 本项目采购的软件应选用成熟、可靠的仿真平台开发。以现场真实场景数据、仪器数据和典型设备数据为依据来设计系统整体仿真环境、仿真仪器和设备；</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 仿真仪器与仿真设备的运行动作应该真实、可信，有表现力，符合真实；</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 仿真软件应提供真实、逼真的特效，尽可能表现真实实验内容在实验过程中的工作状态和效果；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④ 软件应采用先进的仿真技术，逼真表现仿真对象和设备在流程中的形态变化；</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⑤ 仿真软件采用面向对象设计，操作者通过对话框、菜单等简便的操作，能够对软件进行应用；</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⑥ 可根据实验操作过程中实验操作步骤结果对学生的实验过程进行自动打分；</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⑦ 仿真平台可对场景模型进行实时顶点优化和动态LOD设置调整，根据视觉效果调整优化比例，减少数据量，提高运行效率，千万面级大数据场景效率15帧以上;画面运行流畅，无停滞感，系统响应及时；界面设计合理、美观，人机交互性好，便于操作。</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2.系统设计原则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 安全性原则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系统在应用层面上采用了一整套完善的授权体系，通过对角色设置相应操作权限来保证业务操作的安全性，控制不同的登录用户权限；在数据层面上充分利用数据库提供的安全机制，在数据库备份、数据库恢复方面支持包括数据库日志备份、事务备份、数据库自动备份、灾难恢复等多种方法；系统层面的安全特性通过系统错误捕获、日志功能实现。</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 实用性原则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系统的建设充分贴近学校教学实际，同时利用现有的比较成熟的国家科技支撑计划研究成果，结合学校的特殊要求，进行定制开发，确保系统实用可行。</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 开放性原则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当用户需求发生少量变化或产生较简单的新需求时，用户可以在系统中自行修改或适度开发，从而提高效率、降低成本；系统模块具备灵活构建的功能，系统管理员可以根据工作业务需求增加、修改和删除系统模块及子模块，可以方便地维护信息代码。</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④ 可扩展性原则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所有功能模块都遵循一套完整而健全的协议，该协议不仅将系统的各模块紧密地融合为一体，而且方便单个功能模块的添加、升级，同时能十分有效地与其他系统进行兼容和数据交换，以实现数据的充分共享。</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⑤ 标准化原则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虚拟实验采用教育信息化标准委员会颁发的行业标准和国家标准。实验教学信息采用教育部最新高等学校标准信息子集，及时体现教育信息化进程。科学、规范化的业务设置，为各级管理部门之间的数据共享及数据交换奠定了良好的基础。数据报表完全按教育部上报格式，并保证同步更新。</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⑥ 易操作性原则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进行专业的用户界面设计和可用性测试，窗口界面简洁、直观，菜单层次清晰，功能项（功能按钮）定义明确，操作简单，功能按钮具有指向式说明，人性化操作设计。</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五、《虚拟仿真教学软件》开发内容</w:t>
      </w:r>
    </w:p>
    <w:p>
      <w:pPr>
        <w:widowControl/>
        <w:spacing w:line="360" w:lineRule="auto"/>
        <w:ind w:firstLine="562" w:firstLineChars="200"/>
        <w:rPr>
          <w:rFonts w:hint="eastAsia" w:ascii="宋体" w:hAnsi="宋体"/>
          <w:color w:val="auto"/>
          <w:sz w:val="28"/>
          <w:szCs w:val="28"/>
          <w:highlight w:val="none"/>
        </w:rPr>
      </w:pPr>
      <w:r>
        <w:rPr>
          <w:rFonts w:hint="eastAsia" w:ascii="宋体" w:hAnsi="宋体"/>
          <w:b/>
          <w:bCs/>
          <w:color w:val="auto"/>
          <w:sz w:val="28"/>
          <w:szCs w:val="28"/>
          <w:highlight w:val="none"/>
        </w:rPr>
        <w:t>共计4个独立的实验软件模块</w:t>
      </w:r>
      <w:r>
        <w:rPr>
          <w:rFonts w:hint="eastAsia" w:ascii="宋体" w:hAnsi="宋体"/>
          <w:color w:val="auto"/>
          <w:sz w:val="28"/>
          <w:szCs w:val="28"/>
          <w:highlight w:val="none"/>
        </w:rPr>
        <w:t>，分别是：星载雷达观测台风降水结构的三维虚拟仿真系统、雷达开关机的三维虚拟仿真系统、雷达发射信号检测的三维虚拟仿真系统、雷达双通道一致性检测的三维虚拟仿真系统。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要求：软件包括实验目的、实验原理、实验内容、实验报告等模块。</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1）星载雷达观测台风降水结构的三维虚拟仿真系统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1、三次典型台风降水过程星载雷达回波三维仿真实验</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学生可调节星载雷达的波长频率、卫星高度、观测范围、时间步长、水平分辨率、垂直分辨率等参数，软件根据设置的参数生成相应的三维模拟观测回波。具有三维等值面、三维地形、二维切面、动画、旋转、缩放等教学演示功能。同时，也针对课程学习内容，实现学练考评功能。</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2）雷达开关机的三维虚拟仿真系统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1、对南京信息工程大学C波段天气雷达室内场景进行三维建模（包括发射机、接收机、配电机柜、天线伺服系统等机房内设备），学生能够以第一人称进行虚拟场景漫游；</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2、按照C波段天气雷达实际操作流程，学生可以再虚拟场景内对天气雷达进行操作，包括电源的开关、发射机柜高压、低压的开关、接收机电脑及雷达工作模式的配置，可以完成对雷达设备的开启、关闭操作</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3）雷达发射信号检测的三维虚拟仿真系统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1、对雷达发射机检测口、检测仪器（信号源、频谱仪、示波器）进行三维虚拟仿真建模；</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2、按照雷达发射信号检测实际操作流程，学生可以在虚拟场景下进行检测并且记录相应的检测结果和检测信号图形；</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3、分析、保存检测结果；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4、所有数据和图形根据真实的雷达参数生成。</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4）雷达双通道一致性检测的三维虚拟仿真系统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1、对天气雷达接收通道检测界面进行虚拟仿真模拟；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2、通过操作灵敏度或动态范围测量检测界面呈现不同脉冲下的相关数据图；</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3、通过操作、分析数值、保存结果；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4、所有数据和图形根据真实的雷达参数生成。</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5）配合完成2个软件著作权的申报</w:t>
      </w:r>
    </w:p>
    <w:p>
      <w:pPr>
        <w:widowControl/>
        <w:spacing w:line="360" w:lineRule="auto"/>
        <w:ind w:firstLine="560" w:firstLineChars="200"/>
        <w:rPr>
          <w:rFonts w:hint="eastAsia" w:ascii="宋体" w:hAnsi="宋体"/>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0"/>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pStyle w:val="42"/>
        <w:spacing w:after="0" w:line="400" w:lineRule="exact"/>
        <w:ind w:right="147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1.交货期：</w:t>
      </w:r>
      <w:r>
        <w:rPr>
          <w:rFonts w:hint="eastAsia" w:ascii="宋体" w:hAnsi="宋体" w:eastAsia="宋体" w:cs="宋体"/>
          <w:color w:val="auto"/>
          <w:sz w:val="24"/>
          <w:szCs w:val="24"/>
          <w:highlight w:val="none"/>
        </w:rPr>
        <w:t>在合同签订后</w:t>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个工作日内完成软件开发调试。</w:t>
      </w:r>
    </w:p>
    <w:p>
      <w:pPr>
        <w:spacing w:line="400" w:lineRule="exact"/>
        <w:ind w:right="147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2.质量保证期：免费质保1年（自验收合格之日起计算）</w:t>
      </w:r>
      <w:r>
        <w:rPr>
          <w:rFonts w:hint="eastAsia" w:ascii="宋体" w:hAnsi="宋体" w:eastAsia="宋体" w:cs="宋体"/>
          <w:color w:val="auto"/>
          <w:sz w:val="24"/>
          <w:szCs w:val="24"/>
          <w:highlight w:val="none"/>
          <w:lang w:eastAsia="zh-CN"/>
        </w:rPr>
        <w:t>。</w:t>
      </w:r>
    </w:p>
    <w:p>
      <w:pPr>
        <w:adjustRightInd w:val="0"/>
        <w:snapToGrid w:val="0"/>
        <w:spacing w:line="360" w:lineRule="auto"/>
        <w:rPr>
          <w:rFonts w:hint="eastAsia" w:ascii="宋体" w:hAnsi="宋体" w:eastAsia="宋体" w:cs="宋体"/>
          <w:b/>
          <w:bCs/>
          <w:color w:val="auto"/>
          <w:sz w:val="24"/>
          <w:szCs w:val="24"/>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pStyle w:val="2"/>
        <w:rPr>
          <w:color w:val="auto"/>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adjustRightInd w:val="0"/>
        <w:spacing w:line="360" w:lineRule="auto"/>
        <w:ind w:right="0" w:rightChars="0" w:firstLine="480" w:firstLineChars="200"/>
        <w:rPr>
          <w:rFonts w:ascii="宋体"/>
          <w:color w:val="auto"/>
          <w:sz w:val="24"/>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6"/>
        <w:tblW w:w="9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firstLine="603"/>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firstLine="0"/>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firstLine="603"/>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9217" w:type="dxa"/>
            <w:gridSpan w:val="4"/>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szCs w:val="21"/>
                <w:highlight w:val="none"/>
              </w:rPr>
            </w:pPr>
            <w:r>
              <w:rPr>
                <w:rFonts w:hint="eastAsia" w:ascii="宋体" w:hAnsi="宋体" w:cs="宋体"/>
                <w:color w:val="auto"/>
                <w:kern w:val="0"/>
                <w:szCs w:val="21"/>
                <w:highlight w:val="none"/>
              </w:rPr>
              <w:t>1、价格部分（30分）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603"/>
              <w:rPr>
                <w:rFonts w:ascii="宋体" w:hAnsi="宋体" w:cs="宋体"/>
                <w:color w:val="auto"/>
                <w:szCs w:val="21"/>
                <w:highlight w:val="none"/>
              </w:rPr>
            </w:pPr>
            <w:r>
              <w:rPr>
                <w:rFonts w:hint="eastAsia" w:ascii="宋体" w:hAnsi="宋体" w:cs="宋体"/>
                <w:color w:val="auto"/>
                <w:szCs w:val="21"/>
                <w:highlight w:val="none"/>
              </w:rPr>
              <w:t>1.1</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0"/>
              <w:rPr>
                <w:rFonts w:ascii="宋体" w:hAnsi="宋体" w:cs="宋体"/>
                <w:color w:val="auto"/>
                <w:szCs w:val="21"/>
                <w:highlight w:val="none"/>
              </w:rPr>
            </w:pPr>
            <w:r>
              <w:rPr>
                <w:rFonts w:hint="eastAsia" w:ascii="宋体" w:hAnsi="宋体" w:cs="宋体"/>
                <w:color w:val="auto"/>
                <w:szCs w:val="21"/>
                <w:highlight w:val="none"/>
              </w:rPr>
              <w:t>价格分</w:t>
            </w:r>
          </w:p>
        </w:tc>
        <w:tc>
          <w:tcPr>
            <w:tcW w:w="5103"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bCs/>
                <w:color w:val="auto"/>
                <w:kern w:val="0"/>
                <w:szCs w:val="21"/>
                <w:highlight w:val="none"/>
              </w:rPr>
            </w:pPr>
            <w:r>
              <w:rPr>
                <w:rFonts w:hint="eastAsia" w:ascii="宋体" w:hAnsi="宋体" w:cs="宋体"/>
                <w:bCs/>
                <w:color w:val="auto"/>
                <w:kern w:val="0"/>
                <w:szCs w:val="21"/>
                <w:highlight w:val="none"/>
              </w:rPr>
              <w:t>以通过资格审查、实质性响应招标文件要求的投标报价的最低价作为评标基准价（须未超过采购预算或最高限价），满分30分。其他投标人的价格分统一按照下列公式计算：投标报价得分=（评标基准价/投标报价）*价格权值* 100（价格权值为30%）。</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7" w:type="dxa"/>
            <w:gridSpan w:val="4"/>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2、技术部分（50分）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1704"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firstLine="0"/>
              <w:rPr>
                <w:rFonts w:ascii="宋体" w:hAnsi="宋体" w:cs="宋体"/>
                <w:color w:val="auto"/>
                <w:kern w:val="0"/>
                <w:szCs w:val="21"/>
                <w:highlight w:val="none"/>
              </w:rPr>
            </w:pP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专业能力</w:t>
            </w:r>
          </w:p>
        </w:tc>
        <w:tc>
          <w:tcPr>
            <w:tcW w:w="5103"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1、方案理解：投标人提供的方案与需求的吻合程度，包括方案的科学性、先进性、成熟性；方案是否科学合理、安全严密、具有一定的前瞻性。</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对项目的理解能力共计10分，主要体现在以下几个方面，每个要点2分，具有得分，不具备不得分：</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1）对虚拟仿真软件在教学中的作用阐述是否科学；</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2）是否具有完整的学、练、考、评系统；</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3）对什么是双偏振天气雷达及需要测试的硬件描述是否准确；</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4)雷达参数的改变对测量结果的影响描述是否正确；</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5)是否承诺配合完成2项软著申报；</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2、技术方案：对项目的重点难点进行分析，并提出完善的解决方案，采用先进、合理的技术路线，架构完整先进，功能完善、目标明确、符合规范。共计32分，对四个功能模块有单独的方案设计，每个模块8分，对应到下面的要点，每个要点2分，具有得分，不具备不得分。</w:t>
            </w:r>
          </w:p>
          <w:p>
            <w:pPr>
              <w:pStyle w:val="2"/>
              <w:ind w:left="0" w:leftChars="0" w:right="1470" w:firstLineChars="200"/>
              <w:rPr>
                <w:color w:val="auto"/>
                <w:highlight w:val="none"/>
              </w:rPr>
            </w:pPr>
            <w:r>
              <w:rPr>
                <w:rFonts w:hint="eastAsia"/>
                <w:color w:val="auto"/>
                <w:highlight w:val="none"/>
              </w:rPr>
              <w:t>1)是否有详细的技术框图；</w:t>
            </w:r>
          </w:p>
          <w:p>
            <w:pPr>
              <w:adjustRightInd w:val="0"/>
              <w:spacing w:line="360" w:lineRule="exact"/>
              <w:ind w:right="0" w:rightChars="0" w:firstLineChars="200"/>
              <w:rPr>
                <w:rFonts w:ascii="宋体" w:hAnsi="宋体" w:cs="宋体"/>
                <w:color w:val="auto"/>
                <w:kern w:val="0"/>
                <w:szCs w:val="21"/>
                <w:highlight w:val="none"/>
              </w:rPr>
            </w:pPr>
            <w:r>
              <w:rPr>
                <w:rFonts w:hint="eastAsia" w:ascii="宋体" w:hAnsi="宋体" w:cs="宋体"/>
                <w:color w:val="auto"/>
                <w:kern w:val="0"/>
                <w:szCs w:val="21"/>
                <w:highlight w:val="none"/>
              </w:rPr>
              <w:t>2)理解后的测试方法描述是否正确；</w:t>
            </w:r>
          </w:p>
          <w:p>
            <w:pPr>
              <w:adjustRightInd w:val="0"/>
              <w:spacing w:line="360" w:lineRule="exact"/>
              <w:ind w:right="0" w:rightChars="0" w:firstLineChars="200"/>
              <w:rPr>
                <w:rFonts w:ascii="宋体" w:hAnsi="宋体" w:cs="宋体"/>
                <w:color w:val="auto"/>
                <w:kern w:val="0"/>
                <w:szCs w:val="21"/>
                <w:highlight w:val="none"/>
              </w:rPr>
            </w:pPr>
            <w:r>
              <w:rPr>
                <w:rFonts w:hint="eastAsia" w:ascii="宋体" w:hAnsi="宋体" w:cs="宋体"/>
                <w:color w:val="auto"/>
                <w:kern w:val="0"/>
                <w:szCs w:val="21"/>
                <w:highlight w:val="none"/>
              </w:rPr>
              <w:t>3)测试所需的仪器是否完整；</w:t>
            </w:r>
          </w:p>
          <w:p>
            <w:pPr>
              <w:adjustRightInd w:val="0"/>
              <w:spacing w:line="360" w:lineRule="exact"/>
              <w:ind w:right="0" w:rightChars="0" w:firstLineChars="200"/>
              <w:rPr>
                <w:rFonts w:ascii="宋体" w:hAnsi="宋体" w:cs="宋体"/>
                <w:color w:val="auto"/>
                <w:kern w:val="0"/>
                <w:szCs w:val="21"/>
                <w:highlight w:val="none"/>
              </w:rPr>
            </w:pPr>
            <w:r>
              <w:rPr>
                <w:rFonts w:hint="eastAsia" w:ascii="宋体" w:hAnsi="宋体" w:cs="宋体"/>
                <w:color w:val="auto"/>
                <w:kern w:val="0"/>
                <w:szCs w:val="21"/>
                <w:highlight w:val="none"/>
              </w:rPr>
              <w:t>4)需要记录保存的数据及结果是否正确；</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3、项目实施方案：方案科学合理，有明确的工程进度和管理措施，有明确的项目实施保障措施，对质量有详细的控制方案和措施，有详细、明确的测试与验收方案。具体评分如下，每个点2分，具有得分，不具备不得分，共计8分：</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是否有专门的项目经理；</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是否有详细的时间日程安排（具体到天）；</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是否有质量控制方案；</w:t>
            </w:r>
          </w:p>
          <w:p>
            <w:pPr>
              <w:pStyle w:val="2"/>
              <w:ind w:left="0" w:leftChars="0" w:right="1470" w:firstLineChars="200"/>
              <w:rPr>
                <w:color w:val="auto"/>
                <w:highlight w:val="none"/>
              </w:rPr>
            </w:pPr>
            <w:r>
              <w:rPr>
                <w:rFonts w:hint="eastAsia"/>
                <w:color w:val="auto"/>
                <w:highlight w:val="none"/>
              </w:rPr>
              <w:t>是否有详细的测试方案；</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9217" w:type="dxa"/>
            <w:gridSpan w:val="4"/>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3、服务部分（11分）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603"/>
              <w:jc w:val="center"/>
              <w:rPr>
                <w:rFonts w:ascii="宋体" w:hAnsi="宋体" w:cs="宋体"/>
                <w:color w:val="auto"/>
                <w:szCs w:val="21"/>
                <w:highlight w:val="none"/>
              </w:rPr>
            </w:pPr>
          </w:p>
          <w:p>
            <w:pPr>
              <w:pStyle w:val="6"/>
              <w:kinsoku w:val="0"/>
              <w:overflowPunct w:val="0"/>
              <w:adjustRightInd w:val="0"/>
              <w:spacing w:line="360" w:lineRule="exact"/>
              <w:ind w:right="0" w:rightChars="0" w:firstLine="603"/>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p>
          <w:p>
            <w:pPr>
              <w:adjustRightInd w:val="0"/>
              <w:spacing w:line="360" w:lineRule="exact"/>
              <w:ind w:right="0" w:rightChars="0"/>
              <w:jc w:val="center"/>
              <w:rPr>
                <w:rFonts w:ascii="宋体" w:hAnsi="宋体" w:cs="宋体"/>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安装调试方案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jc w:val="left"/>
              <w:rPr>
                <w:rFonts w:ascii="宋体" w:hAnsi="宋体" w:cs="宋体"/>
                <w:color w:val="auto"/>
                <w:szCs w:val="21"/>
                <w:highlight w:val="none"/>
              </w:rPr>
            </w:pPr>
            <w:r>
              <w:rPr>
                <w:rFonts w:hint="eastAsia" w:ascii="宋体" w:hAnsi="宋体" w:cs="宋体"/>
                <w:color w:val="auto"/>
                <w:szCs w:val="21"/>
                <w:highlight w:val="none"/>
              </w:rPr>
              <w:t>依据供应商提供的本次招标</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软件</w:t>
            </w:r>
            <w:r>
              <w:rPr>
                <w:rFonts w:hint="eastAsia" w:ascii="宋体" w:hAnsi="宋体" w:cs="宋体"/>
                <w:color w:val="auto"/>
                <w:szCs w:val="21"/>
                <w:highlight w:val="none"/>
              </w:rPr>
              <w:t>到校后的安装调试方案的</w:t>
            </w:r>
            <w:r>
              <w:rPr>
                <w:rFonts w:hint="eastAsia" w:ascii="宋体" w:hAnsi="宋体" w:cs="宋体"/>
                <w:color w:val="auto"/>
                <w:szCs w:val="21"/>
                <w:highlight w:val="none"/>
              </w:rPr>
              <w:t>完整性、合理性最优的得3分，一般得1分，其他不得分。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603"/>
              <w:jc w:val="center"/>
              <w:rPr>
                <w:rFonts w:ascii="宋体" w:hAnsi="宋体" w:cs="宋体"/>
                <w:color w:val="auto"/>
                <w:szCs w:val="21"/>
                <w:highlight w:val="none"/>
              </w:rPr>
            </w:pPr>
          </w:p>
          <w:p>
            <w:pPr>
              <w:pStyle w:val="6"/>
              <w:kinsoku w:val="0"/>
              <w:overflowPunct w:val="0"/>
              <w:adjustRightInd w:val="0"/>
              <w:spacing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售后服务方案</w:t>
            </w:r>
          </w:p>
          <w:p>
            <w:pPr>
              <w:adjustRightInd w:val="0"/>
              <w:spacing w:line="360" w:lineRule="exact"/>
              <w:ind w:right="0" w:rightChars="0"/>
              <w:jc w:val="center"/>
              <w:rPr>
                <w:rFonts w:ascii="宋体" w:hAnsi="宋体" w:cs="宋体"/>
                <w:color w:val="auto"/>
                <w:kern w:val="0"/>
                <w:szCs w:val="21"/>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jc w:val="left"/>
              <w:rPr>
                <w:rFonts w:ascii="宋体" w:hAnsi="宋体" w:cs="宋体"/>
                <w:color w:val="auto"/>
                <w:szCs w:val="21"/>
                <w:highlight w:val="none"/>
              </w:rPr>
            </w:pPr>
            <w:r>
              <w:rPr>
                <w:rFonts w:hint="eastAsia" w:ascii="宋体" w:hAnsi="宋体" w:cs="宋体"/>
                <w:color w:val="auto"/>
                <w:szCs w:val="21"/>
                <w:highlight w:val="none"/>
              </w:rPr>
              <w:t>售后服务方案（服务体系、服务内容、故障解决方案、专业技术人员保障及服务电话）最优的得3分，一般得1分，其他不得分。</w:t>
            </w:r>
          </w:p>
          <w:p>
            <w:pPr>
              <w:pStyle w:val="6"/>
              <w:kinsoku w:val="0"/>
              <w:overflowPunct w:val="0"/>
              <w:adjustRightInd w:val="0"/>
              <w:spacing w:before="88" w:line="360" w:lineRule="exact"/>
              <w:ind w:right="0" w:rightChars="0"/>
              <w:jc w:val="left"/>
              <w:rPr>
                <w:rFonts w:ascii="宋体" w:hAnsi="宋体" w:cs="宋体"/>
                <w:color w:val="auto"/>
                <w:szCs w:val="21"/>
                <w:highlight w:val="none"/>
              </w:rPr>
            </w:pPr>
            <w:r>
              <w:rPr>
                <w:rFonts w:hint="eastAsia" w:ascii="宋体" w:hAnsi="宋体" w:cs="宋体"/>
                <w:color w:val="auto"/>
                <w:szCs w:val="21"/>
                <w:highlight w:val="none"/>
              </w:rPr>
              <w:t>投标人相关本地化服务，有固定的售后服务机构，并配备有售后服务人员的得3分，投标人须提供相关的售后服务站点营业执照原件及售后服务人员社保缴纳票据原件，否则不得分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培训方案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rPr>
                <w:color w:val="auto"/>
                <w:highlight w:val="none"/>
              </w:rPr>
            </w:pPr>
            <w:r>
              <w:rPr>
                <w:rFonts w:hint="eastAsia"/>
                <w:color w:val="auto"/>
                <w:highlight w:val="none"/>
              </w:rPr>
              <w:t>培训方案完善、详细、针对性及可实施性强，培训内容针对性强，得2分；</w:t>
            </w:r>
          </w:p>
          <w:p>
            <w:pPr>
              <w:adjustRightInd w:val="0"/>
              <w:ind w:right="0" w:rightChars="0"/>
              <w:rPr>
                <w:color w:val="auto"/>
                <w:highlight w:val="none"/>
              </w:rPr>
            </w:pPr>
            <w:r>
              <w:rPr>
                <w:rFonts w:hint="eastAsia"/>
                <w:color w:val="auto"/>
                <w:highlight w:val="none"/>
              </w:rPr>
              <w:t>培训方案内容简单粗糙，具有可实施性的，得1分；</w:t>
            </w:r>
          </w:p>
          <w:p>
            <w:pPr>
              <w:adjustRightInd w:val="0"/>
              <w:ind w:right="0" w:rightChars="0"/>
              <w:rPr>
                <w:rFonts w:ascii="宋体" w:hAnsi="宋体" w:cs="宋体"/>
                <w:color w:val="auto"/>
                <w:szCs w:val="21"/>
                <w:highlight w:val="none"/>
              </w:rPr>
            </w:pPr>
            <w:r>
              <w:rPr>
                <w:rFonts w:hint="eastAsia"/>
                <w:color w:val="auto"/>
                <w:highlight w:val="none"/>
              </w:rPr>
              <w:t>无培训方案，或与项目实际内容基本无关联或不具可实施性的，不得分。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7" w:type="dxa"/>
            <w:gridSpan w:val="4"/>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4、业绩（3分）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1704"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line="360" w:lineRule="exact"/>
              <w:ind w:right="0" w:rightChars="0" w:firstLine="603"/>
              <w:rPr>
                <w:rFonts w:ascii="宋体" w:hAnsi="宋体" w:cs="宋体"/>
                <w:color w:val="auto"/>
                <w:szCs w:val="21"/>
                <w:highlight w:val="none"/>
              </w:rPr>
            </w:pPr>
          </w:p>
          <w:p>
            <w:pPr>
              <w:pStyle w:val="6"/>
              <w:kinsoku w:val="0"/>
              <w:overflowPunct w:val="0"/>
              <w:adjustRightInd w:val="0"/>
              <w:spacing w:line="360" w:lineRule="exact"/>
              <w:ind w:right="0" w:rightChars="0" w:firstLine="603"/>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line="360" w:lineRule="exact"/>
              <w:ind w:right="0" w:rightChars="0" w:firstLine="603"/>
              <w:jc w:val="center"/>
              <w:rPr>
                <w:rFonts w:ascii="宋体" w:hAnsi="宋体" w:cs="宋体"/>
                <w:color w:val="auto"/>
                <w:szCs w:val="21"/>
                <w:highlight w:val="none"/>
              </w:rPr>
            </w:pPr>
          </w:p>
          <w:p>
            <w:pPr>
              <w:pStyle w:val="6"/>
              <w:kinsoku w:val="0"/>
              <w:overflowPunct w:val="0"/>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依据投标人或所投产品生产厂家提供自2019年5月1日以来完成过同类项目案例，每提供一个得1分，最多3分。须提供中标通知书、有效的合同以及验收合格证明（时间以合同签订日期为准）。</w:t>
            </w:r>
          </w:p>
        </w:tc>
        <w:tc>
          <w:tcPr>
            <w:tcW w:w="1134"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9217" w:type="dxa"/>
            <w:gridSpan w:val="4"/>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5、资质（4分）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firstLine="603"/>
              <w:jc w:val="center"/>
              <w:rPr>
                <w:rFonts w:ascii="宋体" w:hAnsi="宋体" w:cs="宋体"/>
                <w:color w:val="auto"/>
                <w:szCs w:val="21"/>
                <w:highlight w:val="none"/>
              </w:rPr>
            </w:pPr>
            <w:r>
              <w:rPr>
                <w:rFonts w:hint="eastAsia" w:ascii="宋体" w:hAnsi="宋体" w:cs="宋体"/>
                <w:color w:val="auto"/>
                <w:szCs w:val="21"/>
                <w:highlight w:val="none"/>
              </w:rPr>
              <w:t>5.1</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firstLine="0"/>
              <w:rPr>
                <w:rFonts w:ascii="宋体" w:hAnsi="宋体" w:cs="宋体"/>
                <w:color w:val="auto"/>
                <w:szCs w:val="21"/>
                <w:highlight w:val="none"/>
              </w:rPr>
            </w:pPr>
            <w:r>
              <w:rPr>
                <w:rFonts w:hint="eastAsia" w:ascii="宋体" w:hAnsi="宋体" w:cs="宋体"/>
                <w:color w:val="auto"/>
                <w:szCs w:val="21"/>
                <w:highlight w:val="none"/>
              </w:rPr>
              <w:t>软著证明1</w:t>
            </w:r>
          </w:p>
        </w:tc>
        <w:tc>
          <w:tcPr>
            <w:tcW w:w="5103"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提供计算机软件著作气象、雷达相关证明，提供一项可得4分，没有不得分</w:t>
            </w:r>
          </w:p>
        </w:tc>
        <w:tc>
          <w:tcPr>
            <w:tcW w:w="1134"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9217" w:type="dxa"/>
            <w:gridSpan w:val="4"/>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left"/>
              <w:rPr>
                <w:rFonts w:ascii="宋体" w:hAnsi="宋体"/>
                <w:color w:val="auto"/>
                <w:szCs w:val="21"/>
                <w:highlight w:val="none"/>
              </w:rPr>
            </w:pPr>
            <w:r>
              <w:rPr>
                <w:rFonts w:hint="eastAsia" w:ascii="宋体" w:hAnsi="宋体"/>
                <w:color w:val="auto"/>
                <w:szCs w:val="21"/>
                <w:highlight w:val="none"/>
              </w:rPr>
              <w:t>6、投标文件制作分（2分）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center"/>
              <w:rPr>
                <w:color w:val="auto"/>
                <w:highlight w:val="none"/>
              </w:rPr>
            </w:pPr>
            <w:r>
              <w:rPr>
                <w:rFonts w:hint="eastAsia"/>
                <w:color w:val="auto"/>
                <w:highlight w:val="none"/>
              </w:rPr>
              <w:t>6.1</w:t>
            </w:r>
          </w:p>
          <w:p>
            <w:pPr>
              <w:pStyle w:val="2"/>
              <w:adjustRightInd w:val="0"/>
              <w:ind w:left="0" w:leftChars="0" w:right="0" w:rightChars="0"/>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center"/>
              <w:rPr>
                <w:rFonts w:hint="eastAsia" w:ascii="宋体" w:hAnsi="宋体" w:eastAsia="宋体"/>
                <w:color w:val="auto"/>
                <w:szCs w:val="21"/>
                <w:highlight w:val="none"/>
                <w:lang w:eastAsia="zh-CN"/>
              </w:rPr>
            </w:pPr>
            <w:r>
              <w:rPr>
                <w:rFonts w:hint="eastAsia" w:hAnsi="宋体"/>
                <w:color w:val="auto"/>
                <w:szCs w:val="21"/>
                <w:highlight w:val="none"/>
              </w:rPr>
              <w:t>投标文件</w:t>
            </w:r>
            <w:r>
              <w:rPr>
                <w:rFonts w:hint="eastAsia" w:hAnsi="宋体"/>
                <w:color w:val="auto"/>
                <w:szCs w:val="21"/>
                <w:highlight w:val="none"/>
                <w:lang w:val="en-US" w:eastAsia="zh-CN"/>
              </w:rPr>
              <w:t>制作</w:t>
            </w:r>
          </w:p>
        </w:tc>
        <w:tc>
          <w:tcPr>
            <w:tcW w:w="5103"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right="0" w:rightChars="0"/>
              <w:rPr>
                <w:rFonts w:ascii="宋体" w:hAnsi="宋体"/>
                <w:color w:val="auto"/>
                <w:szCs w:val="21"/>
                <w:highlight w:val="none"/>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center"/>
              <w:rPr>
                <w:rFonts w:ascii="宋体" w:hAnsi="宋体"/>
                <w:color w:val="auto"/>
                <w:szCs w:val="21"/>
                <w:highlight w:val="none"/>
              </w:rPr>
            </w:pPr>
            <w:r>
              <w:rPr>
                <w:rFonts w:hint="eastAsia" w:ascii="宋体" w:hAnsi="宋体"/>
                <w:color w:val="auto"/>
                <w:szCs w:val="21"/>
                <w:highlight w:val="none"/>
              </w:rPr>
              <w:t>2</w:t>
            </w:r>
          </w:p>
        </w:tc>
      </w:tr>
    </w:tbl>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9"/>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9"/>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质保期3年。（自交货验收合格之日起计）</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付款方式：针对国内供应货物，签订合同后，20日内预付合同金额的30%，全部货物交货并验收合格后，凭验收凭证和货物验收合格等文件20内支付至合同金额的100%，质量保证金</w:t>
      </w:r>
      <w:r>
        <w:rPr>
          <w:rFonts w:hint="eastAsia" w:hAnsi="宋体"/>
          <w:color w:val="auto"/>
          <w:sz w:val="24"/>
          <w:szCs w:val="24"/>
          <w:highlight w:val="none"/>
          <w:lang w:eastAsia="zh-CN"/>
        </w:rPr>
        <w:t>，</w:t>
      </w:r>
      <w:r>
        <w:rPr>
          <w:rFonts w:hAnsi="宋体"/>
          <w:color w:val="auto"/>
          <w:sz w:val="24"/>
          <w:szCs w:val="24"/>
          <w:highlight w:val="none"/>
        </w:rPr>
        <w:t>经有关单位确认无质量问题后，一次性</w:t>
      </w:r>
      <w:r>
        <w:rPr>
          <w:rFonts w:hint="eastAsia" w:hAnsi="宋体"/>
          <w:color w:val="auto"/>
          <w:sz w:val="24"/>
          <w:szCs w:val="24"/>
          <w:highlight w:val="none"/>
          <w:lang w:val="en-US" w:eastAsia="zh-CN"/>
        </w:rPr>
        <w:t>无息付清</w:t>
      </w:r>
      <w:r>
        <w:rPr>
          <w:rFonts w:hAnsi="宋体"/>
          <w:color w:val="auto"/>
          <w:sz w:val="24"/>
          <w:szCs w:val="24"/>
          <w:highlight w:val="none"/>
        </w:rPr>
        <w:t>。具体内容以最终签署的合同约定为准。</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9"/>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bookmarkEnd w:id="11"/>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5932D1"/>
    <w:rsid w:val="05B517B2"/>
    <w:rsid w:val="05C62318"/>
    <w:rsid w:val="0666393D"/>
    <w:rsid w:val="07D33D16"/>
    <w:rsid w:val="09637941"/>
    <w:rsid w:val="0BDF51D7"/>
    <w:rsid w:val="0C3615C8"/>
    <w:rsid w:val="0C4861BD"/>
    <w:rsid w:val="0D873213"/>
    <w:rsid w:val="0D9425DE"/>
    <w:rsid w:val="0D99361C"/>
    <w:rsid w:val="107D340A"/>
    <w:rsid w:val="10EB4170"/>
    <w:rsid w:val="10F05838"/>
    <w:rsid w:val="113C24CA"/>
    <w:rsid w:val="119D0D41"/>
    <w:rsid w:val="12162C3B"/>
    <w:rsid w:val="130F1D58"/>
    <w:rsid w:val="146723C1"/>
    <w:rsid w:val="14896182"/>
    <w:rsid w:val="150D1119"/>
    <w:rsid w:val="155010AB"/>
    <w:rsid w:val="15572C10"/>
    <w:rsid w:val="1584594C"/>
    <w:rsid w:val="15907301"/>
    <w:rsid w:val="15A90346"/>
    <w:rsid w:val="15B24E31"/>
    <w:rsid w:val="16AA09BD"/>
    <w:rsid w:val="17833DE3"/>
    <w:rsid w:val="18395459"/>
    <w:rsid w:val="1C121D57"/>
    <w:rsid w:val="1C4A137C"/>
    <w:rsid w:val="1F11313D"/>
    <w:rsid w:val="1F956998"/>
    <w:rsid w:val="20DC5C02"/>
    <w:rsid w:val="20FE711F"/>
    <w:rsid w:val="21A70E96"/>
    <w:rsid w:val="225E4DAF"/>
    <w:rsid w:val="22891E2D"/>
    <w:rsid w:val="22D33607"/>
    <w:rsid w:val="23FD2509"/>
    <w:rsid w:val="240610C4"/>
    <w:rsid w:val="243943F8"/>
    <w:rsid w:val="24E05430"/>
    <w:rsid w:val="267A7579"/>
    <w:rsid w:val="272E19CB"/>
    <w:rsid w:val="27961F1E"/>
    <w:rsid w:val="27AD7C03"/>
    <w:rsid w:val="2823104B"/>
    <w:rsid w:val="28C46277"/>
    <w:rsid w:val="29062B05"/>
    <w:rsid w:val="29127A38"/>
    <w:rsid w:val="2AB43BC5"/>
    <w:rsid w:val="2B556F15"/>
    <w:rsid w:val="2B7F4BC3"/>
    <w:rsid w:val="2CE81BAF"/>
    <w:rsid w:val="2DAC05D8"/>
    <w:rsid w:val="2E726843"/>
    <w:rsid w:val="2EDC02FF"/>
    <w:rsid w:val="311371D1"/>
    <w:rsid w:val="3172033E"/>
    <w:rsid w:val="3227588C"/>
    <w:rsid w:val="325F6558"/>
    <w:rsid w:val="331653E5"/>
    <w:rsid w:val="34B9359E"/>
    <w:rsid w:val="351529A9"/>
    <w:rsid w:val="355A74E9"/>
    <w:rsid w:val="35FD1F7A"/>
    <w:rsid w:val="362E6335"/>
    <w:rsid w:val="366D672C"/>
    <w:rsid w:val="36E3150F"/>
    <w:rsid w:val="37480A54"/>
    <w:rsid w:val="384A4707"/>
    <w:rsid w:val="385D644E"/>
    <w:rsid w:val="38F33167"/>
    <w:rsid w:val="39C83C69"/>
    <w:rsid w:val="39CE5E1D"/>
    <w:rsid w:val="39CF6020"/>
    <w:rsid w:val="3A9701E9"/>
    <w:rsid w:val="3B6F0F05"/>
    <w:rsid w:val="3C003247"/>
    <w:rsid w:val="3C8E6F2D"/>
    <w:rsid w:val="3D6145DC"/>
    <w:rsid w:val="3E3F526F"/>
    <w:rsid w:val="3EDB4EA4"/>
    <w:rsid w:val="3F677584"/>
    <w:rsid w:val="3FC31914"/>
    <w:rsid w:val="414A37BB"/>
    <w:rsid w:val="42643A73"/>
    <w:rsid w:val="42AA1012"/>
    <w:rsid w:val="4343468C"/>
    <w:rsid w:val="43FB66E3"/>
    <w:rsid w:val="44DC7F4B"/>
    <w:rsid w:val="44EC73F7"/>
    <w:rsid w:val="44F1114B"/>
    <w:rsid w:val="45651876"/>
    <w:rsid w:val="462F7716"/>
    <w:rsid w:val="46AA377D"/>
    <w:rsid w:val="481F41CF"/>
    <w:rsid w:val="49363676"/>
    <w:rsid w:val="496F3F7E"/>
    <w:rsid w:val="4A4B48E3"/>
    <w:rsid w:val="4A6733C8"/>
    <w:rsid w:val="4B475E07"/>
    <w:rsid w:val="4B5137BF"/>
    <w:rsid w:val="4DA86B45"/>
    <w:rsid w:val="4F8D61B6"/>
    <w:rsid w:val="4FAF38AA"/>
    <w:rsid w:val="51497070"/>
    <w:rsid w:val="51E025FE"/>
    <w:rsid w:val="52FD675A"/>
    <w:rsid w:val="532B7AD5"/>
    <w:rsid w:val="53926E95"/>
    <w:rsid w:val="53D80FA7"/>
    <w:rsid w:val="5473349C"/>
    <w:rsid w:val="54B6223B"/>
    <w:rsid w:val="54E15A0F"/>
    <w:rsid w:val="55344B23"/>
    <w:rsid w:val="56732DC5"/>
    <w:rsid w:val="56C21B98"/>
    <w:rsid w:val="57360F05"/>
    <w:rsid w:val="57D14A10"/>
    <w:rsid w:val="581F495D"/>
    <w:rsid w:val="58484116"/>
    <w:rsid w:val="58DA78C0"/>
    <w:rsid w:val="58E017CC"/>
    <w:rsid w:val="59D97AC0"/>
    <w:rsid w:val="5AC859BF"/>
    <w:rsid w:val="5BE641EE"/>
    <w:rsid w:val="5C0F2072"/>
    <w:rsid w:val="5CFC1D50"/>
    <w:rsid w:val="5E6C25B6"/>
    <w:rsid w:val="5E84123F"/>
    <w:rsid w:val="607E0927"/>
    <w:rsid w:val="60946724"/>
    <w:rsid w:val="619D5BCC"/>
    <w:rsid w:val="6233128F"/>
    <w:rsid w:val="62635DDC"/>
    <w:rsid w:val="62FE3555"/>
    <w:rsid w:val="63D7368B"/>
    <w:rsid w:val="665A104A"/>
    <w:rsid w:val="670D7125"/>
    <w:rsid w:val="683B38FA"/>
    <w:rsid w:val="68A603CF"/>
    <w:rsid w:val="69E27B06"/>
    <w:rsid w:val="6A0F3694"/>
    <w:rsid w:val="6A5C1E75"/>
    <w:rsid w:val="6AB76CFB"/>
    <w:rsid w:val="6BC1702A"/>
    <w:rsid w:val="6C282248"/>
    <w:rsid w:val="6CBD55AC"/>
    <w:rsid w:val="6DE636A7"/>
    <w:rsid w:val="6DE86594"/>
    <w:rsid w:val="6EA53877"/>
    <w:rsid w:val="73711235"/>
    <w:rsid w:val="753E278B"/>
    <w:rsid w:val="75BE6EB5"/>
    <w:rsid w:val="76B65D2F"/>
    <w:rsid w:val="7815375E"/>
    <w:rsid w:val="786C6826"/>
    <w:rsid w:val="7AE40810"/>
    <w:rsid w:val="7B76472E"/>
    <w:rsid w:val="7BBB6C68"/>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Normal Indent"/>
    <w:basedOn w:val="1"/>
    <w:unhideWhenUsed/>
    <w:qFormat/>
    <w:locked/>
    <w:uiPriority w:val="99"/>
    <w:pPr>
      <w:ind w:firstLine="420" w:firstLineChars="200"/>
    </w:pPr>
  </w:style>
  <w:style w:type="paragraph" w:styleId="5">
    <w:name w:val="annotation text"/>
    <w:basedOn w:val="1"/>
    <w:link w:val="22"/>
    <w:qFormat/>
    <w:uiPriority w:val="99"/>
    <w:pPr>
      <w:jc w:val="left"/>
    </w:pPr>
    <w:rPr>
      <w:sz w:val="24"/>
      <w:szCs w:val="20"/>
    </w:rPr>
  </w:style>
  <w:style w:type="paragraph" w:styleId="6">
    <w:name w:val="Body Text"/>
    <w:basedOn w:val="1"/>
    <w:link w:val="41"/>
    <w:unhideWhenUsed/>
    <w:qFormat/>
    <w:locked/>
    <w:uiPriority w:val="99"/>
    <w:pPr>
      <w:spacing w:after="120"/>
    </w:pPr>
  </w:style>
  <w:style w:type="paragraph" w:styleId="7">
    <w:name w:val="Body Text Indent"/>
    <w:basedOn w:val="1"/>
    <w:link w:val="23"/>
    <w:qFormat/>
    <w:uiPriority w:val="99"/>
    <w:pPr>
      <w:ind w:firstLine="575" w:firstLineChars="274"/>
    </w:pPr>
    <w:rPr>
      <w:rFonts w:ascii="等线" w:eastAsia="等线"/>
      <w:sz w:val="22"/>
      <w:szCs w:val="20"/>
    </w:r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字符"/>
    <w:link w:val="3"/>
    <w:qFormat/>
    <w:locked/>
    <w:uiPriority w:val="99"/>
    <w:rPr>
      <w:rFonts w:cs="Times New Roman"/>
      <w:b/>
      <w:kern w:val="44"/>
      <w:sz w:val="44"/>
    </w:rPr>
  </w:style>
  <w:style w:type="character" w:customStyle="1" w:styleId="22">
    <w:name w:val="批注文字 字符"/>
    <w:link w:val="5"/>
    <w:qFormat/>
    <w:locked/>
    <w:uiPriority w:val="99"/>
    <w:rPr>
      <w:rFonts w:cs="Times New Roman"/>
      <w:kern w:val="2"/>
      <w:sz w:val="24"/>
    </w:rPr>
  </w:style>
  <w:style w:type="character" w:customStyle="1" w:styleId="23">
    <w:name w:val="正文文本缩进 字符"/>
    <w:link w:val="7"/>
    <w:qFormat/>
    <w:locked/>
    <w:uiPriority w:val="99"/>
    <w:rPr>
      <w:rFonts w:ascii="等线" w:eastAsia="等线" w:cs="Times New Roman"/>
      <w:kern w:val="2"/>
      <w:sz w:val="22"/>
    </w:rPr>
  </w:style>
  <w:style w:type="character" w:customStyle="1" w:styleId="24">
    <w:name w:val="纯文本 字符"/>
    <w:link w:val="9"/>
    <w:qFormat/>
    <w:locked/>
    <w:uiPriority w:val="0"/>
    <w:rPr>
      <w:rFonts w:ascii="宋体" w:hAnsi="Courier New" w:cs="Times New Roman"/>
      <w:kern w:val="2"/>
      <w:sz w:val="21"/>
    </w:rPr>
  </w:style>
  <w:style w:type="character" w:customStyle="1" w:styleId="25">
    <w:name w:val="日期 字符"/>
    <w:link w:val="10"/>
    <w:qFormat/>
    <w:locked/>
    <w:uiPriority w:val="99"/>
    <w:rPr>
      <w:rFonts w:cs="Times New Roman"/>
      <w:kern w:val="2"/>
      <w:sz w:val="24"/>
    </w:rPr>
  </w:style>
  <w:style w:type="character" w:customStyle="1" w:styleId="26">
    <w:name w:val="批注框文本 字符"/>
    <w:link w:val="11"/>
    <w:semiHidden/>
    <w:qFormat/>
    <w:locked/>
    <w:uiPriority w:val="99"/>
    <w:rPr>
      <w:rFonts w:cs="Times New Roman"/>
      <w:sz w:val="2"/>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6"/>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6"/>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13210-393C-204E-A99D-5E322F718B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2221</Words>
  <Characters>12660</Characters>
  <Lines>105</Lines>
  <Paragraphs>29</Paragraphs>
  <TotalTime>11</TotalTime>
  <ScaleCrop>false</ScaleCrop>
  <LinksUpToDate>false</LinksUpToDate>
  <CharactersWithSpaces>14852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2020-07-23T06:25:10Z</dcterms:modified>
  <dc:title>淮海工学院A8-10号楼学生宿舍家具招标书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