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4"/>
          <w:szCs w:val="44"/>
        </w:rPr>
      </w:pPr>
      <w:bookmarkStart w:id="0" w:name="OLE_LINK1"/>
      <w:bookmarkStart w:id="1" w:name="OLE_LINK2"/>
      <w:r>
        <w:rPr>
          <w:b/>
          <w:color w:val="auto"/>
          <w:sz w:val="44"/>
          <w:szCs w:val="44"/>
        </w:rPr>
        <w:t>南京信息工程大学</w:t>
      </w:r>
      <w:bookmarkEnd w:id="0"/>
      <w:bookmarkEnd w:id="1"/>
      <w:r>
        <w:rPr>
          <w:rFonts w:hint="eastAsia"/>
          <w:b/>
          <w:color w:val="auto"/>
          <w:sz w:val="44"/>
          <w:szCs w:val="44"/>
        </w:rPr>
        <w:t>滨江学院(无锡校区）云平台实训室采购项目招标文件</w:t>
      </w:r>
    </w:p>
    <w:p>
      <w:pPr>
        <w:pStyle w:val="2"/>
        <w:ind w:left="1470" w:right="1470"/>
        <w:rPr>
          <w:color w:val="auto"/>
        </w:rPr>
      </w:pPr>
    </w:p>
    <w:p>
      <w:pPr>
        <w:adjustRightInd w:val="0"/>
        <w:snapToGrid w:val="0"/>
        <w:spacing w:line="360" w:lineRule="auto"/>
        <w:jc w:val="center"/>
        <w:rPr>
          <w:rFonts w:ascii="宋体" w:hAnsi="宋体" w:cs="仿宋"/>
          <w:color w:val="auto"/>
          <w:sz w:val="28"/>
          <w:szCs w:val="28"/>
        </w:rPr>
      </w:pPr>
      <w:r>
        <w:rPr>
          <w:rFonts w:hint="eastAsia" w:ascii="宋体" w:hAnsi="宋体" w:cs="仿宋"/>
          <w:color w:val="auto"/>
          <w:sz w:val="28"/>
          <w:szCs w:val="28"/>
        </w:rPr>
        <w:t>（招标编号：BJ2020002）</w:t>
      </w:r>
    </w:p>
    <w:p>
      <w:pPr>
        <w:adjustRightInd w:val="0"/>
        <w:snapToGrid w:val="0"/>
        <w:spacing w:line="360" w:lineRule="auto"/>
        <w:jc w:val="center"/>
        <w:rPr>
          <w:rFonts w:ascii="宋体" w:cs="仿宋"/>
          <w:color w:val="auto"/>
          <w:sz w:val="28"/>
          <w:szCs w:val="28"/>
        </w:rPr>
      </w:pPr>
    </w:p>
    <w:p>
      <w:pPr>
        <w:adjustRightInd w:val="0"/>
        <w:snapToGrid w:val="0"/>
        <w:spacing w:line="360" w:lineRule="auto"/>
        <w:jc w:val="center"/>
        <w:rPr>
          <w:rFonts w:ascii="宋体" w:cs="仿宋"/>
          <w:color w:val="auto"/>
          <w:sz w:val="28"/>
          <w:szCs w:val="28"/>
        </w:rPr>
      </w:pPr>
      <w:r>
        <w:rPr>
          <w:rFonts w:ascii="宋体" w:hAnsi="宋体" w:cs="仿宋"/>
          <w:color w:val="auto"/>
          <w:sz w:val="28"/>
          <w:szCs w:val="28"/>
        </w:rPr>
        <w:t>(</w:t>
      </w:r>
      <w:r>
        <w:rPr>
          <w:rFonts w:ascii="宋体" w:hAnsi="宋体" w:cs="仿宋"/>
          <w:color w:val="auto"/>
          <w:sz w:val="28"/>
          <w:szCs w:val="28"/>
          <w:u w:val="single"/>
        </w:rPr>
        <w:t>20</w:t>
      </w:r>
      <w:r>
        <w:rPr>
          <w:rFonts w:hint="eastAsia" w:ascii="宋体" w:hAnsi="宋体" w:cs="仿宋"/>
          <w:color w:val="auto"/>
          <w:sz w:val="28"/>
          <w:szCs w:val="28"/>
          <w:u w:val="single"/>
        </w:rPr>
        <w:t>20年06月</w:t>
      </w:r>
      <w:r>
        <w:rPr>
          <w:rFonts w:hint="eastAsia" w:ascii="宋体" w:hAnsi="宋体" w:cs="仿宋"/>
          <w:color w:val="auto"/>
          <w:sz w:val="28"/>
          <w:szCs w:val="28"/>
          <w:u w:val="single"/>
          <w:lang w:val="en-US" w:eastAsia="zh-CN"/>
        </w:rPr>
        <w:t>18</w:t>
      </w:r>
      <w:r>
        <w:rPr>
          <w:rFonts w:hint="eastAsia" w:ascii="宋体" w:hAnsi="宋体" w:cs="仿宋"/>
          <w:color w:val="auto"/>
          <w:sz w:val="28"/>
          <w:szCs w:val="28"/>
          <w:u w:val="single"/>
        </w:rPr>
        <w:t>日</w:t>
      </w:r>
      <w:r>
        <w:rPr>
          <w:rFonts w:hint="eastAsia" w:ascii="宋体" w:hAnsi="宋体" w:cs="仿宋"/>
          <w:color w:val="auto"/>
          <w:sz w:val="28"/>
          <w:szCs w:val="28"/>
          <w:u w:val="single"/>
          <w:lang w:val="en-US" w:eastAsia="zh-CN"/>
        </w:rPr>
        <w:t>14</w:t>
      </w:r>
      <w:r>
        <w:rPr>
          <w:rFonts w:hint="eastAsia" w:ascii="宋体" w:hAnsi="宋体" w:cs="仿宋"/>
          <w:color w:val="auto"/>
          <w:sz w:val="28"/>
          <w:szCs w:val="28"/>
          <w:u w:val="single"/>
        </w:rPr>
        <w:t>：</w:t>
      </w:r>
      <w:r>
        <w:rPr>
          <w:rFonts w:ascii="宋体" w:cs="仿宋"/>
          <w:color w:val="auto"/>
          <w:sz w:val="28"/>
          <w:szCs w:val="28"/>
          <w:u w:val="single"/>
        </w:rPr>
        <w:t>00</w:t>
      </w:r>
      <w:r>
        <w:rPr>
          <w:rFonts w:hint="eastAsia" w:ascii="宋体" w:hAnsi="宋体" w:cs="仿宋"/>
          <w:color w:val="auto"/>
          <w:sz w:val="28"/>
          <w:szCs w:val="28"/>
          <w:u w:val="single"/>
        </w:rPr>
        <w:t>定标发标版</w:t>
      </w:r>
      <w:r>
        <w:rPr>
          <w:rFonts w:ascii="宋体" w:hAnsi="宋体" w:cs="仿宋"/>
          <w:color w:val="auto"/>
          <w:sz w:val="28"/>
          <w:szCs w:val="28"/>
        </w:rPr>
        <w:t>)</w:t>
      </w:r>
    </w:p>
    <w:p>
      <w:pPr>
        <w:jc w:val="center"/>
        <w:rPr>
          <w:b/>
          <w:color w:val="auto"/>
          <w:sz w:val="28"/>
          <w:szCs w:val="28"/>
        </w:rPr>
      </w:pPr>
    </w:p>
    <w:p>
      <w:pPr>
        <w:spacing w:line="360" w:lineRule="auto"/>
        <w:ind w:firstLine="560" w:firstLineChars="200"/>
        <w:rPr>
          <w:rFonts w:ascii="宋体" w:hAnsi="宋体"/>
          <w:color w:val="auto"/>
          <w:sz w:val="28"/>
          <w:szCs w:val="28"/>
        </w:rPr>
      </w:pPr>
      <w:r>
        <w:rPr>
          <w:rFonts w:ascii="宋体" w:hAnsi="宋体"/>
          <w:color w:val="auto"/>
          <w:sz w:val="28"/>
          <w:szCs w:val="28"/>
        </w:rPr>
        <w:t>为满足</w:t>
      </w:r>
      <w:r>
        <w:rPr>
          <w:rFonts w:hint="eastAsia"/>
          <w:color w:val="auto"/>
          <w:kern w:val="0"/>
          <w:sz w:val="28"/>
          <w:szCs w:val="28"/>
        </w:rPr>
        <w:t>学生培养需要，受滨江学院委托，就南京信息工程大学滨江学院（无锡校区）云平台实训室采购项目</w:t>
      </w:r>
      <w:r>
        <w:rPr>
          <w:rFonts w:ascii="宋体" w:hAnsi="宋体"/>
          <w:color w:val="auto"/>
          <w:sz w:val="28"/>
          <w:szCs w:val="28"/>
        </w:rPr>
        <w:t>进行公开招标，欢迎符合条件的供应商报名投标，现将有关情况说明如下：</w:t>
      </w:r>
    </w:p>
    <w:p>
      <w:pPr>
        <w:spacing w:line="360" w:lineRule="auto"/>
        <w:ind w:firstLine="480" w:firstLineChars="200"/>
        <w:rPr>
          <w:color w:val="auto"/>
          <w:sz w:val="24"/>
        </w:rPr>
      </w:pPr>
    </w:p>
    <w:p>
      <w:pPr>
        <w:pStyle w:val="32"/>
        <w:spacing w:line="360" w:lineRule="auto"/>
        <w:ind w:firstLine="0" w:firstLineChars="0"/>
        <w:jc w:val="center"/>
        <w:rPr>
          <w:rFonts w:ascii="宋体" w:hAnsi="宋体" w:cs="仿宋"/>
          <w:b/>
          <w:bCs/>
          <w:color w:val="auto"/>
          <w:kern w:val="2"/>
          <w:sz w:val="28"/>
          <w:szCs w:val="28"/>
        </w:rPr>
      </w:pPr>
      <w:r>
        <w:rPr>
          <w:rFonts w:hint="eastAsia" w:ascii="宋体" w:hAnsi="宋体" w:cs="仿宋"/>
          <w:b/>
          <w:bCs/>
          <w:color w:val="auto"/>
          <w:kern w:val="2"/>
          <w:sz w:val="28"/>
          <w:szCs w:val="28"/>
        </w:rPr>
        <w:t>一、招标项目名称及简要说明</w:t>
      </w:r>
    </w:p>
    <w:p>
      <w:pPr>
        <w:pStyle w:val="32"/>
        <w:spacing w:line="360" w:lineRule="auto"/>
        <w:ind w:firstLine="560"/>
        <w:rPr>
          <w:rFonts w:ascii="宋体" w:hAnsi="宋体"/>
          <w:color w:val="auto"/>
          <w:kern w:val="2"/>
          <w:sz w:val="28"/>
          <w:szCs w:val="28"/>
        </w:rPr>
      </w:pPr>
      <w:r>
        <w:rPr>
          <w:rFonts w:ascii="宋体" w:hAnsi="宋体"/>
          <w:color w:val="auto"/>
          <w:kern w:val="2"/>
          <w:sz w:val="28"/>
          <w:szCs w:val="28"/>
        </w:rPr>
        <w:t>1. 项目名称：</w:t>
      </w:r>
      <w:r>
        <w:rPr>
          <w:rFonts w:hint="eastAsia"/>
          <w:color w:val="auto"/>
          <w:sz w:val="28"/>
          <w:szCs w:val="28"/>
        </w:rPr>
        <w:t>南京信息工程大学滨江学院（无锡校区）云平台实训室采购项目</w:t>
      </w:r>
      <w:r>
        <w:rPr>
          <w:rFonts w:ascii="宋体" w:hAnsi="宋体"/>
          <w:color w:val="auto"/>
          <w:kern w:val="2"/>
          <w:sz w:val="28"/>
          <w:szCs w:val="28"/>
        </w:rPr>
        <w:t>。</w:t>
      </w:r>
    </w:p>
    <w:p>
      <w:pPr>
        <w:spacing w:line="360" w:lineRule="auto"/>
        <w:ind w:firstLine="560" w:firstLineChars="200"/>
        <w:rPr>
          <w:rFonts w:ascii="宋体" w:hAnsi="宋体"/>
          <w:color w:val="auto"/>
          <w:sz w:val="28"/>
          <w:szCs w:val="28"/>
        </w:rPr>
      </w:pPr>
      <w:r>
        <w:rPr>
          <w:rFonts w:ascii="宋体" w:hAnsi="宋体"/>
          <w:color w:val="auto"/>
          <w:sz w:val="28"/>
          <w:szCs w:val="28"/>
        </w:rPr>
        <w:t xml:space="preserve">2. </w:t>
      </w:r>
      <w:r>
        <w:rPr>
          <w:rFonts w:hint="eastAsia" w:ascii="宋体" w:hAnsi="宋体" w:cs="仿宋"/>
          <w:color w:val="auto"/>
          <w:sz w:val="28"/>
          <w:szCs w:val="28"/>
        </w:rPr>
        <w:t>项目说明：</w:t>
      </w:r>
      <w:r>
        <w:rPr>
          <w:rFonts w:hint="eastAsia" w:ascii="宋体" w:hAnsi="宋体"/>
          <w:color w:val="auto"/>
          <w:sz w:val="28"/>
          <w:szCs w:val="28"/>
        </w:rPr>
        <w:t>南京信息工程大学滨江学院（无锡校区）内（无锡市锡山区锡山大道333号滨江学院），本次招标</w:t>
      </w:r>
      <w:r>
        <w:rPr>
          <w:rFonts w:hint="eastAsia" w:ascii="宋体" w:hAnsi="宋体" w:cs="仿宋"/>
          <w:color w:val="auto"/>
          <w:sz w:val="28"/>
          <w:szCs w:val="28"/>
        </w:rPr>
        <w:t>项目必须由中标单位自行完成，严禁转包和擅自分包。否则我</w:t>
      </w:r>
      <w:r>
        <w:rPr>
          <w:rFonts w:hint="eastAsia" w:ascii="宋体" w:hAnsi="宋体" w:cs="仿宋"/>
          <w:color w:val="auto"/>
          <w:sz w:val="28"/>
          <w:szCs w:val="28"/>
          <w:lang w:val="en-US" w:eastAsia="zh-CN"/>
        </w:rPr>
        <w:t>校</w:t>
      </w:r>
      <w:r>
        <w:rPr>
          <w:rFonts w:hint="eastAsia" w:ascii="宋体" w:hAnsi="宋体" w:cs="仿宋"/>
          <w:color w:val="auto"/>
          <w:sz w:val="28"/>
          <w:szCs w:val="28"/>
        </w:rPr>
        <w:t>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rPr>
      </w:pPr>
      <w:r>
        <w:rPr>
          <w:rFonts w:ascii="宋体" w:hAnsi="宋体"/>
          <w:color w:val="auto"/>
          <w:sz w:val="28"/>
          <w:szCs w:val="28"/>
        </w:rPr>
        <w:t>3</w:t>
      </w:r>
      <w:bookmarkStart w:id="2" w:name="_Hlk9865971"/>
      <w:r>
        <w:rPr>
          <w:rFonts w:hint="eastAsia" w:ascii="宋体" w:hAnsi="宋体"/>
          <w:color w:val="auto"/>
          <w:sz w:val="28"/>
          <w:szCs w:val="28"/>
        </w:rPr>
        <w:t>.本次招标采取公开招标方式，不承诺最低价（最高价）中标。招标公告和中标公示信息均在</w:t>
      </w:r>
      <w:r>
        <w:rPr>
          <w:color w:val="auto"/>
        </w:rPr>
        <w:fldChar w:fldCharType="begin"/>
      </w:r>
      <w:r>
        <w:rPr>
          <w:color w:val="auto"/>
        </w:rPr>
        <w:instrText xml:space="preserve"> HYPERLINK "https://bulletin.nuist.edu.cn/779/list.htm" </w:instrText>
      </w:r>
      <w:r>
        <w:rPr>
          <w:color w:val="auto"/>
        </w:rPr>
        <w:fldChar w:fldCharType="separate"/>
      </w:r>
      <w:r>
        <w:rPr>
          <w:rStyle w:val="19"/>
          <w:b/>
          <w:color w:val="auto"/>
          <w:sz w:val="24"/>
        </w:rPr>
        <w:t>https://bulletin.nuist.edu.cn/779/lis</w:t>
      </w:r>
      <w:r>
        <w:rPr>
          <w:rStyle w:val="19"/>
          <w:color w:val="auto"/>
          <w:sz w:val="24"/>
        </w:rPr>
        <w:t>t.htm</w:t>
      </w:r>
      <w:r>
        <w:rPr>
          <w:rStyle w:val="19"/>
          <w:color w:val="auto"/>
          <w:sz w:val="24"/>
        </w:rPr>
        <w:fldChar w:fldCharType="end"/>
      </w:r>
      <w:r>
        <w:rPr>
          <w:rFonts w:hint="eastAsia" w:ascii="宋体" w:hAnsi="宋体"/>
          <w:color w:val="auto"/>
          <w:sz w:val="28"/>
          <w:szCs w:val="28"/>
        </w:rPr>
        <w:t>和</w:t>
      </w:r>
      <w:r>
        <w:rPr>
          <w:color w:val="auto"/>
        </w:rPr>
        <w:fldChar w:fldCharType="begin"/>
      </w:r>
      <w:r>
        <w:rPr>
          <w:color w:val="auto"/>
        </w:rPr>
        <w:instrText xml:space="preserve"> HYPERLINK "http://zbc.nuist.edu.cn" </w:instrText>
      </w:r>
      <w:r>
        <w:rPr>
          <w:color w:val="auto"/>
        </w:rPr>
        <w:fldChar w:fldCharType="separate"/>
      </w:r>
      <w:r>
        <w:rPr>
          <w:rFonts w:ascii="宋体" w:hAnsi="宋体"/>
          <w:b/>
          <w:color w:val="auto"/>
          <w:sz w:val="24"/>
          <w:szCs w:val="28"/>
        </w:rPr>
        <w:t>zbc.nuist.edu.cn</w:t>
      </w:r>
      <w:r>
        <w:rPr>
          <w:rFonts w:ascii="宋体" w:hAnsi="宋体"/>
          <w:b/>
          <w:color w:val="auto"/>
          <w:sz w:val="24"/>
          <w:szCs w:val="28"/>
        </w:rPr>
        <w:fldChar w:fldCharType="end"/>
      </w:r>
      <w:r>
        <w:rPr>
          <w:rFonts w:hint="eastAsia" w:ascii="宋体" w:hAnsi="宋体"/>
          <w:color w:val="auto"/>
          <w:sz w:val="28"/>
          <w:szCs w:val="28"/>
        </w:rPr>
        <w:t>网页上公开发布</w:t>
      </w:r>
      <w:r>
        <w:rPr>
          <w:rFonts w:ascii="宋体"/>
          <w:color w:val="auto"/>
          <w:sz w:val="28"/>
          <w:szCs w:val="28"/>
        </w:rPr>
        <w:t>,</w:t>
      </w:r>
      <w:r>
        <w:rPr>
          <w:rFonts w:hint="eastAsia" w:ascii="宋体" w:hAnsi="宋体"/>
          <w:color w:val="auto"/>
          <w:sz w:val="28"/>
          <w:szCs w:val="28"/>
        </w:rPr>
        <w:t>接受监督。欢迎社会招标机构和网站转载，转载信息与我校网站信息不一致时，以我校网站为准。</w:t>
      </w:r>
    </w:p>
    <w:bookmarkEnd w:id="2"/>
    <w:p>
      <w:pPr>
        <w:spacing w:line="360" w:lineRule="auto"/>
        <w:ind w:firstLine="570"/>
        <w:jc w:val="left"/>
        <w:rPr>
          <w:rFonts w:ascii="宋体" w:cs="宋体"/>
          <w:color w:val="auto"/>
          <w:sz w:val="28"/>
          <w:szCs w:val="28"/>
        </w:rPr>
      </w:pPr>
      <w:r>
        <w:rPr>
          <w:rFonts w:ascii="宋体" w:hAnsi="宋体"/>
          <w:color w:val="auto"/>
          <w:sz w:val="28"/>
          <w:szCs w:val="28"/>
        </w:rPr>
        <w:t>4</w:t>
      </w:r>
      <w:bookmarkStart w:id="3" w:name="_Hlk9866054"/>
      <w:r>
        <w:rPr>
          <w:rFonts w:hint="eastAsia" w:ascii="宋体" w:hAnsi="宋体"/>
          <w:color w:val="auto"/>
          <w:sz w:val="28"/>
          <w:szCs w:val="28"/>
        </w:rPr>
        <w:t>.招标文件由我校采购人、项目归口管理部门和财务处联合起草；经学校相关职能部门会审通过形成正式招标文件。同时</w:t>
      </w:r>
      <w:r>
        <w:rPr>
          <w:rFonts w:hint="eastAsia" w:ascii="宋体" w:hAnsi="宋体" w:cs="宋体"/>
          <w:color w:val="auto"/>
          <w:sz w:val="28"/>
          <w:szCs w:val="28"/>
        </w:rPr>
        <w:t>打印</w:t>
      </w:r>
      <w:r>
        <w:rPr>
          <w:rFonts w:ascii="宋体" w:hAnsi="宋体" w:cs="宋体"/>
          <w:color w:val="auto"/>
          <w:sz w:val="28"/>
          <w:szCs w:val="28"/>
        </w:rPr>
        <w:t>3</w:t>
      </w:r>
      <w:r>
        <w:rPr>
          <w:rFonts w:hint="eastAsia" w:ascii="宋体" w:hAnsi="宋体" w:cs="宋体"/>
          <w:color w:val="auto"/>
          <w:sz w:val="28"/>
          <w:szCs w:val="28"/>
        </w:rPr>
        <w:t>份纸质的正式招标文件，由财务处负责人和招标科工作人员同时签字并加盖财务处骑缝章后，分别交财务处、项目归口管理部门（或采购人）、审计处各</w:t>
      </w:r>
      <w:r>
        <w:rPr>
          <w:rFonts w:ascii="宋体" w:hAnsi="宋体" w:cs="宋体"/>
          <w:color w:val="auto"/>
          <w:sz w:val="28"/>
          <w:szCs w:val="28"/>
        </w:rPr>
        <w:t>1</w:t>
      </w:r>
      <w:r>
        <w:rPr>
          <w:rFonts w:hint="eastAsia" w:ascii="宋体" w:hAnsi="宋体" w:cs="宋体"/>
          <w:color w:val="auto"/>
          <w:sz w:val="28"/>
          <w:szCs w:val="28"/>
        </w:rPr>
        <w:t>份，作为相关部门存档、合同签订、项目竣工验收和决（结）算审计，以及处理纠纷等的依据。</w:t>
      </w:r>
    </w:p>
    <w:bookmarkEnd w:id="3"/>
    <w:p>
      <w:pPr>
        <w:spacing w:line="360" w:lineRule="auto"/>
        <w:ind w:firstLine="570"/>
        <w:jc w:val="left"/>
        <w:rPr>
          <w:rFonts w:ascii="宋体" w:hAnsi="宋体"/>
          <w:color w:val="auto"/>
          <w:sz w:val="28"/>
          <w:szCs w:val="28"/>
        </w:rPr>
      </w:pPr>
      <w:r>
        <w:rPr>
          <w:rFonts w:ascii="宋体" w:hAnsi="宋体"/>
          <w:color w:val="auto"/>
          <w:sz w:val="28"/>
          <w:szCs w:val="28"/>
        </w:rPr>
        <w:t>5.</w:t>
      </w:r>
      <w:r>
        <w:rPr>
          <w:rFonts w:hint="eastAsia" w:ascii="宋体" w:hAnsi="宋体"/>
          <w:color w:val="auto"/>
          <w:sz w:val="28"/>
          <w:szCs w:val="28"/>
        </w:rPr>
        <w:t>正式的答疑回复文件也按上述方式处理留存。</w:t>
      </w:r>
    </w:p>
    <w:p>
      <w:pPr>
        <w:pStyle w:val="40"/>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40"/>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rPr>
      </w:pPr>
      <w:r>
        <w:rPr>
          <w:rFonts w:hint="eastAsia" w:ascii="宋体" w:hAnsi="宋体" w:cs="仿宋"/>
          <w:b/>
          <w:bCs/>
          <w:color w:val="auto"/>
          <w:sz w:val="28"/>
          <w:szCs w:val="28"/>
        </w:rPr>
        <w:t>二、对投标人及投标报价的要求</w:t>
      </w:r>
    </w:p>
    <w:p>
      <w:pPr>
        <w:snapToGrid w:val="0"/>
        <w:spacing w:line="360" w:lineRule="auto"/>
        <w:ind w:firstLine="540" w:firstLineChars="192"/>
        <w:rPr>
          <w:rFonts w:ascii="宋体" w:hAnsi="宋体"/>
          <w:b/>
          <w:color w:val="auto"/>
          <w:kern w:val="0"/>
          <w:sz w:val="28"/>
          <w:szCs w:val="28"/>
        </w:rPr>
      </w:pPr>
      <w:r>
        <w:rPr>
          <w:rFonts w:hint="eastAsia" w:ascii="宋体" w:hAnsi="宋体"/>
          <w:b/>
          <w:color w:val="auto"/>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color w:val="auto"/>
          <w:kern w:val="0"/>
          <w:sz w:val="28"/>
          <w:szCs w:val="28"/>
        </w:rPr>
      </w:pPr>
      <w:r>
        <w:rPr>
          <w:rFonts w:hint="eastAsia" w:ascii="宋体" w:hAnsi="宋体" w:cs="Arial"/>
          <w:color w:val="auto"/>
          <w:sz w:val="28"/>
          <w:szCs w:val="28"/>
        </w:rPr>
        <w:t>（一）参加政府采购的供应商应当具备政府采购法</w:t>
      </w:r>
      <w:r>
        <w:rPr>
          <w:rFonts w:ascii="宋体" w:hAnsi="宋体" w:cs="Arial"/>
          <w:color w:val="auto"/>
          <w:sz w:val="28"/>
          <w:szCs w:val="28"/>
        </w:rPr>
        <w:t>第二十二条</w:t>
      </w:r>
      <w:r>
        <w:rPr>
          <w:rFonts w:hint="eastAsia" w:ascii="宋体" w:hAnsi="宋体" w:cs="Arial"/>
          <w:color w:val="auto"/>
          <w:sz w:val="28"/>
          <w:szCs w:val="28"/>
        </w:rPr>
        <w:t>第一款</w:t>
      </w:r>
      <w:r>
        <w:rPr>
          <w:rFonts w:ascii="宋体" w:hAnsi="宋体" w:cs="Arial"/>
          <w:color w:val="auto"/>
          <w:sz w:val="28"/>
          <w:szCs w:val="28"/>
        </w:rPr>
        <w:t>规定</w:t>
      </w:r>
      <w:r>
        <w:rPr>
          <w:rFonts w:hint="eastAsia" w:ascii="宋体" w:hAnsi="宋体" w:cs="Arial"/>
          <w:color w:val="auto"/>
          <w:sz w:val="28"/>
          <w:szCs w:val="28"/>
        </w:rPr>
        <w:t>的条件，并依照政府采购法实施条例第十七条规定提供下列材料：</w:t>
      </w:r>
    </w:p>
    <w:p>
      <w:pPr>
        <w:adjustRightInd w:val="0"/>
        <w:snapToGrid w:val="0"/>
        <w:spacing w:line="360" w:lineRule="auto"/>
        <w:ind w:firstLine="560" w:firstLineChars="200"/>
        <w:rPr>
          <w:rFonts w:ascii="宋体" w:hAnsi="宋体"/>
          <w:color w:val="auto"/>
          <w:sz w:val="28"/>
          <w:szCs w:val="28"/>
        </w:rPr>
      </w:pPr>
      <w:r>
        <w:rPr>
          <w:rFonts w:hint="eastAsia" w:ascii="宋体" w:hAnsi="宋体" w:cs="Arial"/>
          <w:color w:val="auto"/>
          <w:sz w:val="28"/>
          <w:szCs w:val="28"/>
        </w:rPr>
        <w:t>1.具有独立承担民事责任的能力</w:t>
      </w:r>
      <w:r>
        <w:rPr>
          <w:rFonts w:hint="eastAsia" w:ascii="宋体" w:hAnsi="宋体"/>
          <w:color w:val="auto"/>
          <w:sz w:val="28"/>
          <w:szCs w:val="28"/>
        </w:rPr>
        <w:t>：须为独立法人企业，需提供企业法人营业执照；</w:t>
      </w:r>
    </w:p>
    <w:p>
      <w:pPr>
        <w:adjustRightInd w:val="0"/>
        <w:snapToGrid w:val="0"/>
        <w:spacing w:line="360" w:lineRule="auto"/>
        <w:ind w:firstLine="560" w:firstLineChars="200"/>
        <w:rPr>
          <w:rFonts w:ascii="宋体" w:hAnsi="宋体"/>
          <w:color w:val="auto"/>
          <w:sz w:val="28"/>
          <w:szCs w:val="28"/>
        </w:rPr>
      </w:pPr>
      <w:r>
        <w:rPr>
          <w:rFonts w:hint="eastAsia" w:ascii="宋体" w:hAnsi="宋体" w:cs="宋体"/>
          <w:color w:val="auto"/>
          <w:kern w:val="0"/>
          <w:sz w:val="28"/>
          <w:szCs w:val="28"/>
        </w:rPr>
        <w:t>2.具有良好的商业信誉和健全的财务会计制度</w:t>
      </w:r>
      <w:r>
        <w:rPr>
          <w:rFonts w:hint="eastAsia" w:ascii="宋体" w:hAnsi="宋体"/>
          <w:color w:val="auto"/>
          <w:sz w:val="28"/>
          <w:szCs w:val="28"/>
        </w:rPr>
        <w:t>：需提供参加本次投标活动前近六个月内（2019年12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color w:val="auto"/>
          <w:sz w:val="28"/>
          <w:szCs w:val="28"/>
        </w:rPr>
      </w:pPr>
      <w:r>
        <w:rPr>
          <w:rFonts w:hint="eastAsia" w:ascii="宋体" w:hAnsi="宋体" w:cs="宋体"/>
          <w:color w:val="auto"/>
          <w:kern w:val="0"/>
          <w:sz w:val="28"/>
          <w:szCs w:val="28"/>
        </w:rPr>
        <w:t>4.有依法缴纳税收和社会保障资金的良好记录</w:t>
      </w:r>
      <w:r>
        <w:rPr>
          <w:rFonts w:hint="eastAsia" w:ascii="宋体" w:hAnsi="宋体"/>
          <w:color w:val="auto"/>
          <w:sz w:val="28"/>
          <w:szCs w:val="28"/>
        </w:rPr>
        <w:t>：提供参加本次投标活动前近六个月内（2019年12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color w:val="auto"/>
          <w:sz w:val="28"/>
          <w:szCs w:val="28"/>
        </w:rPr>
      </w:pPr>
      <w:r>
        <w:rPr>
          <w:rFonts w:hint="eastAsia" w:ascii="宋体" w:hAnsi="宋体" w:cs="宋体"/>
          <w:color w:val="auto"/>
          <w:kern w:val="0"/>
          <w:sz w:val="28"/>
          <w:szCs w:val="28"/>
        </w:rPr>
        <w:t>5.参加政府采购活动前三年内，在经营活动中没有违法记录</w:t>
      </w:r>
      <w:r>
        <w:rPr>
          <w:rFonts w:hint="eastAsia" w:ascii="宋体" w:hAnsi="宋体"/>
          <w:color w:val="auto"/>
          <w:sz w:val="28"/>
          <w:szCs w:val="28"/>
        </w:rPr>
        <w:t>：需提供参加本次投标活动前3年内在经营活动中没有重大违法记录的书面声明；</w:t>
      </w:r>
    </w:p>
    <w:p>
      <w:pPr>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6.法律、行政法规规定的其他条件：无。</w:t>
      </w:r>
    </w:p>
    <w:p>
      <w:pPr>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（二）投标人不得存在下列情形之一</w:t>
      </w:r>
      <w:r>
        <w:rPr>
          <w:rFonts w:hint="eastAsia" w:ascii="宋体" w:hAnsi="宋体"/>
          <w:color w:val="auto"/>
          <w:sz w:val="28"/>
          <w:szCs w:val="28"/>
        </w:rPr>
        <w:t>（</w:t>
      </w:r>
      <w:r>
        <w:rPr>
          <w:rFonts w:hint="eastAsia" w:ascii="宋体" w:hAnsi="宋体"/>
          <w:b/>
          <w:color w:val="auto"/>
          <w:sz w:val="28"/>
          <w:szCs w:val="28"/>
        </w:rPr>
        <w:t>提供加盖投标人公章的承诺书）</w:t>
      </w:r>
      <w:r>
        <w:rPr>
          <w:rFonts w:hint="eastAsia" w:ascii="宋体" w:hAnsi="宋体" w:cs="宋体"/>
          <w:color w:val="auto"/>
          <w:kern w:val="0"/>
          <w:sz w:val="28"/>
          <w:szCs w:val="28"/>
        </w:rPr>
        <w:t>：</w:t>
      </w:r>
    </w:p>
    <w:p>
      <w:pPr>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（1）为招标人不具有独立法人资格的附属机构（单位）；</w:t>
      </w:r>
    </w:p>
    <w:p>
      <w:pPr>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（2）与招标人存在利害关系可能影响招标公正性的；</w:t>
      </w:r>
    </w:p>
    <w:p>
      <w:pPr>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（3）单位负责人为同一人或者存在控股、管理关系的不同单位；</w:t>
      </w:r>
    </w:p>
    <w:p>
      <w:pPr>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（三）</w:t>
      </w:r>
      <w:r>
        <w:rPr>
          <w:rFonts w:hint="eastAsia" w:ascii="宋体" w:hAnsi="宋体" w:cs="宋体"/>
          <w:bCs/>
          <w:color w:val="auto"/>
          <w:kern w:val="0"/>
          <w:sz w:val="28"/>
          <w:szCs w:val="28"/>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color w:val="auto"/>
          <w:kern w:val="0"/>
          <w:sz w:val="28"/>
          <w:szCs w:val="28"/>
        </w:rPr>
      </w:pPr>
      <w:r>
        <w:rPr>
          <w:rFonts w:hint="eastAsia" w:ascii="宋体" w:hAnsi="宋体" w:cs="宋体"/>
          <w:color w:val="auto"/>
          <w:sz w:val="28"/>
          <w:szCs w:val="28"/>
        </w:rPr>
        <w:t>供应商被“信用中国”网站（www.creditchina.gov.cn）、“中国政府采购网”(www.ccgp.gov.cn)列入失信被执行人、重大税收违法案件当事人名单、政府采购严重违法失信行为记录名单</w:t>
      </w:r>
      <w:r>
        <w:rPr>
          <w:rFonts w:hint="eastAsia" w:ascii="宋体" w:hAnsi="宋体" w:cs="宋体"/>
          <w:b/>
          <w:color w:val="auto"/>
          <w:sz w:val="28"/>
          <w:szCs w:val="28"/>
        </w:rPr>
        <w:t>（提供本项目报名截止日后的网站截图并加盖单位公章）</w:t>
      </w:r>
      <w:r>
        <w:rPr>
          <w:rFonts w:hint="eastAsia" w:ascii="宋体" w:hAnsi="宋体" w:cs="宋体"/>
          <w:color w:val="auto"/>
          <w:sz w:val="28"/>
          <w:szCs w:val="28"/>
        </w:rPr>
        <w:t>。</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二、本项目采用资格后审法，唱标后，进行资格审定。</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三、投标人应按附件</w:t>
      </w:r>
      <w:r>
        <w:rPr>
          <w:rFonts w:ascii="宋体" w:hAnsi="宋体" w:cs="宋体"/>
          <w:color w:val="auto"/>
          <w:sz w:val="28"/>
          <w:szCs w:val="28"/>
        </w:rPr>
        <w:t>2</w:t>
      </w:r>
      <w:r>
        <w:rPr>
          <w:rFonts w:hint="eastAsia" w:ascii="宋体" w:hAnsi="宋体" w:cs="宋体"/>
          <w:color w:val="auto"/>
          <w:sz w:val="28"/>
          <w:szCs w:val="28"/>
        </w:rPr>
        <w:t>、附件</w:t>
      </w:r>
      <w:r>
        <w:rPr>
          <w:rFonts w:ascii="宋体" w:hAnsi="宋体" w:cs="宋体"/>
          <w:color w:val="auto"/>
          <w:sz w:val="28"/>
          <w:szCs w:val="28"/>
        </w:rPr>
        <w:t>3</w:t>
      </w:r>
      <w:r>
        <w:rPr>
          <w:rFonts w:hint="eastAsia" w:ascii="宋体" w:hAnsi="宋体" w:cs="宋体"/>
          <w:color w:val="auto"/>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7个工作日内至招标方指定地点施工,并在自施工入场40天内完成设备运输（含上、下力）、安装调试等，所有费用由供方承担，安装调试完毕后需方用户负责试用并签收。</w:t>
      </w:r>
    </w:p>
    <w:p>
      <w:pPr>
        <w:pStyle w:val="40"/>
        <w:adjustRightInd w:val="0"/>
        <w:snapToGrid w:val="0"/>
        <w:spacing w:before="0" w:beforeAutospacing="0" w:after="0" w:afterAutospacing="0" w:line="360" w:lineRule="auto"/>
        <w:ind w:firstLine="560" w:firstLineChars="200"/>
        <w:rPr>
          <w:color w:val="auto"/>
          <w:kern w:val="2"/>
          <w:sz w:val="28"/>
          <w:szCs w:val="28"/>
        </w:rPr>
      </w:pPr>
      <w:r>
        <w:rPr>
          <w:rFonts w:hint="eastAsia"/>
          <w:color w:val="auto"/>
          <w:kern w:val="2"/>
          <w:sz w:val="28"/>
          <w:szCs w:val="28"/>
        </w:rPr>
        <w:t>六、本项目预算价为98万元，本项目只接受人民币报价。</w:t>
      </w:r>
    </w:p>
    <w:p>
      <w:pPr>
        <w:numPr>
          <w:ilvl w:val="0"/>
          <w:numId w:val="1"/>
        </w:num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进口货物的外贸代理公司由投标人（中标人）</w:t>
      </w:r>
      <w:r>
        <w:rPr>
          <w:rFonts w:hint="eastAsia" w:ascii="宋体" w:hAnsi="宋体" w:cs="宋体"/>
          <w:sz w:val="28"/>
          <w:szCs w:val="28"/>
          <w:highlight w:val="none"/>
          <w:lang w:val="en-US" w:eastAsia="zh-CN"/>
        </w:rPr>
        <w:t>在我校确定的两家外贸代理公司中</w:t>
      </w:r>
      <w:r>
        <w:rPr>
          <w:rFonts w:hint="eastAsia" w:ascii="宋体" w:hAnsi="宋体" w:cs="宋体"/>
          <w:sz w:val="28"/>
          <w:szCs w:val="28"/>
          <w:highlight w:val="none"/>
        </w:rPr>
        <w:t>自行选择</w:t>
      </w:r>
      <w:r>
        <w:rPr>
          <w:rFonts w:hint="eastAsia" w:ascii="宋体" w:hAnsi="宋体" w:cs="宋体"/>
          <w:sz w:val="28"/>
          <w:szCs w:val="28"/>
          <w:highlight w:val="none"/>
          <w:lang w:eastAsia="zh-CN"/>
        </w:rPr>
        <w:t>（</w:t>
      </w:r>
      <w:r>
        <w:rPr>
          <w:rFonts w:hint="eastAsia" w:ascii="宋体" w:hAnsi="宋体" w:cs="宋体"/>
          <w:sz w:val="28"/>
          <w:szCs w:val="28"/>
          <w:highlight w:val="none"/>
        </w:rPr>
        <w:t>江苏苏美达仪器设备有限公司</w:t>
      </w:r>
      <w:r>
        <w:rPr>
          <w:rFonts w:hint="eastAsia" w:ascii="宋体" w:hAnsi="宋体" w:cs="宋体"/>
          <w:sz w:val="28"/>
          <w:szCs w:val="28"/>
          <w:highlight w:val="none"/>
          <w:lang w:eastAsia="zh-CN"/>
        </w:rPr>
        <w:t>，</w:t>
      </w:r>
      <w:r>
        <w:rPr>
          <w:rFonts w:hint="eastAsia" w:ascii="宋体" w:hAnsi="宋体" w:cs="宋体"/>
          <w:sz w:val="28"/>
          <w:szCs w:val="28"/>
          <w:highlight w:val="none"/>
        </w:rPr>
        <w:t>练</w:t>
      </w:r>
      <w:r>
        <w:rPr>
          <w:rFonts w:hint="eastAsia" w:ascii="宋体" w:hAnsi="宋体" w:cs="宋体"/>
          <w:sz w:val="28"/>
          <w:szCs w:val="28"/>
          <w:highlight w:val="none"/>
          <w:lang w:val="en-US" w:eastAsia="zh-CN"/>
        </w:rPr>
        <w:t>经理：</w:t>
      </w:r>
      <w:r>
        <w:rPr>
          <w:rFonts w:hint="eastAsia" w:ascii="宋体" w:hAnsi="宋体" w:cs="宋体"/>
          <w:sz w:val="28"/>
          <w:szCs w:val="28"/>
          <w:highlight w:val="none"/>
        </w:rPr>
        <w:t>025-84531280</w:t>
      </w:r>
      <w:r>
        <w:rPr>
          <w:rFonts w:hint="eastAsia" w:ascii="宋体" w:hAnsi="宋体" w:cs="宋体"/>
          <w:sz w:val="28"/>
          <w:szCs w:val="28"/>
          <w:highlight w:val="none"/>
          <w:lang w:eastAsia="zh-CN"/>
        </w:rPr>
        <w:t>，15205153042；</w:t>
      </w:r>
      <w:r>
        <w:rPr>
          <w:rFonts w:hint="eastAsia" w:ascii="宋体" w:hAnsi="宋体" w:cs="宋体"/>
          <w:sz w:val="28"/>
          <w:szCs w:val="28"/>
          <w:highlight w:val="none"/>
        </w:rPr>
        <w:t>江苏海外集团国际技术工程有限公司</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方经理：</w:t>
      </w:r>
      <w:r>
        <w:rPr>
          <w:rFonts w:hint="eastAsia" w:ascii="宋体" w:hAnsi="宋体" w:cs="宋体"/>
          <w:sz w:val="28"/>
          <w:szCs w:val="28"/>
          <w:highlight w:val="none"/>
        </w:rPr>
        <w:t>025-84795955</w:t>
      </w:r>
      <w:r>
        <w:rPr>
          <w:rFonts w:hint="eastAsia" w:ascii="宋体" w:hAnsi="宋体" w:cs="宋体"/>
          <w:sz w:val="28"/>
          <w:szCs w:val="28"/>
          <w:highlight w:val="none"/>
          <w:lang w:eastAsia="zh-CN"/>
        </w:rPr>
        <w:t>，15996350251）</w:t>
      </w:r>
      <w:r>
        <w:rPr>
          <w:rFonts w:hint="eastAsia" w:ascii="宋体" w:hAnsi="宋体" w:cs="宋体"/>
          <w:sz w:val="28"/>
          <w:szCs w:val="28"/>
          <w:highlight w:val="none"/>
        </w:rPr>
        <w:t>，代理费由投标人与所选外贸公司协商确定并含在报价中。我校协助办理入关、免税等相关证明材料手续。</w:t>
      </w:r>
    </w:p>
    <w:p>
      <w:pPr>
        <w:spacing w:line="360" w:lineRule="auto"/>
        <w:ind w:firstLine="548" w:firstLineChars="196"/>
        <w:rPr>
          <w:rFonts w:ascii="宋体" w:cs="宋体"/>
          <w:color w:val="auto"/>
          <w:sz w:val="28"/>
          <w:szCs w:val="28"/>
        </w:rPr>
      </w:pPr>
    </w:p>
    <w:p>
      <w:pPr>
        <w:spacing w:before="312" w:beforeLines="100" w:after="312" w:afterLines="100" w:line="360" w:lineRule="auto"/>
        <w:ind w:firstLine="548" w:firstLineChars="196"/>
        <w:jc w:val="center"/>
        <w:rPr>
          <w:rFonts w:ascii="黑体" w:hAnsi="黑体" w:eastAsia="黑体" w:cs="宋体"/>
          <w:color w:val="auto"/>
          <w:sz w:val="28"/>
          <w:szCs w:val="28"/>
        </w:rPr>
      </w:pPr>
      <w:bookmarkStart w:id="4" w:name="_Hlk9866140"/>
      <w:r>
        <w:rPr>
          <w:rFonts w:hint="eastAsia" w:ascii="黑体" w:hAnsi="黑体" w:eastAsia="黑体" w:cs="宋体"/>
          <w:color w:val="auto"/>
          <w:sz w:val="28"/>
          <w:szCs w:val="28"/>
        </w:rPr>
        <w:t>三、对投标文件的要求</w:t>
      </w:r>
    </w:p>
    <w:p>
      <w:pPr>
        <w:spacing w:line="360" w:lineRule="auto"/>
        <w:ind w:firstLine="548" w:firstLineChars="196"/>
        <w:rPr>
          <w:rFonts w:ascii="宋体" w:hAns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为便于唱标和减少浪费，请将</w:t>
      </w:r>
      <w:r>
        <w:rPr>
          <w:rFonts w:ascii="宋体" w:hAnsi="宋体" w:cs="宋体"/>
          <w:color w:val="auto"/>
          <w:sz w:val="28"/>
          <w:szCs w:val="28"/>
        </w:rPr>
        <w:t>1</w:t>
      </w:r>
      <w:r>
        <w:rPr>
          <w:rFonts w:hint="eastAsia" w:ascii="宋体" w:hAnsi="宋体" w:cs="宋体"/>
          <w:color w:val="auto"/>
          <w:sz w:val="28"/>
          <w:szCs w:val="28"/>
        </w:rPr>
        <w:t>份正本单独封装，另外</w:t>
      </w:r>
      <w:r>
        <w:rPr>
          <w:rFonts w:ascii="宋体" w:hAnsi="宋体" w:cs="宋体"/>
          <w:color w:val="auto"/>
          <w:sz w:val="28"/>
          <w:szCs w:val="28"/>
        </w:rPr>
        <w:t>4</w:t>
      </w:r>
      <w:r>
        <w:rPr>
          <w:rFonts w:hint="eastAsia" w:ascii="宋体" w:hAnsi="宋体" w:cs="宋体"/>
          <w:color w:val="auto"/>
          <w:sz w:val="28"/>
          <w:szCs w:val="28"/>
        </w:rPr>
        <w:t>份副本可叠加封装在一个大的档案袋中（</w:t>
      </w:r>
      <w:r>
        <w:rPr>
          <w:rFonts w:ascii="宋体" w:hAnsi="宋体" w:cs="宋体"/>
          <w:color w:val="auto"/>
          <w:sz w:val="28"/>
          <w:szCs w:val="28"/>
        </w:rPr>
        <w:t>4</w:t>
      </w:r>
      <w:r>
        <w:rPr>
          <w:rFonts w:hint="eastAsia" w:ascii="宋体" w:hAnsi="宋体" w:cs="宋体"/>
          <w:color w:val="auto"/>
          <w:sz w:val="28"/>
          <w:szCs w:val="28"/>
        </w:rPr>
        <w:t>份副本无需分别封装在</w:t>
      </w:r>
      <w:r>
        <w:rPr>
          <w:rFonts w:ascii="宋体" w:hAnsi="宋体" w:cs="宋体"/>
          <w:color w:val="auto"/>
          <w:sz w:val="28"/>
          <w:szCs w:val="28"/>
        </w:rPr>
        <w:t>4</w:t>
      </w:r>
      <w:r>
        <w:rPr>
          <w:rFonts w:hint="eastAsia" w:ascii="宋体" w:hAnsi="宋体" w:cs="宋体"/>
          <w:color w:val="auto"/>
          <w:sz w:val="28"/>
          <w:szCs w:val="28"/>
        </w:rPr>
        <w:t>个档案袋中，一个大档案袋封装不下的除外）。每家投标人在送交投标文件时，只需交</w:t>
      </w:r>
      <w:r>
        <w:rPr>
          <w:rFonts w:ascii="宋体" w:hAnsi="宋体" w:cs="宋体"/>
          <w:color w:val="auto"/>
          <w:sz w:val="28"/>
          <w:szCs w:val="28"/>
        </w:rPr>
        <w:t>2</w:t>
      </w:r>
      <w:r>
        <w:rPr>
          <w:rFonts w:hint="eastAsia" w:ascii="宋体" w:hAnsi="宋体" w:cs="宋体"/>
          <w:color w:val="auto"/>
          <w:sz w:val="28"/>
          <w:szCs w:val="28"/>
        </w:rPr>
        <w:t>个档案袋即可，即</w:t>
      </w:r>
      <w:r>
        <w:rPr>
          <w:rFonts w:ascii="宋体" w:hAnsi="宋体" w:cs="宋体"/>
          <w:color w:val="auto"/>
          <w:sz w:val="28"/>
          <w:szCs w:val="28"/>
        </w:rPr>
        <w:t>1</w:t>
      </w:r>
      <w:r>
        <w:rPr>
          <w:rFonts w:hint="eastAsia" w:ascii="宋体" w:hAnsi="宋体" w:cs="宋体"/>
          <w:color w:val="auto"/>
          <w:sz w:val="28"/>
          <w:szCs w:val="28"/>
        </w:rPr>
        <w:t>个正本档案袋，</w:t>
      </w:r>
      <w:r>
        <w:rPr>
          <w:rFonts w:ascii="宋体" w:hAnsi="宋体" w:cs="宋体"/>
          <w:color w:val="auto"/>
          <w:sz w:val="28"/>
          <w:szCs w:val="28"/>
        </w:rPr>
        <w:t>1</w:t>
      </w:r>
      <w:r>
        <w:rPr>
          <w:rFonts w:hint="eastAsia" w:ascii="宋体" w:hAnsi="宋体" w:cs="宋体"/>
          <w:color w:val="auto"/>
          <w:sz w:val="28"/>
          <w:szCs w:val="28"/>
        </w:rPr>
        <w:t>个大的副本档案袋。</w:t>
      </w:r>
    </w:p>
    <w:p>
      <w:pPr>
        <w:spacing w:line="360" w:lineRule="auto"/>
        <w:ind w:firstLine="548" w:firstLineChars="196"/>
        <w:rPr>
          <w:rFonts w:ascii="宋体" w:cs="宋体"/>
          <w:color w:val="auto"/>
          <w:sz w:val="28"/>
          <w:szCs w:val="28"/>
        </w:rPr>
      </w:pPr>
      <w:r>
        <w:rPr>
          <w:rFonts w:ascii="宋体" w:hAnsi="宋体" w:cs="宋体"/>
          <w:color w:val="auto"/>
          <w:sz w:val="28"/>
          <w:szCs w:val="28"/>
        </w:rPr>
        <w:t>5.</w:t>
      </w:r>
      <w:r>
        <w:rPr>
          <w:rFonts w:hint="eastAsia" w:ascii="宋体" w:hAnsi="宋体" w:cs="宋体"/>
          <w:color w:val="auto"/>
          <w:sz w:val="28"/>
          <w:szCs w:val="28"/>
        </w:rPr>
        <w:t>投标文件应包含以下内容（所有材料必须加盖投标单位公章）：</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）经投标单位法人或委托代理人代表签字并加盖单位公章的投标函（附件</w:t>
      </w:r>
      <w:r>
        <w:rPr>
          <w:rFonts w:ascii="宋体" w:hAnsi="宋体" w:cs="宋体"/>
          <w:color w:val="auto"/>
          <w:sz w:val="28"/>
          <w:szCs w:val="28"/>
        </w:rPr>
        <w:t>2</w:t>
      </w:r>
      <w:r>
        <w:rPr>
          <w:rFonts w:hint="eastAsia" w:ascii="宋体" w:hAnsi="宋体" w:cs="宋体"/>
          <w:color w:val="auto"/>
          <w:sz w:val="28"/>
          <w:szCs w:val="28"/>
        </w:rPr>
        <w:t>格式，为便于唱标，此函件请务必放置在投标文件内页的第一页）；</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）投标价格明细表（附件</w:t>
      </w:r>
      <w:r>
        <w:rPr>
          <w:rFonts w:ascii="宋体" w:hAnsi="宋体" w:cs="宋体"/>
          <w:color w:val="auto"/>
          <w:sz w:val="28"/>
          <w:szCs w:val="28"/>
        </w:rPr>
        <w:t>3</w:t>
      </w:r>
      <w:r>
        <w:rPr>
          <w:rFonts w:hint="eastAsia" w:ascii="宋体" w:hAnsi="宋体" w:cs="宋体"/>
          <w:color w:val="auto"/>
          <w:sz w:val="28"/>
          <w:szCs w:val="28"/>
        </w:rPr>
        <w:t>）；</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3</w:t>
      </w:r>
      <w:r>
        <w:rPr>
          <w:rFonts w:hint="eastAsia" w:ascii="宋体" w:hAnsi="宋体" w:cs="宋体"/>
          <w:color w:val="auto"/>
          <w:sz w:val="28"/>
          <w:szCs w:val="28"/>
        </w:rPr>
        <w:t>）</w:t>
      </w:r>
      <w:r>
        <w:rPr>
          <w:rFonts w:ascii="宋体" w:hAnsi="宋体" w:cs="宋体"/>
          <w:color w:val="auto"/>
          <w:sz w:val="28"/>
          <w:szCs w:val="28"/>
        </w:rPr>
        <w:t>300</w:t>
      </w:r>
      <w:r>
        <w:rPr>
          <w:rFonts w:hint="eastAsia" w:ascii="宋体" w:hAnsi="宋体" w:cs="宋体"/>
          <w:color w:val="auto"/>
          <w:sz w:val="28"/>
          <w:szCs w:val="28"/>
        </w:rPr>
        <w:t>元报名资料费银行转账回单（复印件）；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4</w:t>
      </w:r>
      <w:r>
        <w:rPr>
          <w:rFonts w:hint="eastAsia" w:ascii="宋体" w:hAnsi="宋体" w:cs="宋体"/>
          <w:color w:val="auto"/>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5</w:t>
      </w:r>
      <w:r>
        <w:rPr>
          <w:rFonts w:hint="eastAsia" w:ascii="宋体" w:hAnsi="宋体" w:cs="宋体"/>
          <w:color w:val="auto"/>
          <w:sz w:val="28"/>
          <w:szCs w:val="28"/>
        </w:rPr>
        <w:t>）授权委托书、被委托人身份证复印件；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6</w:t>
      </w:r>
      <w:r>
        <w:rPr>
          <w:rFonts w:hint="eastAsia" w:ascii="宋体" w:hAnsi="宋体" w:cs="宋体"/>
          <w:color w:val="auto"/>
          <w:sz w:val="28"/>
          <w:szCs w:val="28"/>
        </w:rPr>
        <w:t>）产品（或服务，下同）技术性能参数的详细描述一览表（投标文件在对投标标的物进行技术和商务描述时，必须完全按照招标文件附件</w:t>
      </w:r>
      <w:r>
        <w:rPr>
          <w:rFonts w:ascii="宋体" w:hAnsi="宋体" w:cs="宋体"/>
          <w:color w:val="auto"/>
          <w:sz w:val="28"/>
          <w:szCs w:val="28"/>
        </w:rPr>
        <w:t>1</w:t>
      </w:r>
      <w:r>
        <w:rPr>
          <w:rFonts w:hint="eastAsia" w:ascii="宋体" w:hAnsi="宋体" w:cs="宋体"/>
          <w:color w:val="auto"/>
          <w:sz w:val="28"/>
          <w:szCs w:val="28"/>
        </w:rPr>
        <w:t>中的章节顺序依次逐条响应，不得颠倒顺序，不得有漏项，不得原封不动地引用招标文件附件</w:t>
      </w:r>
      <w:r>
        <w:rPr>
          <w:rFonts w:ascii="宋体" w:hAnsi="宋体" w:cs="宋体"/>
          <w:color w:val="auto"/>
          <w:sz w:val="28"/>
          <w:szCs w:val="28"/>
        </w:rPr>
        <w:t>1</w:t>
      </w:r>
      <w:r>
        <w:rPr>
          <w:rFonts w:hint="eastAsia" w:ascii="宋体" w:hAnsi="宋体" w:cs="宋体"/>
          <w:color w:val="auto"/>
          <w:sz w:val="28"/>
          <w:szCs w:val="28"/>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7</w:t>
      </w:r>
      <w:r>
        <w:rPr>
          <w:rFonts w:hint="eastAsia" w:ascii="宋体" w:hAnsi="宋体" w:cs="宋体"/>
          <w:color w:val="auto"/>
          <w:sz w:val="28"/>
          <w:szCs w:val="28"/>
        </w:rPr>
        <w:t>）产品技术和商务指标偏差表；</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8</w:t>
      </w:r>
      <w:r>
        <w:rPr>
          <w:rFonts w:hint="eastAsia" w:ascii="宋体" w:hAnsi="宋体" w:cs="宋体"/>
          <w:color w:val="auto"/>
          <w:sz w:val="28"/>
          <w:szCs w:val="28"/>
        </w:rPr>
        <w:t>）产品服务方案；</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9</w:t>
      </w:r>
      <w:r>
        <w:rPr>
          <w:rFonts w:hint="eastAsia" w:ascii="宋体" w:hAnsi="宋体" w:cs="宋体"/>
          <w:color w:val="auto"/>
          <w:sz w:val="28"/>
          <w:szCs w:val="28"/>
        </w:rPr>
        <w:t>）产品销售授权书或代理证书（如系代理公司的）；</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10)</w:t>
      </w:r>
      <w:r>
        <w:rPr>
          <w:rFonts w:hint="eastAsia" w:ascii="宋体" w:hAnsi="宋体" w:cs="宋体"/>
          <w:color w:val="auto"/>
          <w:sz w:val="28"/>
          <w:szCs w:val="28"/>
        </w:rPr>
        <w:t xml:space="preserve"> 产品质量、工期、安全、管理及售后服务承诺书；</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11</w:t>
      </w:r>
      <w:r>
        <w:rPr>
          <w:rFonts w:hint="eastAsia" w:ascii="宋体" w:hAnsi="宋体" w:cs="宋体"/>
          <w:color w:val="auto"/>
          <w:sz w:val="28"/>
          <w:szCs w:val="28"/>
        </w:rPr>
        <w:t>）产品质量检测报告、质保、认证等证书；</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12</w:t>
      </w:r>
      <w:r>
        <w:rPr>
          <w:rFonts w:hint="eastAsia" w:ascii="宋体" w:hAnsi="宋体" w:cs="宋体"/>
          <w:color w:val="auto"/>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13</w:t>
      </w:r>
      <w:r>
        <w:rPr>
          <w:rFonts w:hint="eastAsia" w:ascii="宋体" w:hAnsi="宋体" w:cs="宋体"/>
          <w:color w:val="auto"/>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14</w:t>
      </w:r>
      <w:r>
        <w:rPr>
          <w:rFonts w:hint="eastAsia" w:ascii="宋体" w:hAnsi="宋体" w:cs="宋体"/>
          <w:color w:val="auto"/>
          <w:sz w:val="28"/>
          <w:szCs w:val="28"/>
        </w:rPr>
        <w:t>）招标文件规定或投标人对照评标办法的得分因素以及附件</w:t>
      </w:r>
      <w:r>
        <w:rPr>
          <w:rFonts w:ascii="宋体" w:hAnsi="宋体" w:cs="宋体"/>
          <w:color w:val="auto"/>
          <w:sz w:val="28"/>
          <w:szCs w:val="28"/>
        </w:rPr>
        <w:t>1</w:t>
      </w:r>
      <w:r>
        <w:rPr>
          <w:rFonts w:hint="eastAsia" w:ascii="宋体" w:hAnsi="宋体" w:cs="宋体"/>
          <w:color w:val="auto"/>
          <w:sz w:val="28"/>
          <w:szCs w:val="28"/>
        </w:rPr>
        <w:t>相关要求认为应提交的其他资料和文件。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15</w:t>
      </w:r>
      <w:r>
        <w:rPr>
          <w:rFonts w:hint="eastAsia" w:ascii="宋体" w:hAnsi="宋体" w:cs="宋体"/>
          <w:color w:val="auto"/>
          <w:sz w:val="28"/>
          <w:szCs w:val="28"/>
        </w:rPr>
        <w:t>）</w:t>
      </w:r>
      <w:r>
        <w:rPr>
          <w:rFonts w:hint="eastAsia"/>
          <w:color w:val="auto"/>
          <w:sz w:val="28"/>
          <w:szCs w:val="28"/>
        </w:rPr>
        <w:t>投标人必须投本标书所有标段的设备，不允许分标段投标；标书中服务器标段必须满足所有参数要求，其余标段标</w:t>
      </w:r>
      <w:r>
        <w:rPr>
          <w:rFonts w:hint="eastAsia" w:ascii="宋体" w:hAnsi="宋体" w:cs="Arial"/>
          <w:color w:val="auto"/>
          <w:kern w:val="0"/>
          <w:sz w:val="18"/>
          <w:szCs w:val="18"/>
        </w:rPr>
        <w:t>★</w:t>
      </w:r>
      <w:r>
        <w:rPr>
          <w:rFonts w:hint="eastAsia"/>
          <w:color w:val="auto"/>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rPr>
      </w:pPr>
      <w:r>
        <w:rPr>
          <w:rFonts w:ascii="宋体" w:hAnsi="宋体" w:cs="宋体"/>
          <w:color w:val="auto"/>
          <w:sz w:val="28"/>
          <w:szCs w:val="28"/>
        </w:rPr>
        <w:t>6.</w:t>
      </w:r>
      <w:r>
        <w:rPr>
          <w:rFonts w:hint="eastAsia" w:ascii="宋体" w:hAnsi="宋体" w:cs="宋体"/>
          <w:color w:val="auto"/>
          <w:sz w:val="28"/>
          <w:szCs w:val="28"/>
        </w:rPr>
        <w:t>投标人在投标文件中应承诺对如下内容已完全理解，如不承诺，视为认可：</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）在参与我校相关项目的招投标活动中，遵纪守法，诚信经营，公平竞争；</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3</w:t>
      </w:r>
      <w:r>
        <w:rPr>
          <w:rFonts w:hint="eastAsia" w:ascii="宋体" w:hAnsi="宋体" w:cs="宋体"/>
          <w:color w:val="auto"/>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4</w:t>
      </w:r>
      <w:r>
        <w:rPr>
          <w:rFonts w:hint="eastAsia" w:ascii="宋体" w:hAnsi="宋体" w:cs="宋体"/>
          <w:color w:val="auto"/>
          <w:sz w:val="28"/>
          <w:szCs w:val="28"/>
        </w:rPr>
        <w:t>）不采取不正当手段诋毁、排挤其他投标人；</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5</w:t>
      </w:r>
      <w:r>
        <w:rPr>
          <w:rFonts w:hint="eastAsia" w:ascii="宋体" w:hAnsi="宋体" w:cs="宋体"/>
          <w:color w:val="auto"/>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6</w:t>
      </w:r>
      <w:r>
        <w:rPr>
          <w:rFonts w:hint="eastAsia" w:ascii="宋体" w:hAnsi="宋体" w:cs="宋体"/>
          <w:color w:val="auto"/>
          <w:sz w:val="28"/>
          <w:szCs w:val="28"/>
        </w:rPr>
        <w:t>）本项目的中标单位由本校评标专家组按规定程序确定（采用“评定分离”制的项目除外）；</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7</w:t>
      </w:r>
      <w:r>
        <w:rPr>
          <w:rFonts w:hint="eastAsia" w:ascii="宋体" w:hAnsi="宋体" w:cs="宋体"/>
          <w:color w:val="auto"/>
          <w:sz w:val="28"/>
          <w:szCs w:val="28"/>
        </w:rPr>
        <w:t>）未能中标单位，本校对其原因不作解释；</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8</w:t>
      </w:r>
      <w:r>
        <w:rPr>
          <w:rFonts w:hint="eastAsia" w:ascii="宋体" w:hAnsi="宋体" w:cs="宋体"/>
          <w:color w:val="auto"/>
          <w:sz w:val="28"/>
          <w:szCs w:val="28"/>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color w:val="auto"/>
          <w:sz w:val="28"/>
          <w:szCs w:val="28"/>
        </w:rPr>
      </w:pPr>
      <w:bookmarkStart w:id="5" w:name="_Hlk9866206"/>
      <w:r>
        <w:rPr>
          <w:rFonts w:hint="eastAsia" w:ascii="黑体" w:hAnsi="黑体" w:eastAsia="黑体" w:cs="宋体"/>
          <w:color w:val="auto"/>
          <w:sz w:val="28"/>
          <w:szCs w:val="28"/>
        </w:rPr>
        <w:t>四、开标程序</w:t>
      </w:r>
    </w:p>
    <w:bookmarkEnd w:id="5"/>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招标文件给出评标办法（见附件</w:t>
      </w:r>
      <w:r>
        <w:rPr>
          <w:rFonts w:ascii="宋体" w:hAnsi="宋体" w:cs="宋体"/>
          <w:color w:val="auto"/>
          <w:sz w:val="28"/>
          <w:szCs w:val="28"/>
        </w:rPr>
        <w:t>5</w:t>
      </w:r>
      <w:r>
        <w:rPr>
          <w:rFonts w:hint="eastAsia" w:ascii="宋体" w:hAnsi="宋体" w:cs="宋体"/>
          <w:color w:val="auto"/>
          <w:sz w:val="28"/>
          <w:szCs w:val="28"/>
        </w:rPr>
        <w:t>）</w:t>
      </w:r>
      <w:r>
        <w:rPr>
          <w:rFonts w:ascii="宋体" w:cs="宋体"/>
          <w:color w:val="auto"/>
          <w:sz w:val="28"/>
          <w:szCs w:val="28"/>
        </w:rPr>
        <w:t>,</w:t>
      </w:r>
      <w:r>
        <w:rPr>
          <w:rFonts w:hint="eastAsia" w:ascii="宋体" w:hAnsi="宋体" w:cs="宋体"/>
          <w:color w:val="auto"/>
          <w:sz w:val="28"/>
          <w:szCs w:val="28"/>
        </w:rPr>
        <w:t>供投标人和评标专家组参考。</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财务处工作人员在投标人的见证下唱标。投标人或投标人代表在唱标结果上签名确认。如投标人均未参加唱标，则由财务处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rPr>
      </w:pPr>
      <w:r>
        <w:rPr>
          <w:rFonts w:ascii="宋体" w:hAnsi="宋体" w:cs="宋体"/>
          <w:color w:val="auto"/>
          <w:sz w:val="28"/>
          <w:szCs w:val="28"/>
        </w:rPr>
        <w:t>5.</w:t>
      </w:r>
      <w:r>
        <w:rPr>
          <w:rFonts w:hint="eastAsia" w:ascii="宋体" w:hAnsi="宋体" w:cs="宋体"/>
          <w:color w:val="auto"/>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rPr>
      </w:pPr>
      <w:r>
        <w:rPr>
          <w:rFonts w:hint="eastAsia" w:ascii="宋体" w:hAnsi="宋体" w:cs="宋体"/>
          <w:color w:val="auto"/>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rPr>
      </w:pPr>
      <w:r>
        <w:rPr>
          <w:rFonts w:ascii="宋体" w:hAnsi="宋体" w:cs="宋体"/>
          <w:color w:val="auto"/>
          <w:sz w:val="28"/>
          <w:szCs w:val="28"/>
        </w:rPr>
        <w:t>6.</w:t>
      </w:r>
      <w:r>
        <w:rPr>
          <w:rFonts w:hint="eastAsia" w:ascii="宋体" w:hAnsi="宋体" w:cs="宋体"/>
          <w:color w:val="auto"/>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rPr>
      </w:pPr>
      <w:r>
        <w:rPr>
          <w:rFonts w:ascii="宋体" w:hAnsi="宋体" w:cs="宋体"/>
          <w:color w:val="auto"/>
          <w:sz w:val="28"/>
          <w:szCs w:val="28"/>
        </w:rPr>
        <w:t>7.</w:t>
      </w:r>
      <w:r>
        <w:rPr>
          <w:rFonts w:hint="eastAsia" w:ascii="宋体" w:hAnsi="宋体" w:cs="宋体"/>
          <w:color w:val="auto"/>
          <w:sz w:val="28"/>
          <w:szCs w:val="28"/>
        </w:rPr>
        <w:t>财务处根据评标专家组综合排序，在学校网站和财务处招标科网站对拟中标单位进行公示。公示结束，无异议，确定中标单位。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rPr>
      </w:pPr>
      <w:r>
        <w:rPr>
          <w:rFonts w:hint="eastAsia" w:ascii="黑体" w:hAnsi="黑体" w:eastAsia="黑体" w:cs="宋体"/>
          <w:color w:val="auto"/>
          <w:sz w:val="28"/>
          <w:szCs w:val="28"/>
        </w:rPr>
        <w:t>五、无效投标</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投标文件出现下列情形的，将作为无效投标文件，不得进入评标：</w:t>
      </w:r>
    </w:p>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投标文件未按照招标文件的要求予以密封的；</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投标文件少项漏项，或关键内容字迹模糊、无法辨认的；</w:t>
      </w:r>
    </w:p>
    <w:p>
      <w:pPr>
        <w:spacing w:line="360" w:lineRule="auto"/>
        <w:ind w:firstLine="548" w:firstLineChars="196"/>
        <w:rPr>
          <w:rFonts w:asci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有</w:t>
      </w:r>
      <w:r>
        <w:rPr>
          <w:rFonts w:ascii="宋体" w:hAnsi="宋体" w:cs="宋体"/>
          <w:color w:val="auto"/>
          <w:sz w:val="28"/>
          <w:szCs w:val="28"/>
        </w:rPr>
        <w:t>1</w:t>
      </w:r>
      <w:r>
        <w:rPr>
          <w:rFonts w:hint="eastAsia" w:ascii="宋体" w:hAnsi="宋体" w:cs="宋体"/>
          <w:color w:val="auto"/>
          <w:sz w:val="28"/>
          <w:szCs w:val="28"/>
        </w:rPr>
        <w:t>个核心指标或有</w:t>
      </w:r>
      <w:r>
        <w:rPr>
          <w:rFonts w:ascii="宋体" w:hAnsi="宋体" w:cs="宋体"/>
          <w:color w:val="auto"/>
          <w:sz w:val="28"/>
          <w:szCs w:val="28"/>
        </w:rPr>
        <w:t>5</w:t>
      </w:r>
      <w:r>
        <w:rPr>
          <w:rFonts w:hint="eastAsia" w:ascii="宋体" w:hAnsi="宋体" w:cs="宋体"/>
          <w:color w:val="auto"/>
          <w:sz w:val="28"/>
          <w:szCs w:val="28"/>
        </w:rPr>
        <w:t>个及以上非核心指标未能满足的；</w:t>
      </w:r>
    </w:p>
    <w:p>
      <w:pPr>
        <w:spacing w:line="360" w:lineRule="auto"/>
        <w:ind w:firstLine="548" w:firstLineChars="196"/>
        <w:rPr>
          <w:rFonts w:ascii="宋体" w:cs="宋体"/>
          <w:color w:val="auto"/>
          <w:sz w:val="28"/>
          <w:szCs w:val="28"/>
        </w:rPr>
      </w:pPr>
      <w:r>
        <w:rPr>
          <w:rFonts w:ascii="宋体" w:hAnsi="宋体" w:cs="宋体"/>
          <w:color w:val="auto"/>
          <w:sz w:val="28"/>
          <w:szCs w:val="28"/>
        </w:rPr>
        <w:t>5.</w:t>
      </w:r>
      <w:r>
        <w:rPr>
          <w:rFonts w:hint="eastAsia" w:ascii="宋体" w:hAnsi="宋体" w:cs="宋体"/>
          <w:color w:val="auto"/>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rPr>
      </w:pPr>
      <w:r>
        <w:rPr>
          <w:rFonts w:ascii="宋体" w:hAnsi="宋体" w:cs="宋体"/>
          <w:color w:val="auto"/>
          <w:sz w:val="28"/>
          <w:szCs w:val="28"/>
        </w:rPr>
        <w:t>6.</w:t>
      </w:r>
      <w:r>
        <w:rPr>
          <w:rFonts w:hint="eastAsia" w:ascii="宋体" w:hAnsi="宋体" w:cs="宋体"/>
          <w:color w:val="auto"/>
          <w:sz w:val="28"/>
          <w:szCs w:val="28"/>
        </w:rPr>
        <w:t>技术指标响应内容未按照招标文件附件</w:t>
      </w:r>
      <w:r>
        <w:rPr>
          <w:rFonts w:ascii="宋体" w:hAnsi="宋体" w:cs="宋体"/>
          <w:color w:val="auto"/>
          <w:sz w:val="28"/>
          <w:szCs w:val="28"/>
        </w:rPr>
        <w:t>1</w:t>
      </w:r>
      <w:r>
        <w:rPr>
          <w:rFonts w:hint="eastAsia" w:ascii="宋体" w:hAnsi="宋体" w:cs="宋体"/>
          <w:color w:val="auto"/>
          <w:sz w:val="28"/>
          <w:szCs w:val="28"/>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rPr>
        <w:t>1</w:t>
      </w:r>
      <w:r>
        <w:rPr>
          <w:rFonts w:hint="eastAsia" w:ascii="宋体" w:hAnsi="宋体" w:cs="宋体"/>
          <w:color w:val="auto"/>
          <w:sz w:val="28"/>
          <w:szCs w:val="28"/>
        </w:rPr>
        <w:t>中的章节、句段的；</w:t>
      </w:r>
    </w:p>
    <w:p>
      <w:pPr>
        <w:spacing w:line="360" w:lineRule="auto"/>
        <w:ind w:firstLine="548" w:firstLineChars="196"/>
        <w:rPr>
          <w:rFonts w:ascii="宋体" w:cs="宋体"/>
          <w:color w:val="auto"/>
          <w:sz w:val="28"/>
          <w:szCs w:val="28"/>
        </w:rPr>
      </w:pPr>
      <w:r>
        <w:rPr>
          <w:rFonts w:ascii="宋体" w:hAnsi="宋体" w:cs="宋体"/>
          <w:color w:val="auto"/>
          <w:sz w:val="28"/>
          <w:szCs w:val="28"/>
        </w:rPr>
        <w:t>7.</w:t>
      </w:r>
      <w:r>
        <w:rPr>
          <w:rFonts w:hint="eastAsia" w:ascii="宋体" w:hAnsi="宋体" w:cs="宋体"/>
          <w:color w:val="auto"/>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rPr>
      </w:pPr>
      <w:r>
        <w:rPr>
          <w:rFonts w:ascii="宋体" w:hAnsi="宋体" w:cs="宋体"/>
          <w:color w:val="auto"/>
          <w:sz w:val="28"/>
          <w:szCs w:val="28"/>
        </w:rPr>
        <w:t>8.</w:t>
      </w:r>
      <w:r>
        <w:rPr>
          <w:rFonts w:hint="eastAsia" w:ascii="宋体" w:hAnsi="宋体" w:cs="宋体"/>
          <w:color w:val="auto"/>
          <w:sz w:val="28"/>
          <w:szCs w:val="28"/>
        </w:rPr>
        <w:t>报价超过预算金额，或以人民币之外的币种报价的；</w:t>
      </w:r>
    </w:p>
    <w:p>
      <w:pPr>
        <w:spacing w:line="360" w:lineRule="auto"/>
        <w:ind w:firstLine="548" w:firstLineChars="196"/>
        <w:rPr>
          <w:rFonts w:ascii="宋体" w:hAnsi="宋体" w:cs="宋体"/>
          <w:b/>
          <w:color w:val="auto"/>
          <w:sz w:val="28"/>
          <w:szCs w:val="28"/>
        </w:rPr>
      </w:pPr>
      <w:r>
        <w:rPr>
          <w:rFonts w:ascii="宋体" w:hAnsi="宋体" w:cs="宋体"/>
          <w:color w:val="auto"/>
          <w:sz w:val="28"/>
          <w:szCs w:val="28"/>
        </w:rPr>
        <w:t>9.</w:t>
      </w:r>
      <w:r>
        <w:rPr>
          <w:rFonts w:hint="eastAsia" w:ascii="宋体" w:hAnsi="宋体" w:cs="宋体"/>
          <w:color w:val="auto"/>
          <w:sz w:val="28"/>
          <w:szCs w:val="28"/>
        </w:rPr>
        <w:t>无</w:t>
      </w:r>
      <w:r>
        <w:rPr>
          <w:rFonts w:ascii="宋体" w:hAnsi="宋体" w:cs="宋体"/>
          <w:color w:val="auto"/>
          <w:sz w:val="28"/>
          <w:szCs w:val="28"/>
        </w:rPr>
        <w:t>300</w:t>
      </w:r>
      <w:r>
        <w:rPr>
          <w:rFonts w:hint="eastAsia" w:ascii="宋体" w:hAnsi="宋体" w:cs="宋体"/>
          <w:color w:val="auto"/>
          <w:sz w:val="28"/>
          <w:szCs w:val="28"/>
        </w:rPr>
        <w:t>元报名资料费银行转账回单复印件的，或报名资料费银行转账回单中无</w:t>
      </w:r>
      <w:r>
        <w:rPr>
          <w:rFonts w:hint="eastAsia" w:ascii="宋体" w:hAnsi="宋体" w:cs="宋体"/>
          <w:b/>
          <w:color w:val="auto"/>
          <w:sz w:val="28"/>
          <w:szCs w:val="28"/>
        </w:rPr>
        <w:t>“</w:t>
      </w:r>
      <w:r>
        <w:rPr>
          <w:rFonts w:ascii="宋体" w:hAnsi="宋体" w:cs="宋体"/>
          <w:b/>
          <w:color w:val="auto"/>
          <w:sz w:val="28"/>
          <w:szCs w:val="28"/>
        </w:rPr>
        <w:t>B</w:t>
      </w:r>
      <w:r>
        <w:rPr>
          <w:rFonts w:hint="eastAsia" w:ascii="宋体" w:hAnsi="宋体" w:cs="宋体"/>
          <w:b/>
          <w:color w:val="auto"/>
          <w:sz w:val="28"/>
          <w:szCs w:val="28"/>
        </w:rPr>
        <w:t>J</w:t>
      </w:r>
      <w:r>
        <w:rPr>
          <w:rFonts w:ascii="宋体" w:hAnsi="宋体" w:cs="宋体"/>
          <w:b/>
          <w:color w:val="auto"/>
          <w:sz w:val="28"/>
          <w:szCs w:val="28"/>
        </w:rPr>
        <w:t>20</w:t>
      </w:r>
      <w:r>
        <w:rPr>
          <w:rFonts w:hint="eastAsia" w:ascii="宋体" w:hAnsi="宋体" w:cs="宋体"/>
          <w:b/>
          <w:color w:val="auto"/>
          <w:sz w:val="28"/>
          <w:szCs w:val="28"/>
        </w:rPr>
        <w:t>20002资料费”</w:t>
      </w:r>
      <w:r>
        <w:rPr>
          <w:rFonts w:hint="eastAsia" w:ascii="宋体" w:hAnsi="宋体" w:cs="宋体"/>
          <w:color w:val="auto"/>
          <w:sz w:val="28"/>
          <w:szCs w:val="28"/>
        </w:rPr>
        <w:t>字样的；</w:t>
      </w:r>
    </w:p>
    <w:p>
      <w:pPr>
        <w:spacing w:line="360" w:lineRule="auto"/>
        <w:ind w:firstLine="548" w:firstLineChars="196"/>
        <w:rPr>
          <w:rFonts w:ascii="宋体" w:cs="宋体"/>
          <w:color w:val="auto"/>
          <w:sz w:val="28"/>
          <w:szCs w:val="28"/>
        </w:rPr>
      </w:pPr>
      <w:r>
        <w:rPr>
          <w:rFonts w:ascii="宋体" w:hAnsi="宋体" w:cs="宋体"/>
          <w:color w:val="auto"/>
          <w:sz w:val="28"/>
          <w:szCs w:val="28"/>
        </w:rPr>
        <w:t>10.</w:t>
      </w:r>
      <w:r>
        <w:rPr>
          <w:rFonts w:hint="eastAsia" w:ascii="宋体" w:hAnsi="宋体" w:cs="宋体"/>
          <w:color w:val="auto"/>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rPr>
      </w:pPr>
      <w:r>
        <w:rPr>
          <w:rFonts w:hint="eastAsia" w:ascii="黑体" w:hAnsi="黑体" w:eastAsia="黑体" w:cs="宋体"/>
          <w:color w:val="auto"/>
          <w:sz w:val="28"/>
          <w:szCs w:val="28"/>
        </w:rPr>
        <w:t>六、评标办法</w:t>
      </w:r>
    </w:p>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本着“质量第一、价格合理、服务优异、保障有力”的原则，由采购人、项目归口管理部门和财务处从报价得分、技术得分、服务、业绩、信誉得分五个方面提出评标办法（见附件</w:t>
      </w:r>
      <w:r>
        <w:rPr>
          <w:rFonts w:ascii="宋体" w:hAnsi="宋体" w:cs="宋体"/>
          <w:color w:val="auto"/>
          <w:sz w:val="28"/>
          <w:szCs w:val="28"/>
        </w:rPr>
        <w:t>5</w:t>
      </w:r>
      <w:r>
        <w:rPr>
          <w:rFonts w:hint="eastAsia" w:ascii="宋体" w:hAnsi="宋体" w:cs="宋体"/>
          <w:color w:val="auto"/>
          <w:sz w:val="28"/>
          <w:szCs w:val="28"/>
        </w:rPr>
        <w:t>）。</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为保证招标质量，在评标办法中设核心指标。每个分包的核心指标不超过</w:t>
      </w:r>
      <w:r>
        <w:rPr>
          <w:rFonts w:ascii="宋体" w:hAnsi="宋体" w:cs="宋体"/>
          <w:color w:val="auto"/>
          <w:sz w:val="28"/>
          <w:szCs w:val="28"/>
        </w:rPr>
        <w:t>5</w:t>
      </w:r>
      <w:r>
        <w:rPr>
          <w:rFonts w:hint="eastAsia" w:ascii="宋体" w:hAnsi="宋体" w:cs="宋体"/>
          <w:color w:val="auto"/>
          <w:sz w:val="28"/>
          <w:szCs w:val="28"/>
        </w:rPr>
        <w:t>个。</w:t>
      </w:r>
    </w:p>
    <w:p>
      <w:pPr>
        <w:spacing w:before="312" w:beforeLines="100" w:after="312" w:afterLines="100" w:line="360" w:lineRule="auto"/>
        <w:ind w:firstLine="548" w:firstLineChars="196"/>
        <w:jc w:val="center"/>
        <w:rPr>
          <w:rFonts w:ascii="黑体" w:hAnsi="黑体" w:eastAsia="黑体" w:cs="宋体"/>
          <w:color w:val="auto"/>
          <w:sz w:val="28"/>
          <w:szCs w:val="28"/>
        </w:rPr>
      </w:pPr>
      <w:r>
        <w:rPr>
          <w:rFonts w:hint="eastAsia" w:ascii="黑体" w:hAnsi="黑体" w:eastAsia="黑体" w:cs="宋体"/>
          <w:color w:val="auto"/>
          <w:sz w:val="28"/>
          <w:szCs w:val="28"/>
        </w:rPr>
        <w:t>七、合同、履约、验收及结算等事项</w:t>
      </w:r>
    </w:p>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合同：</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）中标公示结束无异议后</w:t>
      </w:r>
      <w:r>
        <w:rPr>
          <w:rFonts w:ascii="宋体" w:hAnsi="宋体" w:cs="宋体"/>
          <w:color w:val="auto"/>
          <w:sz w:val="28"/>
          <w:szCs w:val="28"/>
        </w:rPr>
        <w:t>5</w:t>
      </w:r>
      <w:r>
        <w:rPr>
          <w:rFonts w:hint="eastAsia" w:ascii="宋体" w:hAnsi="宋体" w:cs="宋体"/>
          <w:color w:val="auto"/>
          <w:sz w:val="28"/>
          <w:szCs w:val="28"/>
        </w:rPr>
        <w:t>个工作日内，中标单位须及时缴纳5</w:t>
      </w:r>
      <w:r>
        <w:rPr>
          <w:rFonts w:ascii="宋体" w:hAnsi="宋体" w:cs="宋体"/>
          <w:color w:val="auto"/>
          <w:sz w:val="28"/>
          <w:szCs w:val="28"/>
        </w:rPr>
        <w:t>000</w:t>
      </w:r>
      <w:r>
        <w:rPr>
          <w:rFonts w:hint="eastAsia" w:ascii="宋体" w:hAnsi="宋体" w:cs="宋体"/>
          <w:color w:val="auto"/>
          <w:sz w:val="28"/>
          <w:szCs w:val="28"/>
        </w:rPr>
        <w:t>元履约保证金并前来我校领取的《中标通知书》（一式二份）。</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）中标单位须在接《中标通知书》起</w:t>
      </w:r>
      <w:r>
        <w:rPr>
          <w:rFonts w:ascii="宋体" w:hAnsi="宋体" w:cs="宋体"/>
          <w:color w:val="auto"/>
          <w:sz w:val="28"/>
          <w:szCs w:val="28"/>
        </w:rPr>
        <w:t>7</w:t>
      </w:r>
      <w:r>
        <w:rPr>
          <w:rFonts w:hint="eastAsia" w:ascii="宋体" w:hAnsi="宋体" w:cs="宋体"/>
          <w:color w:val="auto"/>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color w:val="auto"/>
          <w:sz w:val="28"/>
          <w:szCs w:val="28"/>
          <w:highlight w:val="yellow"/>
        </w:rPr>
      </w:pPr>
      <w:r>
        <w:rPr>
          <w:rFonts w:ascii="宋体" w:hAnsi="宋体" w:cs="宋体"/>
          <w:color w:val="auto"/>
          <w:sz w:val="28"/>
          <w:szCs w:val="28"/>
        </w:rPr>
        <w:t>2.</w:t>
      </w:r>
      <w:r>
        <w:rPr>
          <w:rFonts w:hint="eastAsia" w:ascii="宋体" w:hAnsi="宋体" w:cs="宋体"/>
          <w:color w:val="auto"/>
          <w:sz w:val="28"/>
          <w:szCs w:val="28"/>
        </w:rPr>
        <w:t>服务地点：南京信息工程大学滨江学院（无锡校区）院内。</w:t>
      </w:r>
    </w:p>
    <w:p>
      <w:pPr>
        <w:spacing w:line="360" w:lineRule="auto"/>
        <w:ind w:firstLine="548" w:firstLineChars="196"/>
        <w:rPr>
          <w:rFonts w:ascii="宋体" w:hAns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付款方式：</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资料费：</w:t>
      </w:r>
      <w:r>
        <w:rPr>
          <w:rFonts w:ascii="宋体" w:hAnsi="宋体" w:cs="宋体"/>
          <w:color w:val="auto"/>
          <w:sz w:val="28"/>
          <w:szCs w:val="28"/>
        </w:rPr>
        <w:t>300</w:t>
      </w:r>
      <w:r>
        <w:rPr>
          <w:rFonts w:hint="eastAsia" w:ascii="宋体" w:hAnsi="宋体" w:cs="宋体"/>
          <w:color w:val="auto"/>
          <w:sz w:val="28"/>
          <w:szCs w:val="28"/>
        </w:rPr>
        <w:t>元</w:t>
      </w:r>
      <w:r>
        <w:rPr>
          <w:rFonts w:ascii="宋体" w:hAnsi="宋体" w:cs="宋体"/>
          <w:color w:val="auto"/>
          <w:sz w:val="28"/>
          <w:szCs w:val="28"/>
        </w:rPr>
        <w:t>/</w:t>
      </w:r>
      <w:r>
        <w:rPr>
          <w:rFonts w:hint="eastAsia" w:ascii="宋体" w:hAnsi="宋体" w:cs="宋体"/>
          <w:color w:val="auto"/>
          <w:sz w:val="28"/>
          <w:szCs w:val="28"/>
        </w:rPr>
        <w:t>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rPr>
        <w:t>10115401040000228</w:t>
      </w:r>
      <w:r>
        <w:rPr>
          <w:rFonts w:hint="eastAsia" w:ascii="宋体" w:hAnsi="宋体" w:cs="宋体"/>
          <w:color w:val="auto"/>
          <w:sz w:val="28"/>
          <w:szCs w:val="28"/>
        </w:rPr>
        <w:t>；开户银行：中国农业银行南京盘城支行。请各投标人务必在转账留言栏备注填写</w:t>
      </w:r>
      <w:r>
        <w:rPr>
          <w:rFonts w:hint="eastAsia" w:ascii="宋体" w:hAnsi="宋体" w:cs="宋体"/>
          <w:b/>
          <w:color w:val="auto"/>
          <w:sz w:val="28"/>
          <w:szCs w:val="28"/>
        </w:rPr>
        <w:t>“BJ</w:t>
      </w:r>
      <w:r>
        <w:rPr>
          <w:rFonts w:ascii="宋体" w:hAnsi="宋体" w:cs="宋体"/>
          <w:b/>
          <w:color w:val="auto"/>
          <w:sz w:val="28"/>
          <w:szCs w:val="28"/>
        </w:rPr>
        <w:t>20200</w:t>
      </w:r>
      <w:r>
        <w:rPr>
          <w:rFonts w:hint="eastAsia" w:ascii="宋体" w:hAnsi="宋体" w:cs="宋体"/>
          <w:b/>
          <w:color w:val="auto"/>
          <w:sz w:val="28"/>
          <w:szCs w:val="28"/>
        </w:rPr>
        <w:t>02资料费”</w:t>
      </w:r>
      <w:r>
        <w:rPr>
          <w:rFonts w:hint="eastAsia" w:ascii="宋体" w:hAnsi="宋体" w:cs="宋体"/>
          <w:color w:val="auto"/>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w:t>
      </w:r>
      <w:r>
        <w:rPr>
          <w:rFonts w:hint="eastAsia" w:ascii="宋体" w:hAnsi="宋体" w:cs="宋体"/>
          <w:b/>
          <w:bCs/>
          <w:color w:val="auto"/>
          <w:sz w:val="28"/>
          <w:szCs w:val="28"/>
        </w:rPr>
        <w:t>我校提供电子普通发票，招标科定期到财务结算中心对账（时间约半个月）。请投标单位在邮件报名时提供单位纳税人识别号，并确保联系人手机号及邮箱状态正常，以便接收电子发票信息。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rPr>
      </w:pPr>
      <w:r>
        <w:rPr>
          <w:rFonts w:ascii="宋体" w:hAnsi="宋体" w:cs="宋体"/>
          <w:color w:val="auto"/>
          <w:sz w:val="28"/>
          <w:szCs w:val="28"/>
        </w:rPr>
        <w:t>5.</w:t>
      </w:r>
      <w:r>
        <w:rPr>
          <w:rFonts w:hint="eastAsia" w:ascii="宋体" w:hAnsi="宋体" w:cs="宋体"/>
          <w:color w:val="auto"/>
          <w:sz w:val="28"/>
          <w:szCs w:val="28"/>
        </w:rPr>
        <w:t>履约保证金（或投标保证金）：</w:t>
      </w:r>
      <w:r>
        <w:rPr>
          <w:rFonts w:hint="eastAsia" w:ascii="宋体" w:hAnsi="宋体" w:cs="宋体"/>
          <w:color w:val="auto"/>
          <w:sz w:val="28"/>
          <w:szCs w:val="28"/>
          <w:u w:val="single"/>
        </w:rPr>
        <w:t>5</w:t>
      </w:r>
      <w:r>
        <w:rPr>
          <w:rFonts w:ascii="宋体" w:hAnsi="宋体" w:cs="宋体"/>
          <w:color w:val="auto"/>
          <w:sz w:val="28"/>
          <w:szCs w:val="28"/>
          <w:u w:val="single"/>
        </w:rPr>
        <w:t>000</w:t>
      </w:r>
      <w:r>
        <w:rPr>
          <w:rFonts w:hint="eastAsia" w:ascii="宋体" w:hAnsi="宋体" w:cs="宋体"/>
          <w:color w:val="auto"/>
          <w:sz w:val="28"/>
          <w:szCs w:val="28"/>
          <w:u w:val="single"/>
        </w:rPr>
        <w:t>元</w:t>
      </w:r>
      <w:r>
        <w:rPr>
          <w:rFonts w:hint="eastAsia" w:ascii="宋体" w:hAnsi="宋体" w:cs="宋体"/>
          <w:color w:val="auto"/>
          <w:sz w:val="28"/>
          <w:szCs w:val="28"/>
        </w:rPr>
        <w:t>整。</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科领取中标通知书后再与采购单位签订供货和服务合同。5</w:t>
      </w:r>
      <w:r>
        <w:rPr>
          <w:rFonts w:ascii="宋体" w:hAnsi="宋体" w:cs="宋体"/>
          <w:color w:val="auto"/>
          <w:sz w:val="28"/>
          <w:szCs w:val="28"/>
        </w:rPr>
        <w:t>000</w:t>
      </w:r>
      <w:r>
        <w:rPr>
          <w:rFonts w:hint="eastAsia" w:ascii="宋体" w:hAnsi="宋体" w:cs="宋体"/>
          <w:color w:val="auto"/>
          <w:sz w:val="28"/>
          <w:szCs w:val="28"/>
        </w:rPr>
        <w:t>元履约保证金交款账号同</w:t>
      </w:r>
      <w:r>
        <w:rPr>
          <w:rFonts w:ascii="宋体" w:hAnsi="宋体" w:cs="宋体"/>
          <w:color w:val="auto"/>
          <w:sz w:val="28"/>
          <w:szCs w:val="28"/>
        </w:rPr>
        <w:t>300</w:t>
      </w:r>
      <w:r>
        <w:rPr>
          <w:rFonts w:hint="eastAsia" w:ascii="宋体" w:hAnsi="宋体" w:cs="宋体"/>
          <w:color w:val="auto"/>
          <w:sz w:val="28"/>
          <w:szCs w:val="28"/>
        </w:rPr>
        <w:t>元资料费。</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3</w:t>
      </w:r>
      <w:r>
        <w:rPr>
          <w:rFonts w:hint="eastAsia" w:ascii="宋体" w:hAnsi="宋体" w:cs="宋体"/>
          <w:color w:val="auto"/>
          <w:sz w:val="28"/>
          <w:szCs w:val="28"/>
        </w:rPr>
        <w:t>）履约保证金交退咨询：财务处结算中心（体育馆北面，南气宾馆东侧的大学生创业中心</w:t>
      </w:r>
      <w:r>
        <w:rPr>
          <w:rFonts w:ascii="宋体" w:hAnsi="宋体" w:cs="宋体"/>
          <w:color w:val="auto"/>
          <w:sz w:val="28"/>
          <w:szCs w:val="28"/>
        </w:rPr>
        <w:t>3</w:t>
      </w:r>
      <w:r>
        <w:rPr>
          <w:rFonts w:hint="eastAsia" w:ascii="宋体" w:hAnsi="宋体" w:cs="宋体"/>
          <w:color w:val="auto"/>
          <w:sz w:val="28"/>
          <w:szCs w:val="28"/>
        </w:rPr>
        <w:t>号楼二楼201）。</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4</w:t>
      </w:r>
      <w:r>
        <w:rPr>
          <w:rFonts w:hint="eastAsia" w:ascii="宋体" w:hAnsi="宋体" w:cs="宋体"/>
          <w:color w:val="auto"/>
          <w:sz w:val="28"/>
          <w:szCs w:val="28"/>
        </w:rPr>
        <w:t>）如中标单位有下列情况之一，不予退还履约保证金，我校将其列入招投标诚信“黑名单”，</w:t>
      </w:r>
      <w:r>
        <w:rPr>
          <w:rFonts w:ascii="宋体" w:hAnsi="宋体" w:cs="宋体"/>
          <w:color w:val="auto"/>
          <w:sz w:val="28"/>
          <w:szCs w:val="28"/>
        </w:rPr>
        <w:t>3</w:t>
      </w:r>
      <w:r>
        <w:rPr>
          <w:rFonts w:hint="eastAsia" w:ascii="宋体" w:hAnsi="宋体" w:cs="宋体"/>
          <w:color w:val="auto"/>
          <w:sz w:val="28"/>
          <w:szCs w:val="28"/>
        </w:rPr>
        <w:t>年内不得到我校从事任何投标活动。</w:t>
      </w:r>
    </w:p>
    <w:p>
      <w:pPr>
        <w:spacing w:line="360" w:lineRule="auto"/>
        <w:ind w:firstLine="548" w:firstLineChars="196"/>
        <w:rPr>
          <w:rFonts w:ascii="宋体" w:cs="宋体"/>
          <w:color w:val="auto"/>
          <w:sz w:val="28"/>
          <w:szCs w:val="28"/>
        </w:rPr>
      </w:pPr>
      <w:r>
        <w:rPr>
          <w:rFonts w:ascii="宋体" w:hAnsi="宋体" w:cs="宋体"/>
          <w:color w:val="auto"/>
          <w:sz w:val="28"/>
          <w:szCs w:val="28"/>
        </w:rPr>
        <w:t>a.</w:t>
      </w:r>
      <w:r>
        <w:rPr>
          <w:rFonts w:hint="eastAsia" w:ascii="宋体" w:hAnsi="宋体" w:cs="宋体"/>
          <w:color w:val="auto"/>
          <w:sz w:val="28"/>
          <w:szCs w:val="28"/>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rPr>
      </w:pPr>
      <w:r>
        <w:rPr>
          <w:rFonts w:ascii="宋体" w:hAnsi="宋体" w:cs="宋体"/>
          <w:color w:val="auto"/>
          <w:sz w:val="28"/>
          <w:szCs w:val="28"/>
        </w:rPr>
        <w:t>b.</w:t>
      </w:r>
      <w:r>
        <w:rPr>
          <w:rFonts w:hint="eastAsia" w:ascii="宋体" w:hAnsi="宋体" w:cs="宋体"/>
          <w:color w:val="auto"/>
          <w:sz w:val="28"/>
          <w:szCs w:val="28"/>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rPr>
      </w:pPr>
      <w:r>
        <w:rPr>
          <w:rFonts w:ascii="宋体" w:hAnsi="宋体" w:cs="宋体"/>
          <w:color w:val="auto"/>
          <w:sz w:val="28"/>
          <w:szCs w:val="28"/>
        </w:rPr>
        <w:t>c.</w:t>
      </w:r>
      <w:r>
        <w:rPr>
          <w:rFonts w:hint="eastAsia" w:ascii="宋体" w:hAnsi="宋体" w:cs="宋体"/>
          <w:color w:val="auto"/>
          <w:sz w:val="28"/>
          <w:szCs w:val="28"/>
        </w:rPr>
        <w:t>出现其他不予退还履约保证金情形的。</w:t>
      </w:r>
    </w:p>
    <w:p>
      <w:pPr>
        <w:spacing w:line="360" w:lineRule="auto"/>
        <w:ind w:firstLine="548" w:firstLineChars="196"/>
        <w:rPr>
          <w:rFonts w:ascii="宋体" w:cs="宋体"/>
          <w:color w:val="auto"/>
          <w:sz w:val="28"/>
          <w:szCs w:val="28"/>
        </w:rPr>
      </w:pPr>
      <w:r>
        <w:rPr>
          <w:rFonts w:ascii="宋体" w:hAnsi="宋体" w:cs="宋体"/>
          <w:color w:val="auto"/>
          <w:sz w:val="28"/>
          <w:szCs w:val="28"/>
        </w:rPr>
        <w:t>6.</w:t>
      </w:r>
      <w:r>
        <w:rPr>
          <w:rFonts w:hint="eastAsia" w:ascii="宋体" w:hAnsi="宋体" w:cs="宋体"/>
          <w:color w:val="auto"/>
          <w:sz w:val="28"/>
          <w:szCs w:val="28"/>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rPr>
      </w:pPr>
      <w:r>
        <w:rPr>
          <w:rFonts w:ascii="宋体" w:hAnsi="宋体" w:cs="宋体"/>
          <w:color w:val="auto"/>
          <w:sz w:val="28"/>
          <w:szCs w:val="28"/>
        </w:rPr>
        <w:t>7.</w:t>
      </w:r>
      <w:r>
        <w:rPr>
          <w:rFonts w:hint="eastAsia" w:ascii="宋体" w:hAnsi="宋体" w:cs="宋体"/>
          <w:color w:val="auto"/>
          <w:sz w:val="28"/>
          <w:szCs w:val="28"/>
        </w:rPr>
        <w:t>质保：参照附件4服务要求</w:t>
      </w:r>
    </w:p>
    <w:p>
      <w:pPr>
        <w:spacing w:before="312" w:beforeLines="100" w:after="312" w:afterLines="100" w:line="360" w:lineRule="auto"/>
        <w:jc w:val="center"/>
        <w:rPr>
          <w:rFonts w:ascii="黑体" w:hAnsi="黑体" w:eastAsia="黑体"/>
          <w:color w:val="auto"/>
          <w:sz w:val="28"/>
          <w:szCs w:val="28"/>
        </w:rPr>
      </w:pPr>
      <w:bookmarkStart w:id="6" w:name="_Hlk9866833"/>
      <w:r>
        <w:rPr>
          <w:rFonts w:hint="eastAsia" w:ascii="黑体" w:hAnsi="黑体" w:eastAsia="黑体"/>
          <w:color w:val="auto"/>
          <w:sz w:val="28"/>
          <w:szCs w:val="28"/>
        </w:rPr>
        <w:t>八、日程安排和联系方式</w:t>
      </w:r>
    </w:p>
    <w:p>
      <w:pPr>
        <w:spacing w:line="360" w:lineRule="auto"/>
        <w:ind w:firstLine="560" w:firstLineChars="200"/>
        <w:rPr>
          <w:rFonts w:ascii="宋体"/>
          <w:color w:val="auto"/>
          <w:sz w:val="28"/>
          <w:szCs w:val="28"/>
        </w:rPr>
      </w:pPr>
      <w:r>
        <w:rPr>
          <w:rFonts w:ascii="宋体" w:hAnsi="宋体"/>
          <w:color w:val="auto"/>
          <w:sz w:val="28"/>
          <w:szCs w:val="28"/>
        </w:rPr>
        <w:t>1.</w:t>
      </w:r>
      <w:r>
        <w:rPr>
          <w:rFonts w:hint="eastAsia" w:ascii="宋体" w:hAnsi="宋体"/>
          <w:color w:val="auto"/>
          <w:sz w:val="28"/>
          <w:szCs w:val="28"/>
        </w:rPr>
        <w:t>报名时间：招标信息发布后。</w:t>
      </w:r>
    </w:p>
    <w:p>
      <w:pPr>
        <w:spacing w:line="360" w:lineRule="auto"/>
        <w:ind w:firstLine="560" w:firstLineChars="200"/>
        <w:rPr>
          <w:rFonts w:ascii="宋体" w:cs="宋体"/>
          <w:color w:val="auto"/>
          <w:sz w:val="28"/>
          <w:szCs w:val="28"/>
        </w:rPr>
      </w:pPr>
      <w:r>
        <w:rPr>
          <w:rFonts w:ascii="宋体" w:hAnsi="宋体"/>
          <w:color w:val="auto"/>
          <w:sz w:val="28"/>
          <w:szCs w:val="28"/>
        </w:rPr>
        <w:t>2.</w:t>
      </w:r>
      <w:r>
        <w:rPr>
          <w:rFonts w:hint="eastAsia" w:ascii="宋体" w:hAnsi="宋体"/>
          <w:color w:val="auto"/>
          <w:sz w:val="28"/>
          <w:szCs w:val="28"/>
        </w:rPr>
        <w:t>领取招标文件：</w:t>
      </w:r>
      <w:r>
        <w:rPr>
          <w:rFonts w:hint="eastAsia" w:ascii="宋体" w:hAnsi="宋体"/>
          <w:color w:val="auto"/>
          <w:sz w:val="28"/>
          <w:szCs w:val="28"/>
          <w:u w:val="single"/>
        </w:rPr>
        <w:t>自行下载</w:t>
      </w:r>
      <w:r>
        <w:rPr>
          <w:rFonts w:hint="eastAsia" w:ascii="宋体" w:hAnsi="宋体" w:cs="宋体"/>
          <w:color w:val="auto"/>
          <w:kern w:val="0"/>
          <w:sz w:val="28"/>
          <w:szCs w:val="28"/>
        </w:rPr>
        <w:t>。</w:t>
      </w:r>
    </w:p>
    <w:p>
      <w:pPr>
        <w:spacing w:line="360" w:lineRule="auto"/>
        <w:ind w:firstLine="560" w:firstLineChars="200"/>
        <w:rPr>
          <w:rFonts w:ascii="宋体"/>
          <w:color w:val="auto"/>
          <w:sz w:val="28"/>
          <w:szCs w:val="28"/>
        </w:rPr>
      </w:pPr>
      <w:r>
        <w:rPr>
          <w:rFonts w:ascii="宋体" w:hAnsi="宋体"/>
          <w:color w:val="auto"/>
          <w:sz w:val="28"/>
          <w:szCs w:val="28"/>
        </w:rPr>
        <w:t>3.</w:t>
      </w:r>
      <w:r>
        <w:rPr>
          <w:rFonts w:hint="eastAsia" w:ascii="宋体" w:hAnsi="宋体"/>
          <w:color w:val="auto"/>
          <w:sz w:val="28"/>
          <w:szCs w:val="28"/>
        </w:rPr>
        <w:t xml:space="preserve">答疑时间：          </w:t>
      </w:r>
    </w:p>
    <w:p>
      <w:pPr>
        <w:spacing w:line="360" w:lineRule="auto"/>
        <w:rPr>
          <w:rFonts w:ascii="宋体"/>
          <w:color w:val="auto"/>
          <w:sz w:val="28"/>
          <w:szCs w:val="28"/>
        </w:rPr>
      </w:pPr>
      <w:r>
        <w:rPr>
          <w:rFonts w:hint="eastAsia" w:ascii="宋体" w:hAnsi="宋体"/>
          <w:color w:val="auto"/>
          <w:sz w:val="28"/>
          <w:szCs w:val="28"/>
        </w:rPr>
        <w:t>（</w:t>
      </w:r>
      <w:r>
        <w:rPr>
          <w:rFonts w:ascii="宋体" w:hAnsi="宋体"/>
          <w:color w:val="auto"/>
          <w:sz w:val="28"/>
          <w:szCs w:val="28"/>
        </w:rPr>
        <w:t>1</w:t>
      </w:r>
      <w:r>
        <w:rPr>
          <w:rFonts w:hint="eastAsia" w:ascii="宋体" w:hAnsi="宋体"/>
          <w:color w:val="auto"/>
          <w:sz w:val="28"/>
          <w:szCs w:val="28"/>
        </w:rPr>
        <w:t>）投标人如有疑问，请在</w:t>
      </w:r>
      <w:r>
        <w:rPr>
          <w:rFonts w:ascii="宋体" w:hAnsi="宋体"/>
          <w:b/>
          <w:color w:val="auto"/>
          <w:sz w:val="28"/>
          <w:szCs w:val="28"/>
          <w:u w:val="single"/>
        </w:rPr>
        <w:t>2020</w:t>
      </w:r>
      <w:r>
        <w:rPr>
          <w:rFonts w:hint="eastAsia" w:ascii="宋体" w:hAnsi="宋体"/>
          <w:b/>
          <w:color w:val="auto"/>
          <w:sz w:val="28"/>
          <w:szCs w:val="28"/>
          <w:u w:val="single"/>
        </w:rPr>
        <w:t>年06月</w:t>
      </w:r>
      <w:r>
        <w:rPr>
          <w:rFonts w:hint="eastAsia" w:ascii="宋体" w:hAnsi="宋体"/>
          <w:b/>
          <w:color w:val="auto"/>
          <w:sz w:val="28"/>
          <w:szCs w:val="28"/>
          <w:u w:val="single"/>
          <w:lang w:val="en-US" w:eastAsia="zh-CN"/>
        </w:rPr>
        <w:t>24</w:t>
      </w:r>
      <w:r>
        <w:rPr>
          <w:rFonts w:hint="eastAsia" w:ascii="宋体" w:hAnsi="宋体"/>
          <w:b/>
          <w:color w:val="auto"/>
          <w:sz w:val="28"/>
          <w:szCs w:val="28"/>
          <w:u w:val="single"/>
        </w:rPr>
        <w:t>日</w:t>
      </w:r>
      <w:r>
        <w:rPr>
          <w:rFonts w:ascii="宋体" w:hAnsi="宋体"/>
          <w:b/>
          <w:color w:val="auto"/>
          <w:sz w:val="28"/>
          <w:szCs w:val="28"/>
          <w:u w:val="single"/>
        </w:rPr>
        <w:t>11</w:t>
      </w:r>
      <w:r>
        <w:rPr>
          <w:rFonts w:hint="eastAsia" w:ascii="宋体" w:hAnsi="宋体"/>
          <w:b/>
          <w:color w:val="auto"/>
          <w:sz w:val="28"/>
          <w:szCs w:val="28"/>
          <w:u w:val="single"/>
        </w:rPr>
        <w:t>：</w:t>
      </w:r>
      <w:r>
        <w:rPr>
          <w:rFonts w:ascii="宋体" w:hAnsi="宋体"/>
          <w:b/>
          <w:color w:val="auto"/>
          <w:sz w:val="28"/>
          <w:szCs w:val="28"/>
          <w:u w:val="single"/>
        </w:rPr>
        <w:t>3</w:t>
      </w:r>
      <w:r>
        <w:rPr>
          <w:color w:val="auto"/>
        </w:rPr>
        <w:fldChar w:fldCharType="begin"/>
      </w:r>
      <w:r>
        <w:rPr>
          <w:color w:val="auto"/>
        </w:rPr>
        <w:instrText xml:space="preserve"> HYPERLINK "mailto:30前将问题一律以word格式或txt格式发至89523765@qq.com" </w:instrText>
      </w:r>
      <w:r>
        <w:rPr>
          <w:color w:val="auto"/>
        </w:rPr>
        <w:fldChar w:fldCharType="separate"/>
      </w:r>
      <w:r>
        <w:rPr>
          <w:rFonts w:ascii="宋体"/>
          <w:b/>
          <w:color w:val="auto"/>
          <w:sz w:val="28"/>
          <w:szCs w:val="28"/>
          <w:u w:val="single"/>
        </w:rPr>
        <w:t>0</w:t>
      </w:r>
      <w:r>
        <w:rPr>
          <w:rFonts w:hint="eastAsia" w:ascii="宋体" w:hAnsi="宋体"/>
          <w:color w:val="auto"/>
          <w:sz w:val="28"/>
          <w:szCs w:val="28"/>
        </w:rPr>
        <w:t>前将问题以</w:t>
      </w:r>
      <w:r>
        <w:rPr>
          <w:rFonts w:ascii="宋体" w:hAnsi="宋体"/>
          <w:color w:val="auto"/>
          <w:sz w:val="28"/>
          <w:szCs w:val="28"/>
        </w:rPr>
        <w:t>word</w:t>
      </w:r>
      <w:r>
        <w:rPr>
          <w:rFonts w:hint="eastAsia" w:ascii="宋体" w:hAnsi="宋体"/>
          <w:color w:val="auto"/>
          <w:sz w:val="28"/>
          <w:szCs w:val="28"/>
        </w:rPr>
        <w:t>格式或</w:t>
      </w:r>
      <w:r>
        <w:rPr>
          <w:rFonts w:ascii="宋体" w:hAnsi="宋体"/>
          <w:color w:val="auto"/>
          <w:sz w:val="28"/>
          <w:szCs w:val="28"/>
        </w:rPr>
        <w:t>txt</w:t>
      </w:r>
      <w:r>
        <w:rPr>
          <w:rFonts w:hint="eastAsia" w:ascii="宋体" w:hAnsi="宋体"/>
          <w:color w:val="auto"/>
          <w:sz w:val="28"/>
          <w:szCs w:val="28"/>
        </w:rPr>
        <w:t>格式发至</w:t>
      </w:r>
      <w:r>
        <w:rPr>
          <w:rFonts w:ascii="宋体" w:hAnsi="宋体"/>
          <w:color w:val="auto"/>
          <w:sz w:val="28"/>
          <w:szCs w:val="28"/>
        </w:rPr>
        <w:t>2483567991@qq.com</w:t>
      </w:r>
      <w:r>
        <w:rPr>
          <w:rFonts w:ascii="宋体" w:hAnsi="宋体"/>
          <w:color w:val="auto"/>
          <w:sz w:val="28"/>
          <w:szCs w:val="28"/>
        </w:rPr>
        <w:fldChar w:fldCharType="end"/>
      </w:r>
      <w:r>
        <w:rPr>
          <w:rFonts w:hint="eastAsia" w:ascii="宋体" w:hAnsi="宋体"/>
          <w:color w:val="auto"/>
          <w:sz w:val="28"/>
          <w:szCs w:val="28"/>
        </w:rPr>
        <w:t>（质疑函请勿以</w:t>
      </w:r>
      <w:r>
        <w:rPr>
          <w:rFonts w:ascii="宋体" w:hAnsi="宋体"/>
          <w:color w:val="auto"/>
          <w:sz w:val="28"/>
          <w:szCs w:val="28"/>
        </w:rPr>
        <w:t>JPG</w:t>
      </w:r>
      <w:r>
        <w:rPr>
          <w:rFonts w:hint="eastAsia" w:ascii="宋体" w:hAnsi="宋体"/>
          <w:color w:val="auto"/>
          <w:sz w:val="28"/>
          <w:szCs w:val="28"/>
        </w:rPr>
        <w:t>或</w:t>
      </w:r>
      <w:r>
        <w:rPr>
          <w:rFonts w:ascii="宋体" w:hAnsi="宋体"/>
          <w:color w:val="auto"/>
          <w:sz w:val="28"/>
          <w:szCs w:val="28"/>
        </w:rPr>
        <w:t>PDF</w:t>
      </w:r>
      <w:r>
        <w:rPr>
          <w:rFonts w:hint="eastAsia" w:ascii="宋体" w:hAnsi="宋体"/>
          <w:color w:val="auto"/>
          <w:sz w:val="28"/>
          <w:szCs w:val="28"/>
        </w:rPr>
        <w:t>格式，对</w:t>
      </w:r>
      <w:r>
        <w:rPr>
          <w:rFonts w:ascii="宋体" w:hAnsi="宋体"/>
          <w:color w:val="auto"/>
          <w:sz w:val="28"/>
          <w:szCs w:val="28"/>
        </w:rPr>
        <w:t>JPG</w:t>
      </w:r>
      <w:r>
        <w:rPr>
          <w:rFonts w:hint="eastAsia" w:ascii="宋体" w:hAnsi="宋体"/>
          <w:color w:val="auto"/>
          <w:sz w:val="28"/>
          <w:szCs w:val="28"/>
        </w:rPr>
        <w:t>和</w:t>
      </w:r>
      <w:r>
        <w:rPr>
          <w:rFonts w:ascii="宋体" w:hAnsi="宋体"/>
          <w:color w:val="auto"/>
          <w:sz w:val="28"/>
          <w:szCs w:val="28"/>
        </w:rPr>
        <w:t>PDF</w:t>
      </w:r>
      <w:r>
        <w:rPr>
          <w:rFonts w:hint="eastAsia" w:ascii="宋体" w:hAnsi="宋体"/>
          <w:color w:val="auto"/>
          <w:sz w:val="28"/>
          <w:szCs w:val="28"/>
        </w:rPr>
        <w:t>格式的附件一律删除，不予采纳，敬请谅解）。</w:t>
      </w:r>
    </w:p>
    <w:p>
      <w:pPr>
        <w:spacing w:line="360" w:lineRule="auto"/>
        <w:rPr>
          <w:rFonts w:ascii="宋体"/>
          <w:color w:val="auto"/>
          <w:sz w:val="28"/>
          <w:szCs w:val="28"/>
        </w:rPr>
      </w:pPr>
      <w:r>
        <w:rPr>
          <w:rFonts w:hint="eastAsia" w:ascii="宋体" w:hAnsi="宋体"/>
          <w:color w:val="auto"/>
          <w:sz w:val="28"/>
          <w:szCs w:val="28"/>
        </w:rPr>
        <w:t>（</w:t>
      </w:r>
      <w:r>
        <w:rPr>
          <w:rFonts w:ascii="宋体" w:hAnsi="宋体"/>
          <w:color w:val="auto"/>
          <w:sz w:val="28"/>
          <w:szCs w:val="28"/>
        </w:rPr>
        <w:t>2</w:t>
      </w:r>
      <w:r>
        <w:rPr>
          <w:rFonts w:hint="eastAsia" w:ascii="宋体" w:hAnsi="宋体"/>
          <w:color w:val="auto"/>
          <w:sz w:val="28"/>
          <w:szCs w:val="28"/>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color w:val="auto"/>
          <w:sz w:val="28"/>
          <w:szCs w:val="28"/>
        </w:rPr>
      </w:pPr>
      <w:r>
        <w:rPr>
          <w:rFonts w:hint="eastAsia" w:ascii="宋体" w:hAnsi="宋体"/>
          <w:color w:val="auto"/>
          <w:sz w:val="28"/>
          <w:szCs w:val="28"/>
        </w:rPr>
        <w:t>4.投标文件</w:t>
      </w:r>
    </w:p>
    <w:p>
      <w:pPr>
        <w:widowControl/>
        <w:spacing w:line="360" w:lineRule="auto"/>
        <w:ind w:firstLine="560" w:firstLineChars="200"/>
        <w:rPr>
          <w:rFonts w:ascii="宋体" w:hAnsi="宋体"/>
          <w:color w:val="auto"/>
          <w:sz w:val="28"/>
          <w:szCs w:val="28"/>
        </w:rPr>
      </w:pPr>
      <w:r>
        <w:rPr>
          <w:rFonts w:hint="eastAsia" w:ascii="宋体" w:hAnsi="宋体"/>
          <w:color w:val="auto"/>
          <w:sz w:val="28"/>
          <w:szCs w:val="28"/>
        </w:rPr>
        <w:t>（1）投标送达方式：</w:t>
      </w:r>
      <w:r>
        <w:rPr>
          <w:rFonts w:hint="eastAsia" w:ascii="宋体" w:hAnsi="宋体"/>
          <w:b/>
          <w:color w:val="auto"/>
          <w:sz w:val="28"/>
          <w:szCs w:val="28"/>
        </w:rPr>
        <w:t>只接受以邮寄方式送达，并请务必用顺丰快递</w:t>
      </w:r>
      <w:r>
        <w:rPr>
          <w:rFonts w:hint="eastAsia" w:ascii="宋体" w:hAnsi="宋体"/>
          <w:color w:val="auto"/>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rPr>
        <w:t>（2）投标截止时间：2020年</w:t>
      </w:r>
      <w:r>
        <w:rPr>
          <w:rFonts w:hint="eastAsia" w:ascii="宋体" w:hAnsi="宋体"/>
          <w:color w:val="auto"/>
          <w:sz w:val="28"/>
          <w:szCs w:val="28"/>
          <w:lang w:val="en-US" w:eastAsia="zh-CN"/>
        </w:rPr>
        <w:t>07</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08</w:t>
      </w:r>
      <w:r>
        <w:rPr>
          <w:rFonts w:hint="eastAsia" w:ascii="宋体" w:hAnsi="宋体"/>
          <w:color w:val="auto"/>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（3）邮寄送达地点：</w:t>
      </w:r>
      <w:r>
        <w:rPr>
          <w:rFonts w:hint="eastAsia" w:ascii="宋体" w:hAnsi="宋体" w:cs="宋体"/>
          <w:color w:val="auto"/>
          <w:kern w:val="0"/>
          <w:sz w:val="28"/>
          <w:szCs w:val="28"/>
        </w:rPr>
        <w:t>南京市浦口区宁六路219号</w:t>
      </w:r>
      <w:r>
        <w:rPr>
          <w:rFonts w:ascii="宋体" w:hAnsi="宋体" w:cs="宋体"/>
          <w:color w:val="auto"/>
          <w:kern w:val="0"/>
          <w:sz w:val="28"/>
          <w:szCs w:val="28"/>
        </w:rPr>
        <w:t>南京信息工程大学</w:t>
      </w:r>
      <w:r>
        <w:rPr>
          <w:rFonts w:hint="eastAsia" w:ascii="宋体" w:hAnsi="宋体"/>
          <w:color w:val="auto"/>
          <w:sz w:val="28"/>
          <w:szCs w:val="28"/>
        </w:rPr>
        <w:t>东苑大学生创业中心3号楼（体育馆北面三层小楼）210室</w:t>
      </w:r>
      <w:r>
        <w:rPr>
          <w:rFonts w:hint="eastAsia" w:ascii="宋体" w:hAnsi="宋体" w:cs="宋体"/>
          <w:color w:val="auto"/>
          <w:kern w:val="0"/>
          <w:sz w:val="28"/>
          <w:szCs w:val="28"/>
        </w:rPr>
        <w:t>财务处招标科。联系人：马老师、罗老师、方老师；联系电话：025-58731441。</w:t>
      </w:r>
    </w:p>
    <w:p>
      <w:pPr>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5.开标、唱标和评标</w:t>
      </w:r>
    </w:p>
    <w:p>
      <w:pPr>
        <w:widowControl/>
        <w:spacing w:line="360" w:lineRule="auto"/>
        <w:ind w:firstLine="560" w:firstLineChars="200"/>
        <w:rPr>
          <w:rFonts w:ascii="宋体" w:hAnsi="宋体"/>
          <w:color w:val="auto"/>
          <w:sz w:val="28"/>
          <w:szCs w:val="28"/>
        </w:rPr>
      </w:pPr>
      <w:r>
        <w:rPr>
          <w:rFonts w:hint="eastAsia" w:ascii="宋体" w:hAnsi="宋体"/>
          <w:color w:val="auto"/>
          <w:sz w:val="28"/>
          <w:szCs w:val="28"/>
        </w:rPr>
        <w:t>（1）开标、唱标：2020年</w:t>
      </w:r>
      <w:r>
        <w:rPr>
          <w:rFonts w:hint="eastAsia" w:ascii="宋体" w:hAnsi="宋体"/>
          <w:color w:val="auto"/>
          <w:sz w:val="28"/>
          <w:szCs w:val="28"/>
          <w:lang w:val="en-US" w:eastAsia="zh-CN"/>
        </w:rPr>
        <w:t>07</w:t>
      </w:r>
      <w:r>
        <w:rPr>
          <w:rFonts w:hint="eastAsia" w:ascii="宋体" w:hAnsi="宋体"/>
          <w:color w:val="auto"/>
          <w:sz w:val="28"/>
          <w:szCs w:val="28"/>
        </w:rPr>
        <w:t>月</w:t>
      </w:r>
      <w:r>
        <w:rPr>
          <w:rFonts w:hint="eastAsia" w:ascii="宋体" w:hAnsi="宋体"/>
          <w:color w:val="auto"/>
          <w:sz w:val="28"/>
          <w:szCs w:val="28"/>
          <w:lang w:val="en-US" w:eastAsia="zh-CN"/>
        </w:rPr>
        <w:t>08</w:t>
      </w:r>
      <w:bookmarkStart w:id="11" w:name="_GoBack"/>
      <w:bookmarkEnd w:id="11"/>
      <w:r>
        <w:rPr>
          <w:rFonts w:hint="eastAsia" w:ascii="宋体" w:hAnsi="宋体"/>
          <w:color w:val="auto"/>
          <w:sz w:val="28"/>
          <w:szCs w:val="28"/>
        </w:rPr>
        <w:t>日09：00；(不安排公开开标、唱标，由财务处招标科工作人员在我校纪检监察部门监督见证下进行，开标、唱标工作全程视频监控并录像)。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（2）唱标和开标地点：南京信息工程大学东苑大学生创业中心</w:t>
      </w:r>
      <w:r>
        <w:rPr>
          <w:rFonts w:ascii="宋体" w:hAnsi="宋体"/>
          <w:color w:val="auto"/>
          <w:sz w:val="28"/>
          <w:szCs w:val="28"/>
        </w:rPr>
        <w:t>3</w:t>
      </w:r>
      <w:r>
        <w:rPr>
          <w:rFonts w:hint="eastAsia" w:ascii="宋体" w:hAnsi="宋体"/>
          <w:color w:val="auto"/>
          <w:sz w:val="28"/>
          <w:szCs w:val="28"/>
        </w:rPr>
        <w:t>号楼（体育馆北面三层小楼）</w:t>
      </w:r>
      <w:r>
        <w:rPr>
          <w:rFonts w:ascii="宋体" w:hAnsi="宋体"/>
          <w:color w:val="auto"/>
          <w:sz w:val="28"/>
          <w:szCs w:val="28"/>
        </w:rPr>
        <w:t>210</w:t>
      </w:r>
      <w:r>
        <w:rPr>
          <w:rFonts w:hint="eastAsia" w:ascii="宋体" w:hAnsi="宋体"/>
          <w:color w:val="auto"/>
          <w:sz w:val="28"/>
          <w:szCs w:val="28"/>
        </w:rPr>
        <w:t>室。</w:t>
      </w:r>
    </w:p>
    <w:p>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6.相关单位联系人及电话</w:t>
      </w:r>
    </w:p>
    <w:p>
      <w:pPr>
        <w:snapToGrid w:val="0"/>
        <w:spacing w:line="360" w:lineRule="auto"/>
        <w:ind w:firstLine="425" w:firstLineChars="152"/>
        <w:rPr>
          <w:rFonts w:ascii="宋体"/>
          <w:color w:val="auto"/>
          <w:sz w:val="28"/>
          <w:szCs w:val="28"/>
        </w:rPr>
      </w:pPr>
      <w:r>
        <w:rPr>
          <w:rFonts w:hint="eastAsia" w:ascii="宋体" w:hAnsi="宋体"/>
          <w:color w:val="auto"/>
          <w:sz w:val="28"/>
          <w:szCs w:val="28"/>
        </w:rPr>
        <w:t>（</w:t>
      </w:r>
      <w:r>
        <w:rPr>
          <w:rFonts w:ascii="宋体" w:hAnsi="宋体"/>
          <w:color w:val="auto"/>
          <w:sz w:val="28"/>
          <w:szCs w:val="28"/>
        </w:rPr>
        <w:t>1</w:t>
      </w:r>
      <w:r>
        <w:rPr>
          <w:rFonts w:hint="eastAsia" w:ascii="宋体" w:hAnsi="宋体"/>
          <w:color w:val="auto"/>
          <w:sz w:val="28"/>
          <w:szCs w:val="28"/>
        </w:rPr>
        <w:t>）财务处招标科（招投标管理业务单位）：联系电话：</w:t>
      </w:r>
      <w:r>
        <w:rPr>
          <w:rFonts w:ascii="宋体" w:hAnsi="宋体"/>
          <w:color w:val="auto"/>
          <w:sz w:val="28"/>
          <w:szCs w:val="28"/>
        </w:rPr>
        <w:t>025-58731441</w:t>
      </w:r>
      <w:r>
        <w:rPr>
          <w:rFonts w:hint="eastAsia" w:ascii="宋体" w:hAnsi="宋体"/>
          <w:color w:val="auto"/>
          <w:sz w:val="28"/>
          <w:szCs w:val="28"/>
        </w:rPr>
        <w:t>，联系人：马老师、罗老师、方老师；</w:t>
      </w:r>
    </w:p>
    <w:p>
      <w:pPr>
        <w:snapToGrid w:val="0"/>
        <w:spacing w:line="360" w:lineRule="auto"/>
        <w:ind w:firstLine="425" w:firstLineChars="152"/>
        <w:rPr>
          <w:rFonts w:ascii="宋体" w:hAnsi="宋体"/>
          <w:color w:val="auto"/>
          <w:sz w:val="28"/>
          <w:szCs w:val="28"/>
        </w:rPr>
      </w:pPr>
      <w:r>
        <w:rPr>
          <w:rFonts w:hint="eastAsia" w:ascii="宋体" w:hAnsi="宋体"/>
          <w:color w:val="auto"/>
          <w:sz w:val="28"/>
          <w:szCs w:val="28"/>
        </w:rPr>
        <w:t>（2）</w:t>
      </w:r>
      <w:bookmarkEnd w:id="6"/>
      <w:r>
        <w:rPr>
          <w:rFonts w:hint="eastAsia" w:ascii="宋体" w:hAnsi="宋体"/>
          <w:color w:val="auto"/>
          <w:sz w:val="28"/>
          <w:szCs w:val="28"/>
        </w:rPr>
        <w:t>用户单位联系电话：0510-80560170，联系人：陈老师。</w:t>
      </w:r>
    </w:p>
    <w:p>
      <w:pPr>
        <w:pStyle w:val="2"/>
        <w:ind w:left="0" w:leftChars="0" w:right="0" w:rightChars="0"/>
        <w:rPr>
          <w:rFonts w:ascii="宋体" w:hAnsi="宋体"/>
          <w:color w:val="auto"/>
          <w:sz w:val="28"/>
          <w:szCs w:val="28"/>
        </w:rPr>
      </w:pPr>
    </w:p>
    <w:p>
      <w:pPr>
        <w:tabs>
          <w:tab w:val="left" w:pos="1260"/>
        </w:tabs>
        <w:spacing w:line="360" w:lineRule="auto"/>
        <w:ind w:left="1959" w:leftChars="933" w:firstLine="2530" w:firstLineChars="900"/>
        <w:rPr>
          <w:rFonts w:ascii="宋体"/>
          <w:b/>
          <w:color w:val="auto"/>
          <w:sz w:val="28"/>
          <w:szCs w:val="28"/>
        </w:rPr>
      </w:pPr>
      <w:bookmarkStart w:id="8" w:name="_Hlk9866962"/>
      <w:r>
        <w:rPr>
          <w:rFonts w:hint="eastAsia" w:ascii="宋体" w:hAnsi="宋体"/>
          <w:b/>
          <w:color w:val="auto"/>
          <w:sz w:val="28"/>
          <w:szCs w:val="28"/>
        </w:rPr>
        <w:t>南京信息工程大学财务处</w:t>
      </w:r>
    </w:p>
    <w:p>
      <w:pPr>
        <w:pStyle w:val="10"/>
        <w:spacing w:line="360" w:lineRule="auto"/>
        <w:ind w:left="99" w:leftChars="47" w:firstLine="4919" w:firstLineChars="1750"/>
        <w:rPr>
          <w:rStyle w:val="39"/>
          <w:rFonts w:ascii="宋体" w:hAnsi="Times New Roman" w:eastAsia="宋体"/>
          <w:color w:val="auto"/>
          <w:sz w:val="28"/>
          <w:szCs w:val="28"/>
        </w:rPr>
      </w:pPr>
      <w:r>
        <w:rPr>
          <w:rStyle w:val="39"/>
          <w:rFonts w:ascii="宋体" w:hAnsi="宋体" w:eastAsia="宋体"/>
          <w:color w:val="auto"/>
          <w:sz w:val="28"/>
          <w:szCs w:val="28"/>
        </w:rPr>
        <w:t>20</w:t>
      </w:r>
      <w:r>
        <w:rPr>
          <w:rStyle w:val="39"/>
          <w:rFonts w:hint="eastAsia" w:ascii="宋体" w:hAnsi="宋体" w:eastAsia="宋体"/>
          <w:color w:val="auto"/>
          <w:sz w:val="28"/>
          <w:szCs w:val="28"/>
        </w:rPr>
        <w:t>20年0</w:t>
      </w:r>
      <w:r>
        <w:rPr>
          <w:rStyle w:val="39"/>
          <w:rFonts w:hint="eastAsia" w:ascii="宋体" w:hAnsi="宋体"/>
          <w:color w:val="auto"/>
          <w:sz w:val="28"/>
          <w:szCs w:val="28"/>
        </w:rPr>
        <w:t>6</w:t>
      </w:r>
      <w:r>
        <w:rPr>
          <w:rStyle w:val="39"/>
          <w:rFonts w:hint="eastAsia" w:ascii="宋体" w:hAnsi="宋体" w:eastAsia="宋体"/>
          <w:color w:val="auto"/>
          <w:sz w:val="28"/>
          <w:szCs w:val="28"/>
        </w:rPr>
        <w:t>月</w:t>
      </w:r>
      <w:r>
        <w:rPr>
          <w:rStyle w:val="39"/>
          <w:rFonts w:hint="eastAsia" w:ascii="宋体" w:hAnsi="宋体"/>
          <w:color w:val="auto"/>
          <w:sz w:val="28"/>
          <w:szCs w:val="28"/>
          <w:lang w:val="en-US"/>
        </w:rPr>
        <w:t>18</w:t>
      </w:r>
      <w:r>
        <w:rPr>
          <w:rStyle w:val="39"/>
          <w:rFonts w:hint="eastAsia" w:ascii="宋体" w:hAnsi="宋体" w:eastAsia="宋体"/>
          <w:color w:val="auto"/>
          <w:sz w:val="28"/>
          <w:szCs w:val="28"/>
        </w:rPr>
        <w:t>日</w:t>
      </w:r>
    </w:p>
    <w:bookmarkEnd w:id="8"/>
    <w:p>
      <w:pPr>
        <w:pStyle w:val="9"/>
        <w:adjustRightInd w:val="0"/>
        <w:snapToGrid w:val="0"/>
        <w:spacing w:before="120" w:after="120" w:line="360" w:lineRule="auto"/>
        <w:rPr>
          <w:rFonts w:ascii="Times New Roman" w:hAnsi="Times New Roman"/>
          <w:color w:val="auto"/>
          <w:sz w:val="24"/>
          <w:szCs w:val="24"/>
        </w:rPr>
      </w:pPr>
      <w:r>
        <w:rPr>
          <w:rStyle w:val="39"/>
          <w:rFonts w:ascii="宋体" w:hAnsi="Times New Roman" w:eastAsia="宋体"/>
          <w:b w:val="0"/>
          <w:color w:val="auto"/>
          <w:sz w:val="28"/>
          <w:szCs w:val="28"/>
        </w:rPr>
        <w:br w:type="page"/>
      </w:r>
      <w:bookmarkStart w:id="9" w:name="_Toc462564147"/>
      <w:r>
        <w:rPr>
          <w:rFonts w:ascii="Times New Roman" w:hAnsi="Times New Roman"/>
          <w:color w:val="auto"/>
          <w:sz w:val="24"/>
          <w:szCs w:val="24"/>
        </w:rPr>
        <w:t>附件1：</w:t>
      </w:r>
    </w:p>
    <w:p>
      <w:pPr>
        <w:spacing w:line="360" w:lineRule="auto"/>
        <w:ind w:left="180"/>
        <w:jc w:val="center"/>
        <w:rPr>
          <w:b/>
          <w:color w:val="auto"/>
          <w:sz w:val="28"/>
          <w:szCs w:val="28"/>
        </w:rPr>
      </w:pPr>
      <w:r>
        <w:rPr>
          <w:b/>
          <w:color w:val="auto"/>
          <w:sz w:val="28"/>
          <w:szCs w:val="28"/>
        </w:rPr>
        <w:t>招标项目设备名称、数量、主要技术要求及其他要求</w:t>
      </w:r>
    </w:p>
    <w:p>
      <w:pPr>
        <w:spacing w:before="156" w:beforeLines="50"/>
        <w:rPr>
          <w:b/>
          <w:color w:val="auto"/>
        </w:rPr>
      </w:pPr>
    </w:p>
    <w:p>
      <w:pPr>
        <w:widowControl/>
        <w:jc w:val="left"/>
        <w:rPr>
          <w:color w:val="auto"/>
        </w:rPr>
      </w:pPr>
    </w:p>
    <w:tbl>
      <w:tblPr>
        <w:tblStyle w:val="16"/>
        <w:tblW w:w="10464" w:type="dxa"/>
        <w:jc w:val="center"/>
        <w:tblLayout w:type="fixed"/>
        <w:tblCellMar>
          <w:top w:w="0" w:type="dxa"/>
          <w:left w:w="0" w:type="dxa"/>
          <w:bottom w:w="0" w:type="dxa"/>
          <w:right w:w="0" w:type="dxa"/>
        </w:tblCellMar>
      </w:tblPr>
      <w:tblGrid>
        <w:gridCol w:w="557"/>
        <w:gridCol w:w="883"/>
        <w:gridCol w:w="7567"/>
        <w:gridCol w:w="677"/>
        <w:gridCol w:w="780"/>
      </w:tblGrid>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9" w:type="dxa"/>
              <w:left w:w="9" w:type="dxa"/>
              <w:right w:w="9" w:type="dxa"/>
            </w:tcMar>
            <w:vAlign w:val="center"/>
          </w:tcPr>
          <w:p>
            <w:pPr>
              <w:widowControl/>
              <w:jc w:val="center"/>
              <w:textAlignment w:val="center"/>
              <w:rPr>
                <w:rFonts w:ascii="宋体" w:hAnsi="宋体" w:cs="宋体"/>
                <w:b/>
                <w:color w:val="auto"/>
                <w:sz w:val="24"/>
              </w:rPr>
            </w:pPr>
            <w:r>
              <w:rPr>
                <w:rFonts w:hint="eastAsia" w:ascii="宋体" w:hAnsi="宋体" w:cs="宋体"/>
                <w:b/>
                <w:color w:val="auto"/>
                <w:kern w:val="0"/>
                <w:sz w:val="24"/>
              </w:rPr>
              <w:t>序号</w:t>
            </w:r>
          </w:p>
        </w:tc>
        <w:tc>
          <w:tcPr>
            <w:tcW w:w="88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9" w:type="dxa"/>
              <w:left w:w="9" w:type="dxa"/>
              <w:right w:w="9" w:type="dxa"/>
            </w:tcMar>
            <w:vAlign w:val="center"/>
          </w:tcPr>
          <w:p>
            <w:pPr>
              <w:widowControl/>
              <w:jc w:val="center"/>
              <w:textAlignment w:val="center"/>
              <w:rPr>
                <w:rFonts w:ascii="宋体" w:hAnsi="宋体" w:cs="宋体"/>
                <w:b/>
                <w:color w:val="auto"/>
                <w:sz w:val="24"/>
              </w:rPr>
            </w:pPr>
            <w:r>
              <w:rPr>
                <w:rFonts w:hint="eastAsia" w:ascii="宋体" w:hAnsi="宋体" w:cs="宋体"/>
                <w:b/>
                <w:color w:val="auto"/>
                <w:kern w:val="0"/>
                <w:sz w:val="24"/>
              </w:rPr>
              <w:t>产品名称</w:t>
            </w:r>
          </w:p>
        </w:tc>
        <w:tc>
          <w:tcPr>
            <w:tcW w:w="756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9" w:type="dxa"/>
              <w:left w:w="9" w:type="dxa"/>
              <w:right w:w="9" w:type="dxa"/>
            </w:tcMar>
            <w:vAlign w:val="center"/>
          </w:tcPr>
          <w:p>
            <w:pPr>
              <w:widowControl/>
              <w:jc w:val="center"/>
              <w:textAlignment w:val="center"/>
              <w:rPr>
                <w:rFonts w:ascii="宋体" w:hAnsi="宋体" w:cs="宋体"/>
                <w:b/>
                <w:color w:val="auto"/>
                <w:sz w:val="24"/>
              </w:rPr>
            </w:pPr>
            <w:r>
              <w:rPr>
                <w:rFonts w:hint="eastAsia" w:ascii="宋体" w:hAnsi="宋体" w:cs="宋体"/>
                <w:b/>
                <w:color w:val="auto"/>
                <w:kern w:val="0"/>
                <w:sz w:val="24"/>
              </w:rPr>
              <w:t>技术规格参数</w:t>
            </w:r>
          </w:p>
        </w:tc>
        <w:tc>
          <w:tcPr>
            <w:tcW w:w="67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9" w:type="dxa"/>
              <w:left w:w="9" w:type="dxa"/>
              <w:right w:w="9" w:type="dxa"/>
            </w:tcMar>
            <w:vAlign w:val="center"/>
          </w:tcPr>
          <w:p>
            <w:pPr>
              <w:widowControl/>
              <w:jc w:val="center"/>
              <w:textAlignment w:val="center"/>
              <w:rPr>
                <w:rFonts w:ascii="宋体" w:hAnsi="宋体" w:cs="宋体"/>
                <w:b/>
                <w:color w:val="auto"/>
                <w:sz w:val="24"/>
              </w:rPr>
            </w:pPr>
            <w:r>
              <w:rPr>
                <w:rFonts w:hint="eastAsia" w:ascii="宋体" w:hAnsi="宋体" w:cs="宋体"/>
                <w:b/>
                <w:color w:val="auto"/>
                <w:kern w:val="0"/>
                <w:sz w:val="24"/>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9" w:type="dxa"/>
              <w:left w:w="9" w:type="dxa"/>
              <w:right w:w="9" w:type="dxa"/>
            </w:tcMar>
            <w:vAlign w:val="center"/>
          </w:tcPr>
          <w:p>
            <w:pPr>
              <w:widowControl/>
              <w:jc w:val="center"/>
              <w:textAlignment w:val="center"/>
              <w:rPr>
                <w:rFonts w:ascii="宋体" w:hAnsi="宋体" w:cs="宋体"/>
                <w:b/>
                <w:color w:val="auto"/>
                <w:sz w:val="24"/>
              </w:rPr>
            </w:pPr>
            <w:r>
              <w:rPr>
                <w:rFonts w:hint="eastAsia" w:ascii="宋体" w:hAnsi="宋体" w:cs="宋体"/>
                <w:b/>
                <w:color w:val="auto"/>
                <w:kern w:val="0"/>
                <w:sz w:val="24"/>
              </w:rPr>
              <w:t>单位</w:t>
            </w:r>
          </w:p>
        </w:tc>
      </w:tr>
      <w:tr>
        <w:tblPrEx>
          <w:tblCellMar>
            <w:top w:w="0" w:type="dxa"/>
            <w:left w:w="0" w:type="dxa"/>
            <w:bottom w:w="0" w:type="dxa"/>
            <w:right w:w="0" w:type="dxa"/>
          </w:tblCellMar>
        </w:tblPrEx>
        <w:trPr>
          <w:trHeight w:val="9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微软雅黑" w:hAnsi="微软雅黑" w:eastAsia="微软雅黑" w:cs="微软雅黑"/>
                <w:color w:val="auto"/>
                <w:sz w:val="16"/>
                <w:szCs w:val="16"/>
              </w:rPr>
            </w:pPr>
            <w:r>
              <w:rPr>
                <w:rFonts w:hint="eastAsia" w:asciiTheme="majorEastAsia" w:hAnsiTheme="majorEastAsia" w:eastAsiaTheme="majorEastAsia" w:cstheme="majorEastAsia"/>
                <w:b/>
                <w:bCs/>
                <w:color w:val="auto"/>
                <w:szCs w:val="21"/>
              </w:rPr>
              <w:t>软硬件</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r>
      <w:tr>
        <w:tblPrEx>
          <w:tblCellMar>
            <w:top w:w="0" w:type="dxa"/>
            <w:left w:w="0" w:type="dxa"/>
            <w:bottom w:w="0" w:type="dxa"/>
            <w:right w:w="0" w:type="dxa"/>
          </w:tblCellMar>
        </w:tblPrEx>
        <w:trPr>
          <w:trHeight w:val="1042"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云服务主机</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1、★软硬件一体化1U设备，配置≥1颗Intel Xeon E3系列CPU，主频不低于3.4GHz,物理核心数不少于4颗，缓存不低于8MB；</w:t>
            </w:r>
          </w:p>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2、内存插槽≥4个,3.5寸SATA硬盘插槽≥4个，2.5寸SATA硬盘插槽≥2个,M.2插槽≥2个，PCIE插槽≥1个；</w:t>
            </w:r>
          </w:p>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3、★≥1*16GB DDR4内存，≥1*240GB SSD固态硬盘，≥2*4T SATA 3.O机械硬盘；</w:t>
            </w:r>
          </w:p>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4、云主机内置的虚拟化软件提供软件著作权登记证书。提供证书复印件；</w:t>
            </w:r>
          </w:p>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5、提供虚拟教室功能，能够按照教室规模创建不同的虚拟教室，每个虚拟教室独立管理和配置，在云终端控制器后台能够实现对独立教室的学生终端、教师云终端分别进行配置和管理，包括镜像管理、网络访问限制、网络白名单的设置；（要求提供工作操作界面截图）</w:t>
            </w:r>
          </w:p>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6、▲为简化管理维护工作，要求通过智能云终端控制器能够对教室中学生云终端和教师终端进行统一管理，能够在同一管理界面同时查看到学生云终端和教师终端；能够在云终端控制器端平台后台界面内实现对所有学生云终端批量配置，桌面批量新建、设置和删除，同时也能对教师终端进行镜像下发、配置；（要求提供工作操作界面截图）</w:t>
            </w:r>
          </w:p>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7、在云终端控制器上需要能够实现共享磁盘自动挂载功能，学生与老师共享一块虚拟磁盘，为学生设置下载权限，老师设置上传和下载权限；（要求提供功能操作界面截图）</w:t>
            </w:r>
          </w:p>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8、▲提供教学镜像隐藏功能，在云终端控制器后台对教学镜像设置后，可实现部分教学镜像对学生可见，部分镜像（如考试镜像）对学生不可见，当需要使用的时候，只需一键设置学生即可看到镜像，保证重要镜像的安全性；（要求提供功能操作界面截图）</w:t>
            </w:r>
          </w:p>
          <w:p>
            <w:pPr>
              <w:widowControl/>
              <w:jc w:val="left"/>
              <w:textAlignment w:val="center"/>
              <w:rPr>
                <w:rFonts w:ascii="微软雅黑" w:hAnsi="微软雅黑" w:eastAsia="微软雅黑" w:cs="微软雅黑"/>
                <w:color w:val="auto"/>
                <w:sz w:val="18"/>
                <w:szCs w:val="18"/>
              </w:rPr>
            </w:pPr>
            <w:r>
              <w:rPr>
                <w:rFonts w:hint="eastAsia" w:asciiTheme="majorEastAsia" w:hAnsiTheme="majorEastAsia" w:eastAsiaTheme="majorEastAsia" w:cstheme="majorEastAsia"/>
                <w:color w:val="auto"/>
                <w:sz w:val="18"/>
                <w:szCs w:val="18"/>
              </w:rPr>
              <w:t>9、▲需提供原厂配套的部署实施与运维工具，该工具需要能够自动识别安装部署与日常运行中的常见问题，检测项涵盖但不限于：智能云终端控制器和云终端设备发现、云终端控制器版本检测、网络部署检测，对检测结果的部分常见问题可以自动修复。（要求提供功能操作界面截图）</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台</w:t>
            </w:r>
          </w:p>
        </w:tc>
      </w:tr>
      <w:tr>
        <w:tblPrEx>
          <w:tblCellMar>
            <w:top w:w="0" w:type="dxa"/>
            <w:left w:w="0" w:type="dxa"/>
            <w:bottom w:w="0" w:type="dxa"/>
            <w:right w:w="0" w:type="dxa"/>
          </w:tblCellMar>
        </w:tblPrEx>
        <w:trPr>
          <w:trHeight w:val="282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教师云终端</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1、配置≥Intel第八代四核四线程处理器（处理器主频≥3.6GHz）；内存≥8GB，显卡≥Intel HD 630；本地存储≥256 GB SSD,提供官网截图；</w:t>
            </w:r>
          </w:p>
          <w:p>
            <w:pPr>
              <w:widowControl/>
              <w:jc w:val="left"/>
              <w:textAlignment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2、USB接口≥8个（包含≥2个USB 3.0接口），≥1个千兆网口，≥1个VGA接口，≥1个HDMI接口，≥1对音频输入输出接口,提供官网截图；</w:t>
            </w:r>
          </w:p>
          <w:p>
            <w:pPr>
              <w:widowControl/>
              <w:jc w:val="left"/>
              <w:textAlignment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3、配置≥1个内存扩展槽，≥1个SATA扩展接口，可扩展1个2.5英寸硬盘，提供官网截图；</w:t>
            </w:r>
          </w:p>
          <w:p>
            <w:pPr>
              <w:widowControl/>
              <w:jc w:val="left"/>
              <w:textAlignment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4、▲为方便学生开关机，要求终端需要具备3.5mm外延开关接口，提供产品实物图证明，图中标注清楚外延接口位置；</w:t>
            </w:r>
          </w:p>
          <w:p>
            <w:pPr>
              <w:widowControl/>
              <w:jc w:val="left"/>
              <w:textAlignment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5、终端支持完全离线模式，即在云终端控制器连接中断时，依然可使用当前正在使用的镜像环境，保障业务连续性。（需提供功能界面截图）；</w:t>
            </w:r>
          </w:p>
          <w:p>
            <w:pPr>
              <w:widowControl/>
              <w:jc w:val="left"/>
              <w:textAlignment w:val="center"/>
              <w:rPr>
                <w:rFonts w:ascii="微软雅黑" w:hAnsi="微软雅黑" w:eastAsia="微软雅黑" w:cs="微软雅黑"/>
                <w:color w:val="auto"/>
                <w:sz w:val="18"/>
                <w:szCs w:val="18"/>
              </w:rPr>
            </w:pPr>
            <w:r>
              <w:rPr>
                <w:rFonts w:hint="eastAsia" w:asciiTheme="majorEastAsia" w:hAnsiTheme="majorEastAsia" w:eastAsiaTheme="majorEastAsia" w:cstheme="majorEastAsia"/>
                <w:color w:val="auto"/>
                <w:kern w:val="0"/>
                <w:sz w:val="18"/>
                <w:szCs w:val="18"/>
              </w:rPr>
              <w:t>6、▲支持终端显卡透传，能够将终端物理显卡透传至虚拟机中。（需提供功能界面截图）；</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套</w:t>
            </w:r>
          </w:p>
        </w:tc>
      </w:tr>
      <w:tr>
        <w:tblPrEx>
          <w:tblCellMar>
            <w:top w:w="0" w:type="dxa"/>
            <w:left w:w="0" w:type="dxa"/>
            <w:bottom w:w="0" w:type="dxa"/>
            <w:right w:w="0" w:type="dxa"/>
          </w:tblCellMar>
        </w:tblPrEx>
        <w:trPr>
          <w:trHeight w:val="240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3</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学生云终端</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1、所有终端均需采用x86架构；</w:t>
            </w:r>
          </w:p>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2、云终端提供公共存储空间，可存储部分临时文件，在云终端控制器端能够对所有云终端的公共空间提供统一管理功能，并能进行批量删除；</w:t>
            </w:r>
          </w:p>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3、云终端底层虚拟化系统必须为自主研发系统，非OEM 产品，要求提供中华人民共和国国家版权局颁发的云终端底层操作系统的软件著作权登记证证书复印件；</w:t>
            </w:r>
          </w:p>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4、USB接口≥8个（包含≥2个USB 3.0接口），≥1个千兆网口，≥1个VGA接口，≥1个HDMI接口，≥1对音频输入输出接口；</w:t>
            </w:r>
          </w:p>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5、</w:t>
            </w:r>
            <w:r>
              <w:rPr>
                <w:rFonts w:hint="eastAsia" w:asciiTheme="majorEastAsia" w:hAnsiTheme="majorEastAsia" w:eastAsiaTheme="majorEastAsia" w:cstheme="majorEastAsia"/>
                <w:color w:val="auto"/>
                <w:kern w:val="0"/>
                <w:sz w:val="18"/>
                <w:szCs w:val="18"/>
              </w:rPr>
              <w:t>▲</w:t>
            </w:r>
            <w:r>
              <w:rPr>
                <w:rFonts w:hint="eastAsia" w:asciiTheme="majorEastAsia" w:hAnsiTheme="majorEastAsia" w:eastAsiaTheme="majorEastAsia" w:cstheme="majorEastAsia"/>
                <w:color w:val="auto"/>
                <w:sz w:val="18"/>
                <w:szCs w:val="18"/>
              </w:rPr>
              <w:t>配置≥1个内存扩展槽，≥1个SATA扩展接口，可扩展1个2.5英寸硬盘，提供官网截图；</w:t>
            </w:r>
          </w:p>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6、</w:t>
            </w:r>
            <w:r>
              <w:rPr>
                <w:rFonts w:hint="eastAsia" w:asciiTheme="majorEastAsia" w:hAnsiTheme="majorEastAsia" w:eastAsiaTheme="majorEastAsia" w:cstheme="majorEastAsia"/>
                <w:color w:val="auto"/>
                <w:kern w:val="0"/>
                <w:sz w:val="18"/>
                <w:szCs w:val="18"/>
              </w:rPr>
              <w:t>▲</w:t>
            </w:r>
            <w:r>
              <w:rPr>
                <w:rFonts w:hint="eastAsia" w:asciiTheme="majorEastAsia" w:hAnsiTheme="majorEastAsia" w:eastAsiaTheme="majorEastAsia" w:cstheme="majorEastAsia"/>
                <w:color w:val="auto"/>
                <w:sz w:val="18"/>
                <w:szCs w:val="18"/>
              </w:rPr>
              <w:t>为方便学生开关机，要求终端需要具备3.5mm外延开关接口，提供产品实物图证明，图中标注清楚外延接口位置；</w:t>
            </w:r>
          </w:p>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7、终端支持完全离线模式，即在云终端控制器连接中断时，依然可使用当前正在使用的镜像环境，保障业务连续性。（需提供功能界面截图）；</w:t>
            </w:r>
          </w:p>
          <w:p>
            <w:pPr>
              <w:widowControl/>
              <w:jc w:val="left"/>
              <w:textAlignment w:val="center"/>
              <w:rPr>
                <w:rFonts w:ascii="微软雅黑" w:hAnsi="微软雅黑" w:eastAsia="微软雅黑" w:cs="微软雅黑"/>
                <w:color w:val="auto"/>
                <w:sz w:val="16"/>
                <w:szCs w:val="16"/>
              </w:rPr>
            </w:pPr>
            <w:r>
              <w:rPr>
                <w:rFonts w:hint="eastAsia" w:asciiTheme="majorEastAsia" w:hAnsiTheme="majorEastAsia" w:eastAsiaTheme="majorEastAsia" w:cstheme="majorEastAsia"/>
                <w:color w:val="auto"/>
                <w:sz w:val="18"/>
                <w:szCs w:val="18"/>
              </w:rPr>
              <w:t>8、支持终端显卡透传，能够将终端物理显卡透传至虚拟机中。（需提供功能界面截图）；</w:t>
            </w:r>
          </w:p>
        </w:tc>
        <w:tc>
          <w:tcPr>
            <w:tcW w:w="677" w:type="dxa"/>
            <w:tcBorders>
              <w:top w:val="single" w:color="000000" w:sz="4" w:space="0"/>
              <w:left w:val="single" w:color="000000" w:sz="4" w:space="0"/>
              <w:bottom w:val="single" w:color="000000" w:sz="4" w:space="0"/>
              <w:right w:val="single" w:color="000000" w:sz="4" w:space="0"/>
            </w:tcBorders>
            <w:shd w:val="clear" w:color="auto" w:fill="FFFFFF"/>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46</w:t>
            </w: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台</w:t>
            </w:r>
          </w:p>
        </w:tc>
      </w:tr>
      <w:tr>
        <w:tblPrEx>
          <w:tblCellMar>
            <w:top w:w="0" w:type="dxa"/>
            <w:left w:w="0" w:type="dxa"/>
            <w:bottom w:w="0" w:type="dxa"/>
            <w:right w:w="0" w:type="dxa"/>
          </w:tblCellMar>
        </w:tblPrEx>
        <w:trPr>
          <w:trHeight w:val="362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4</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云课堂软件授权</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微软雅黑" w:hAnsi="微软雅黑" w:eastAsia="微软雅黑" w:cs="微软雅黑"/>
                <w:color w:val="auto"/>
                <w:sz w:val="16"/>
                <w:szCs w:val="16"/>
              </w:rPr>
            </w:pPr>
            <w:r>
              <w:rPr>
                <w:rFonts w:hint="eastAsia" w:asciiTheme="majorEastAsia" w:hAnsiTheme="majorEastAsia" w:eastAsiaTheme="majorEastAsia" w:cstheme="majorEastAsia"/>
                <w:color w:val="auto"/>
                <w:kern w:val="0"/>
                <w:sz w:val="18"/>
                <w:szCs w:val="18"/>
              </w:rPr>
              <w:t>1、为了简化教学管理和维护，在教学管理软件上要求能够实现一键关闭所有云终端（终端物理机和虚拟机），一键关闭教学云终端控制器，不需要访问云终端控制器后台进行繁琐操作，只需要在C/S教学管理软件上完成即可；</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2、教学管理软件必须为自主研发，非OEM 产品，要求提供中华人民共和国国家版权局颁发的软件著作权登记证证书复印件；</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3、▲为便于课堂多位老师使用，要求提供C/S架构教学管理软件平台，平台至少需要包含教师端和学生端，并且教师端和学生端能够进行互动教学。（要求提供教学管理软件教师端和学生端界面截图）；</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4、为保障教室内设备运行健康稳定，要求提供教室环境体检工具，并根据体检结果打分和输出体检报告，如果体检分数不合格，必须给出修复项辅助进行设备健康维护。（要求提供功能界面截图）；</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5、教学管理软件能够配合云终端控制器实现当云终端开启时自动进入多种独立教学镜像选择界面，学生可以根据需求选择相应的教学镜像进行使用，不同云终端之间系统互不影响。（要求提供教学镜像自主选择界面截图）；</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6、▲为简化教学，教学管理软件需要提供远程终端编号功能，并与云桌面编号一一对应，方便上课前的学生点名等，为防止虚假应标需要提供功能截图；</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7、支持老师在作业空间为多个或单个班级的学生布置作业，布置内容可支持各种文件格式。老师可以对作业上交截止时间限制。学生端可以看到老师布置完的作业。为保证后续使用效果需提供上述功能截图；</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8、要求服务器、学生云终端、教师云终端、教学管理软件、网络连通设备同一品牌，保证平台联动时的兼容性和可靠性，且在产品厂商官网有明确的产品说明；</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9、▲本次项目提供单个教室70个云终端教学管理授权；</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套</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5</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显示器</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液晶显示器，21.5寸，IPS屏幕，LED背光，窄边框设计，三年质保。</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47</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个</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6</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键盘鼠标</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云桌面键鼠套装01，内含有线键盘、鼠标各一个</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47</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套</w:t>
            </w:r>
          </w:p>
        </w:tc>
      </w:tr>
      <w:tr>
        <w:tblPrEx>
          <w:tblCellMar>
            <w:top w:w="0" w:type="dxa"/>
            <w:left w:w="0" w:type="dxa"/>
            <w:bottom w:w="0" w:type="dxa"/>
            <w:right w:w="0" w:type="dxa"/>
          </w:tblCellMar>
        </w:tblPrEx>
        <w:trPr>
          <w:trHeight w:val="236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7</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二层交换机</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 w:val="18"/>
                <w:szCs w:val="18"/>
              </w:rPr>
              <w:t>1、交换容量≥336Gbps，转发性能≥51Mpps；</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2、固化10/100/1000M以太网端口≥48一台，以太网端口≥24一台，固化1G SFP光接口≥8个；整机最大可用千兆口≥28；</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3、要求所投设备支持1对1、1对多、多对1和基于流的镜像；且支持RSPAN和ERSPAN；</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4、支持专门基础网络保护机制，增强设备防攻击能力，即使在受到攻击的情况下，也能保护系统各种服务的正常运行，保持较低的CPU负载，从而保障整个网络的稳定运行,提供第三方权威测试报告；</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5、▲要求所投产品支持openflow 1.3协议，出具全球SDN测试认证中心出具的证书和测试报告详情页作为证明，要求投标产品型号与证书型号一致，并且在全球SDN测试认证中心官网的测试认证页面可以查询到此产品名称；</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6、▲要求所投设备支持IPv6 Ready第二阶段认证证书，要求投标产品型号与证书型号一致，并且在全球IPV6测试中心官网上可以查询到此产品名称（非系列名称）；</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台</w:t>
            </w:r>
          </w:p>
        </w:tc>
      </w:tr>
      <w:tr>
        <w:tblPrEx>
          <w:tblCellMar>
            <w:top w:w="0" w:type="dxa"/>
            <w:left w:w="0" w:type="dxa"/>
            <w:bottom w:w="0" w:type="dxa"/>
            <w:right w:w="0" w:type="dxa"/>
          </w:tblCellMar>
        </w:tblPrEx>
        <w:trPr>
          <w:trHeight w:val="9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8</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物流仿真模拟软件</w:t>
            </w:r>
          </w:p>
        </w:tc>
        <w:tc>
          <w:tcPr>
            <w:tcW w:w="7567" w:type="dxa"/>
            <w:tcBorders>
              <w:top w:val="nil"/>
              <w:left w:val="nil"/>
              <w:bottom w:val="nil"/>
              <w:right w:val="nil"/>
            </w:tcBorders>
            <w:shd w:val="clear" w:color="auto" w:fill="auto"/>
            <w:tcMar>
              <w:top w:w="9" w:type="dxa"/>
              <w:left w:w="9" w:type="dxa"/>
              <w:right w:w="9" w:type="dxa"/>
            </w:tcMar>
            <w:vAlign w:val="bottom"/>
          </w:tcPr>
          <w:p>
            <w:pPr>
              <w:widowControl/>
              <w:textAlignment w:val="bottom"/>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系统以企业仓储管理为背景，通过软件和仓储设备无缝连接而成的智慧物流实训室，更加注重实操性；只需添加相应的硬件信息就能无缝集成物流硬件设备，无需通过编写代码控制集成，使系统集成更方便快捷；</w:t>
            </w:r>
          </w:p>
          <w:p>
            <w:pPr>
              <w:widowControl/>
              <w:textAlignment w:val="bottom"/>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2、产品可集成移动终端功能包含采购到货管理、智能收货管理、入库作业、采购上架管理、散件补货管理、初盘、复盘、核查、稽查等；</w:t>
            </w:r>
          </w:p>
          <w:p>
            <w:pPr>
              <w:widowControl/>
              <w:textAlignment w:val="bottom"/>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3、电脑（PC）端包含基础信息管理、仓库管理、商品管理、配送订单管理、采购管理、入库管理、出库管理、盘点管理、库存管理、系统集成管理、系统管理、实验管理、供应商管理等；</w:t>
            </w:r>
          </w:p>
          <w:p>
            <w:pPr>
              <w:widowControl/>
              <w:textAlignment w:val="bottom"/>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4、供应商的报价进行任意条件筛选、系统自动筛选、满足供货量筛选、满足供期筛选、报价最优筛选，也可以多种组合筛选，以确定最优供应商；</w:t>
            </w:r>
          </w:p>
          <w:p>
            <w:pPr>
              <w:widowControl/>
              <w:textAlignment w:val="bottom"/>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5、配送订单管理包含订单合同管理、订单结算、订单审核、订单处理功能模块；</w:t>
            </w:r>
          </w:p>
          <w:p>
            <w:pPr>
              <w:widowControl/>
              <w:textAlignment w:val="bottom"/>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6、采购需求（根据需求自定义录入，自由选择一个或者多个供应商进行采购需求发送，直观的订单状态监控）；</w:t>
            </w:r>
          </w:p>
          <w:p>
            <w:pPr>
              <w:widowControl/>
              <w:textAlignment w:val="bottom"/>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7、采购需求确认（可通过采购单号与物料编号精准查询到相应的采购需求，可多种组合方式进行采购需求筛选）；</w:t>
            </w:r>
          </w:p>
          <w:p>
            <w:pPr>
              <w:widowControl/>
              <w:textAlignment w:val="bottom"/>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8、采购管理包含采购审核、采购驳回、采购发送、采购到货、包装箱码管理功能模块；</w:t>
            </w:r>
          </w:p>
          <w:p>
            <w:pPr>
              <w:widowControl/>
              <w:textAlignment w:val="bottom"/>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9、入库管理包含入库申请、入库审核、入库作业、入库记录、散件补货作业功能模块；</w:t>
            </w:r>
          </w:p>
          <w:p>
            <w:pPr>
              <w:widowControl/>
              <w:textAlignment w:val="bottom"/>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10、出库管理包含整件出库和散件出库，出库申请、出库审核、出库作业、电子辅助拣货功能模块；</w:t>
            </w:r>
          </w:p>
          <w:p>
            <w:pPr>
              <w:widowControl/>
              <w:textAlignment w:val="bottom"/>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11、实训管理模块（投标文件提供软件功能截图）：班级学生信息、综合实训管理、单证实训管理、综合实训类型管理、实训评分规则、实训报告评分、实训任务追踪、实训任务监控、实训进度监控、班级成绩排名、班级成绩排名（分类型）、班级成绩排名（分实训任务）、学生成绩排名、学生成绩排名（分类型）、学生成绩排名（分实训任务）、实训数据统计分析、学生实训数据统计分析、学生实训数据统计分析（柱状图）、学生实训数据统计分析（折线图）、学生实训数据统计分析（分实训类型柱状图）、学生实训数据统计分析（分实训类折线图）等；</w:t>
            </w:r>
          </w:p>
          <w:p>
            <w:pPr>
              <w:widowControl/>
              <w:textAlignment w:val="bottom"/>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▲提供智慧物流综合平台软件相关《计算机软件著作权登记证书》复印件加盖原厂公章；</w:t>
            </w:r>
          </w:p>
          <w:p>
            <w:pPr>
              <w:widowControl/>
              <w:textAlignment w:val="bottom"/>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▲提供由国家认定的权威软件检测机构出具的智慧物流综合平台软件的软件测试报告，复印件加盖厂家公章。</w:t>
            </w:r>
          </w:p>
          <w:p>
            <w:pPr>
              <w:widowControl/>
              <w:textAlignment w:val="bottom"/>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▲生产制造商取得ISO9001：2015证书、ISO14001：2015证书、OHSAS18001：2007证书、AAA证书，提供证明资料并加盖生产制造商公章。（以上证书齐全且在有效期内）</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套</w:t>
            </w:r>
          </w:p>
        </w:tc>
      </w:tr>
      <w:tr>
        <w:tblPrEx>
          <w:tblCellMar>
            <w:top w:w="0" w:type="dxa"/>
            <w:left w:w="0" w:type="dxa"/>
            <w:bottom w:w="0" w:type="dxa"/>
            <w:right w:w="0" w:type="dxa"/>
          </w:tblCellMar>
        </w:tblPrEx>
        <w:trPr>
          <w:trHeight w:val="9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9</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银行柜面实训应用软件</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 w:val="18"/>
                <w:szCs w:val="18"/>
              </w:rPr>
              <w:t>（一）平台架构</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★系统为B/S架构。平台端包含教师、学生和管理员三种账号权限。</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（二）平台功能教师可通过平台开展仿真实验教学，并通过发布实训考核，检验学生的日常实训练习效果，并通过可视化图表报告直观展示实训成绩。具体功能如下：</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1.教师可查看最近打开的实训应用，并能知悉教学进度，可获知任教班级的学生练习与考核的成绩动态，可获知在实训操作活跃度统计中的排行前5名的班级。</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2.教师与学生之间，可以通过平台进行即时通讯，进行互动交流，解答疑问；教师可以查看学生针对单一课程的留言并进行回复。</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3.教师可以按照实训应用课程中安排好的课堂环节进行有序的课堂教学，降低教师使用软件教学的难度；教师可比对着教学项目做好教学要点笔记；</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4.教师和学生可以随时使用、观看自己收藏的实训课相关资源，资源可以支持电子书、Flash、视频、图片等，每一个实训项目具有与其配对的实训课程资源PPT、演示视频等。</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5.教师可以自定义实训考核，自行设置考核内容，考核时间，并且发布至特定班级进行实训考核；考核可以选择定时发布，也可以选择手动控制启动考核。</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6.教师可以对针对任教课程和班级发布考勤，查看当前签到情况，统计班级的历史考勤情况，并可导出成Excel文档；</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7.课堂问答：教师可用系统随机抽取学生用户，进行课堂问答；</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8.AI智能成绩统计：教师可查看每个任教班级在每门实训应用考核中的成绩情况，展示信息包括该次考核班级的最高分、最低分和平均分；提供错题统计，统计该次考核中错误率最高与最低的题目，做错人数多少，并且以图表呈现；成绩统计图可以图表的形式展示，可以看到班级考试分数的分布情况，比如：0-10,11-20,21-30,31-40,41-50,51-60,61-70,71-80,81-90，91-100这10个分数段的正态分布图。老师还可以查看学生练习情况，包括每个学生练习次数，平均分，以及每次练习的成绩。老师还可以从项目的维度查看每个项目练习情况，如学生练习了多少次，该项目平均得分，哪些学生练习了该知识点，全面了解学生对知识点的掌握情况。</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9. AI大数据分析：教师可以通过平台进行大数据分析，能够查看整个平台所有实训数据的历史累积统计分析，包含平台全部学生的实训活跃度，以及平台用户实训平均分情况。</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10.创业广场：创业广场可提供一个学生和老师创业交流的平台，老师和学生可以在这里发布创业项目，寻找创业的合作伙伴，组建自己的创业团队；而有创业想法的老师和学生也可以在创业广场查看、关注师生发布的创业项目，同时还可以报名加入感兴趣的创业项目。</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11.管理员可以对专业、年级、班级，以及教师，学生账号进行新增，删除，修改和查看的操作；可向学生、教师发送公告。</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12.有与平台配套的移动端，支持师生进行动态互动，师生可发布动态、公告，同班的老师和学生可以评论、点赞、参加；同时支持教师通过手机创建发布实训考核，以及支持学生更便捷的查询实训成绩。</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13.资源共享：支持教师上传课程资源并对其进行管理，上传的资源可与全校师生共享。</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（三）实训系统</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1、系统开发遵循我国的金融制度与法规，应与现代商业银行业务系统保持一致的业务规范，如采用综合柜员制帐务管理方式（即受理业务同时可兼办复核、记账等工作）；采用三级业务管理方式（即总行--分行--支行模式 ）；采用最新的金融会计制度（4位会计科目代码）。</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2、系统能够自由切换系统、切换角色，模拟扮演临柜柜员、授权柜员、总营库管员、总行库管员、柜员管理员、系统管理员、个人客户、公司客户等业务角色，体验各类角色效果。其中系统管理员可根据当前银行真实情况，实现灵活设置利率值、汇率制、费率值，创建理财产品等信息。</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3、系统在业务流程和功能上高度仿真现代商业银行业务，完成银行中公共交易、重空现金、客户信息、个人业务、公司业务、账户服务、代理业务、电子银行、信用卡、交易信息查询等业务流程及实务操作。其中，个人业务与公司业务可以交叉操作，无需分开登陆。</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1）公共交易：包含柜员管理（含柜员签到签退、登录记录查询、密码修改）、日终管理（含钱箱登记、柜员轧账、现金日结单、交易流水单等日终单据）、费汇数据查询（利率、汇率、费率查询）、外汇管理局（结汇交易、购汇交易）、账务处理（会计报表、错账处理）。</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2）重空现金：包含凭证管理（含柜员凭证快速领用、柜员凭证调出、柜员凭证调入、柜员凭证上缴、凭证申请提交/查询、凭证调拨查询、凭证库存查询、重空作废）、现金管理（含柜员现金领用、柜员现金调出、柜员现金调入、柜员现金上缴、现金申请提交/查询、现金调拨查询、现金库存查询）、支票业务（支票出售、客户支票使用情况查询、机构支票使用情况查询、已出售支票缴回注销）。</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（3）客户信息：包含开立客户、客户查询、客户维护功能（对公与对私客户）。</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4）个人业务：包含人民币、港元、美元、欧元、日元及英镑等6种以上主要货币的开户（活期账户、定活两便、整存整取、零存整取、存本取息、教育储蓄、通知存款）、外币结售汇、存款、取款、转账、销户（现金、转账）。</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（5）公司业务：包含人民币、港元、美元、欧元、日元及英镑等6种以上主要货币的开户（基本户、一般户、专用户、临时户、经常项目、资本项目、暂时户、单位定期存款、工业存款、 商业存款、 建筑业存款、 农业存款、乡镇企业存款、 保险公司存款等）、存款（活期存款、定期存款、通知存款、协定存款、协议存款）、结售汇、取款、转账、销户等。</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6）账户服务：包含借记卡业务（含借记卡激活、换卡、修改密码、解锁等），挂失冻结业务（凭证挂失解挂、密码挂失解挂、账户冻结解冻、账户暂封解封等），挂失管理业务（含凭证挂失、凭证解挂、密码重置业务）。</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（7）代理服务：包含代缴业务（代缴水电费，代缴话费）；代扣业务（代扣水电费，代扣话费，代扣终止）。</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（8）电子银行：包含个人网银（注册，修改，查询）；企业网银（企业网银注册，操作员管理，账户管理）。</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（9）信用卡业务：包含信用卡激活及激活查询业务。</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4、系统提供20个仿真凭证样式，其中存取款凭证、单位开户证实书、定期存单、卡业务申请书、收费凭证、特殊业务申请书、现金存款单、现金支票、转账支票、转账凭证、通用凭证11个仿真凭证，要求能够实现无外设连接情况下也能实现电子票据预览效果，让学生切身体验现代商业银行真实票据，加强课堂趣味性。</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 xml:space="preserve">5、系统可以实现硬件支持模块。系统内嵌刷卡支援模块、密码支援模块、打印支援模块，以及ATM机支援模块，实现软硬件一体化业务仿真模拟的需求。 </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6、系统包含15个范例教学项目，合计135个实训任务。每个教学项目有对应的教学PPT课件、操作视频、项目导入帮助；以及配备完整的操作手册和实训教材。教师可以自定义新增范例项目并设置明细分值，不限数量。</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7、判分机制：系统可采用对字段进行判分考核。即对各交易下的字段填制设置为考核点，在体验各业务整体性流程的同时，对该业务下交易内容的填制要求也进行考核。</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8、系统采用最新JAVA编程技术，B/S结构，不需要安装客户端软件，学生或教师在任何一个能上网的地方都可即时访问，易于教师及实验管理人员安装、调试及维护及系统升级。</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9、教学软件投标产品制造厂商具有软件企业登记 证书和高新技术企业认定证书。</w:t>
            </w:r>
            <w:r>
              <w:rPr>
                <w:rFonts w:hint="eastAsia" w:asciiTheme="majorEastAsia" w:hAnsiTheme="majorEastAsia" w:eastAsiaTheme="majorEastAsia" w:cstheme="majorEastAsia"/>
                <w:color w:val="auto"/>
                <w:kern w:val="0"/>
                <w:sz w:val="18"/>
                <w:szCs w:val="18"/>
              </w:rPr>
              <w:br w:type="textWrapping"/>
            </w:r>
            <w:r>
              <w:rPr>
                <w:rFonts w:hint="eastAsia" w:asciiTheme="majorEastAsia" w:hAnsiTheme="majorEastAsia" w:eastAsiaTheme="majorEastAsia" w:cstheme="majorEastAsia"/>
                <w:color w:val="auto"/>
                <w:kern w:val="0"/>
                <w:sz w:val="18"/>
                <w:szCs w:val="18"/>
              </w:rPr>
              <w:t>10、所投教学软件投标产品具有计算机著作权登记证书。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套</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auto"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10</w:t>
            </w:r>
          </w:p>
        </w:tc>
        <w:tc>
          <w:tcPr>
            <w:tcW w:w="883" w:type="dxa"/>
            <w:tcBorders>
              <w:top w:val="single" w:color="000000" w:sz="4" w:space="0"/>
              <w:left w:val="single" w:color="000000" w:sz="4" w:space="0"/>
              <w:bottom w:val="single" w:color="auto"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计算机</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微软雅黑" w:hAnsi="微软雅黑" w:eastAsia="微软雅黑" w:cs="微软雅黑"/>
                <w:color w:val="auto"/>
                <w:sz w:val="16"/>
                <w:szCs w:val="16"/>
              </w:rPr>
            </w:pPr>
            <w:r>
              <w:rPr>
                <w:rFonts w:hint="eastAsia" w:asciiTheme="majorEastAsia" w:hAnsiTheme="majorEastAsia" w:eastAsiaTheme="majorEastAsia" w:cstheme="majorEastAsia"/>
                <w:color w:val="auto"/>
                <w:kern w:val="0"/>
                <w:sz w:val="18"/>
                <w:szCs w:val="18"/>
              </w:rPr>
              <w:t>13.3英寸 英特尔 酷睿十代i5-10210U 8G 512G SSD 银色 指纹识别 1920×1080 IPS</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台</w:t>
            </w:r>
          </w:p>
        </w:tc>
      </w:tr>
      <w:tr>
        <w:tblPrEx>
          <w:tblCellMar>
            <w:top w:w="0" w:type="dxa"/>
            <w:left w:w="0" w:type="dxa"/>
            <w:bottom w:w="0" w:type="dxa"/>
            <w:right w:w="0" w:type="dxa"/>
          </w:tblCellMar>
        </w:tblPrEx>
        <w:trPr>
          <w:trHeight w:val="580" w:hRule="atLeast"/>
          <w:jc w:val="center"/>
        </w:trPr>
        <w:tc>
          <w:tcPr>
            <w:tcW w:w="557" w:type="dxa"/>
            <w:tcBorders>
              <w:top w:val="single" w:color="auto" w:sz="4" w:space="0"/>
              <w:left w:val="single" w:color="auto" w:sz="4" w:space="0"/>
              <w:bottom w:val="single" w:color="auto" w:sz="4" w:space="0"/>
              <w:right w:val="single" w:color="auto" w:sz="4" w:space="0"/>
            </w:tcBorders>
            <w:shd w:val="clear" w:color="auto" w:fill="FFFFFF"/>
            <w:tcMar>
              <w:top w:w="9" w:type="dxa"/>
              <w:left w:w="9" w:type="dxa"/>
              <w:right w:w="9" w:type="dxa"/>
            </w:tcMar>
            <w:vAlign w:val="center"/>
          </w:tcPr>
          <w:p>
            <w:pPr>
              <w:widowControl/>
              <w:jc w:val="center"/>
              <w:textAlignment w:val="center"/>
              <w:rPr>
                <w:rFonts w:ascii="宋体" w:hAnsi="宋体" w:cs="宋体"/>
                <w:b/>
                <w:color w:val="auto"/>
                <w:kern w:val="0"/>
                <w:sz w:val="18"/>
                <w:szCs w:val="18"/>
              </w:rPr>
            </w:pPr>
          </w:p>
        </w:tc>
        <w:tc>
          <w:tcPr>
            <w:tcW w:w="883" w:type="dxa"/>
            <w:tcBorders>
              <w:top w:val="single" w:color="auto" w:sz="4" w:space="0"/>
              <w:left w:val="single" w:color="auto" w:sz="4" w:space="0"/>
              <w:bottom w:val="single" w:color="auto" w:sz="4" w:space="0"/>
              <w:right w:val="single" w:color="auto" w:sz="4" w:space="0"/>
            </w:tcBorders>
            <w:shd w:val="clear" w:color="auto" w:fill="auto"/>
            <w:tcMar>
              <w:top w:w="9" w:type="dxa"/>
              <w:left w:w="9" w:type="dxa"/>
              <w:right w:w="9" w:type="dxa"/>
            </w:tcMar>
            <w:vAlign w:val="center"/>
          </w:tcPr>
          <w:p>
            <w:pPr>
              <w:widowControl/>
              <w:jc w:val="center"/>
              <w:textAlignment w:val="center"/>
              <w:rPr>
                <w:rFonts w:ascii="宋体" w:hAnsi="宋体" w:cs="宋体"/>
                <w:b/>
                <w:color w:val="auto"/>
                <w:kern w:val="0"/>
                <w:sz w:val="18"/>
                <w:szCs w:val="18"/>
              </w:rPr>
            </w:pPr>
          </w:p>
        </w:tc>
        <w:tc>
          <w:tcPr>
            <w:tcW w:w="7567" w:type="dxa"/>
            <w:tcBorders>
              <w:top w:val="single" w:color="000000" w:sz="4" w:space="0"/>
              <w:left w:val="single" w:color="auto"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ascii="宋体" w:hAnsi="宋体" w:cs="宋体"/>
                <w:color w:val="auto"/>
                <w:sz w:val="18"/>
                <w:szCs w:val="18"/>
              </w:rPr>
            </w:pPr>
            <w:r>
              <w:rPr>
                <w:rFonts w:hint="eastAsia" w:ascii="宋体" w:hAnsi="宋体" w:cs="宋体"/>
                <w:b/>
                <w:bCs/>
                <w:color w:val="auto"/>
                <w:szCs w:val="21"/>
              </w:rPr>
              <w:t>升级建设</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jc w:val="center"/>
              <w:rPr>
                <w:rFonts w:ascii="宋体" w:hAnsi="宋体" w:cs="宋体"/>
                <w:color w:val="auto"/>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ascii="宋体" w:hAnsi="宋体" w:cs="宋体"/>
                <w:color w:val="auto"/>
                <w:sz w:val="18"/>
                <w:szCs w:val="18"/>
              </w:rPr>
            </w:pP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网络线</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六类非屏蔽网络线缆</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箱</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电源线</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BV2.5平方电源线缆，国标</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180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sz w:val="18"/>
                <w:szCs w:val="18"/>
              </w:rPr>
              <w:t>米</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3</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电源线</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BV4平方电源线缆，国标</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米</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4</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电源面板</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三孔电源优质面板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47</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个</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5</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电源接线板</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6孔位电源优质接线板</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24</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个</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6</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接地扁钢</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国产优质，3.5CM，与楼宇主钢筋接地</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米</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7</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接地线</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国产优质BV10平方双色线</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米</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8</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接地辅件</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接地扁钢、铜鼻子、螺栓等</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批</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9</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防雷模块</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二级三级防雷，380V，40~80KW</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套</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安装辅材</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配电箱、线管、电焊条、线扎、线管、线槽、开关、空开、漏电保护、蛇形管等</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项</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11</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静电地板</w:t>
            </w:r>
          </w:p>
        </w:tc>
        <w:tc>
          <w:tcPr>
            <w:tcW w:w="7567"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600*600，加厚，含相应辅材</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平方</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12</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微孔铝扣板吊顶</w:t>
            </w:r>
          </w:p>
        </w:tc>
        <w:tc>
          <w:tcPr>
            <w:tcW w:w="7567"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600*600，含相应辅材</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平方</w:t>
            </w:r>
          </w:p>
        </w:tc>
      </w:tr>
      <w:tr>
        <w:tblPrEx>
          <w:tblCellMar>
            <w:top w:w="0" w:type="dxa"/>
            <w:left w:w="0" w:type="dxa"/>
            <w:bottom w:w="0" w:type="dxa"/>
            <w:right w:w="0" w:type="dxa"/>
          </w:tblCellMar>
        </w:tblPrEx>
        <w:trPr>
          <w:trHeight w:val="5385"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13</w:t>
            </w:r>
          </w:p>
        </w:tc>
        <w:tc>
          <w:tcPr>
            <w:tcW w:w="883" w:type="dxa"/>
            <w:tcBorders>
              <w:top w:val="nil"/>
              <w:left w:val="nil"/>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室内健康照明平板LED灯</w:t>
            </w:r>
          </w:p>
        </w:tc>
        <w:tc>
          <w:tcPr>
            <w:tcW w:w="7567"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pPr>
              <w:widowControl/>
              <w:jc w:val="left"/>
              <w:textAlignment w:val="center"/>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★1、LED面板灯须为一体式灯具（光源不可替换），不接受组合式灯具，通过国家强制性CCC认证（投标文件中提供CCC认证证书复印件及中国质量认证中心官网的截图，链接中的型号与投标型号必须一致）。</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2、采用非灯管式、正面发光LED照明，LED灯珠均匀分布于灯盘内,灯具内铝基板数量≥6条。</w:t>
            </w:r>
          </w:p>
          <w:p>
            <w:pPr>
              <w:widowControl/>
              <w:jc w:val="left"/>
              <w:textAlignment w:val="center"/>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3、灯具尺寸不大于：600L*600W*60Hmm。</w:t>
            </w:r>
          </w:p>
          <w:p>
            <w:pPr>
              <w:widowControl/>
              <w:jc w:val="left"/>
              <w:textAlignment w:val="center"/>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防眩方式：扩散膜+网格栅二级防眩，一级采用PC扩散膜防眩；二级采用网格栅防眩。网格栅采用ABS真空镀膜一体成型，网格栅内的小正方形的边长尺寸不大于19mm，深度不小于12mm，网格栅为双弧抛物面结构，使灯具的整个出光角度更大。在灯底下抬头无眩光。</w:t>
            </w:r>
          </w:p>
          <w:p>
            <w:pPr>
              <w:widowControl/>
              <w:jc w:val="left"/>
              <w:textAlignment w:val="center"/>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5、灯具应采用全封闭式防蚊虫结构，使得灰尘、蚊虫、蜘蛛等不能进入灯具内部结构，外部易清理。</w:t>
            </w:r>
          </w:p>
          <w:p>
            <w:pPr>
              <w:widowControl/>
              <w:jc w:val="left"/>
              <w:textAlignment w:val="center"/>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6、固定灯具铝基板的后盖板应采用不小于1.2mm的金属材质制作，易散热提高LED光源的使用寿命，且应进行一定的表面处理，具备相当的防腐防锈能力。</w:t>
            </w:r>
          </w:p>
          <w:p>
            <w:pPr>
              <w:widowControl/>
              <w:jc w:val="left"/>
              <w:textAlignment w:val="center"/>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7、输入电压：AC100-240V ；功率：≤40W。</w:t>
            </w:r>
          </w:p>
          <w:p>
            <w:pPr>
              <w:widowControl/>
              <w:jc w:val="left"/>
              <w:textAlignment w:val="center"/>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8、LED灯具无频闪(提供国家级检测机构出具的无频闪检测报告复印件)，驱动电源运用外置方案需采用恒流驱动方式且LED电源采用非定制的、国内知名品牌的标准驱动电源。</w:t>
            </w:r>
          </w:p>
          <w:p>
            <w:pPr>
              <w:widowControl/>
              <w:jc w:val="left"/>
              <w:textAlignment w:val="center"/>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9、显色指数（Ra)：≥90 ；功率因数≥0.95，色温：5000K±200K。</w:t>
            </w:r>
          </w:p>
          <w:p>
            <w:pPr>
              <w:widowControl/>
              <w:jc w:val="left"/>
              <w:textAlignment w:val="center"/>
              <w:rPr>
                <w:rFonts w:ascii="宋体" w:hAnsi="宋体" w:cs="宋体"/>
                <w:color w:val="auto"/>
                <w:sz w:val="20"/>
                <w:szCs w:val="20"/>
                <w:highlight w:val="none"/>
              </w:rPr>
            </w:pPr>
            <w:r>
              <w:rPr>
                <w:rFonts w:hint="eastAsia" w:asciiTheme="minorEastAsia" w:hAnsiTheme="minorEastAsia" w:eastAsiaTheme="minorEastAsia" w:cstheme="minorEastAsia"/>
                <w:color w:val="auto"/>
                <w:kern w:val="0"/>
                <w:sz w:val="18"/>
                <w:szCs w:val="18"/>
                <w:highlight w:val="none"/>
              </w:rPr>
              <w:t>(提供省国家级检测机构出具的检测报告复印件)</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盏</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14</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机房强电布线及施工</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按照国家标准要求施工，箱体选用冷轧钢板厚度</w:t>
            </w:r>
            <w:r>
              <w:rPr>
                <w:rFonts w:hint="eastAsia" w:asciiTheme="minorEastAsia" w:hAnsiTheme="minorEastAsia" w:eastAsiaTheme="minorEastAsia" w:cstheme="minorEastAsia"/>
                <w:color w:val="auto"/>
                <w:kern w:val="0"/>
                <w:sz w:val="18"/>
                <w:szCs w:val="18"/>
              </w:rPr>
              <w:t>≤</w:t>
            </w:r>
            <w:r>
              <w:rPr>
                <w:rFonts w:hint="eastAsia" w:ascii="宋体" w:hAnsi="宋体" w:cs="宋体"/>
                <w:color w:val="auto"/>
                <w:kern w:val="0"/>
                <w:sz w:val="18"/>
                <w:szCs w:val="18"/>
              </w:rPr>
              <w:t>1.5mm，箱内元器件接法与装配布置合理，导线穿镀锌管铺设，其中相线采用红、绿、黄色线，中线采用蓝色线，地线采用双色线。</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项</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15</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机房弱电布线及系统集成</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预埋线管采用PVC阻燃专用配套线管、镀锌管，按照国家标准要求施工，六类网络布线，安装及测试。</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项</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机房接地安装</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机房防静电地板接地网安装及测试</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项</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17</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计算机系统集成</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计算机设备安装、调试，软件安装及调试，IP地址规划、备份还原设置，计算机线缆捆扎。</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项</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b/>
                <w:color w:val="auto"/>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b/>
                <w:color w:val="auto"/>
                <w:sz w:val="18"/>
                <w:szCs w:val="18"/>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ascii="宋体" w:hAnsi="宋体" w:cs="宋体"/>
                <w:color w:val="auto"/>
                <w:sz w:val="18"/>
                <w:szCs w:val="18"/>
              </w:rPr>
            </w:pPr>
            <w:r>
              <w:rPr>
                <w:rFonts w:hint="eastAsia" w:ascii="宋体" w:hAnsi="宋体" w:cs="宋体"/>
                <w:b/>
                <w:bCs/>
                <w:color w:val="auto"/>
                <w:szCs w:val="21"/>
              </w:rPr>
              <w:t>教学多媒体设备</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ascii="宋体" w:hAnsi="宋体" w:cs="宋体"/>
                <w:color w:val="auto"/>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ascii="宋体" w:hAnsi="宋体" w:cs="宋体"/>
                <w:color w:val="auto"/>
                <w:sz w:val="18"/>
                <w:szCs w:val="18"/>
              </w:rPr>
            </w:pPr>
          </w:p>
        </w:tc>
      </w:tr>
      <w:tr>
        <w:tblPrEx>
          <w:tblCellMar>
            <w:top w:w="0" w:type="dxa"/>
            <w:left w:w="0" w:type="dxa"/>
            <w:bottom w:w="0" w:type="dxa"/>
            <w:right w:w="0" w:type="dxa"/>
          </w:tblCellMar>
        </w:tblPrEx>
        <w:trPr>
          <w:trHeight w:val="452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超短焦激光投影机</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w:t>
            </w:r>
            <w:r>
              <w:rPr>
                <w:rFonts w:hint="eastAsia" w:asciiTheme="majorEastAsia" w:hAnsiTheme="majorEastAsia" w:eastAsiaTheme="majorEastAsia" w:cstheme="majorEastAsia"/>
                <w:color w:val="auto"/>
                <w:kern w:val="0"/>
                <w:sz w:val="18"/>
                <w:szCs w:val="18"/>
              </w:rPr>
              <w:t>★</w:t>
            </w:r>
            <w:r>
              <w:rPr>
                <w:rFonts w:hint="eastAsia" w:ascii="宋体" w:hAnsi="宋体" w:cs="宋体"/>
                <w:color w:val="auto"/>
                <w:kern w:val="0"/>
                <w:sz w:val="18"/>
                <w:szCs w:val="18"/>
              </w:rPr>
              <w:t>投影技术：3LCD（0.59英寸）；</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2、▲亮度：≥4200流明；（提供检测报告和原厂彩页并加盖原厂公章）</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3、物理分辨率：1280×800；</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4、对比度：≥500000:1；</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5、▲光源技术：纯激光光源技术，激光安全等级为class 1；（提供检查报告并加盖原厂公章）</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6、光源寿命：≥20000小时（标准工作状态）（节能模式下寿命≥5万小时）；</w:t>
            </w:r>
            <w:r>
              <w:rPr>
                <w:rFonts w:hint="eastAsia" w:ascii="宋体" w:hAnsi="宋体" w:cs="宋体"/>
                <w:color w:val="auto"/>
                <w:kern w:val="0"/>
                <w:sz w:val="18"/>
                <w:szCs w:val="18"/>
              </w:rPr>
              <w:br w:type="textWrapping"/>
            </w:r>
            <w:r>
              <w:rPr>
                <w:rFonts w:hint="eastAsia" w:ascii="宋体" w:hAnsi="宋体" w:cs="宋体"/>
                <w:color w:val="auto"/>
                <w:kern w:val="0"/>
                <w:sz w:val="18"/>
                <w:szCs w:val="18"/>
              </w:rPr>
              <w:t>7、▲电动聚焦镜头，投射比80英寸画面镜头至屏幕投影距离≤52厘米；（提供有以上参数的原厂彩页并加盖公章）</w:t>
            </w:r>
            <w:r>
              <w:rPr>
                <w:rFonts w:hint="eastAsia" w:ascii="宋体" w:hAnsi="宋体" w:cs="宋体"/>
                <w:color w:val="auto"/>
                <w:kern w:val="0"/>
                <w:sz w:val="18"/>
                <w:szCs w:val="18"/>
              </w:rPr>
              <w:br w:type="textWrapping"/>
            </w:r>
            <w:r>
              <w:rPr>
                <w:rFonts w:hint="eastAsia" w:ascii="宋体" w:hAnsi="宋体" w:cs="宋体"/>
                <w:color w:val="auto"/>
                <w:kern w:val="0"/>
                <w:sz w:val="18"/>
                <w:szCs w:val="18"/>
              </w:rPr>
              <w:t>8、标配接口：计算机输入:VGA×2，计算机输出：VGA×1，视频输入：RCA×1， HDMI×2(支持 MHL(Ver1.4)) ，声音输入：3.5mm立体声迷你插头×2, RCA L/R×1，声音输出：3.5mm立体声迷你插头×1,控制端口：RS232C×1, USB-A×2 (无PC演示or无线网络投影), USB-B×1(USB线演示功能), 网络端口： RJ45×1；</w:t>
            </w:r>
            <w:r>
              <w:rPr>
                <w:rFonts w:hint="eastAsia" w:ascii="宋体" w:hAnsi="宋体" w:cs="宋体"/>
                <w:color w:val="auto"/>
                <w:kern w:val="0"/>
                <w:sz w:val="18"/>
                <w:szCs w:val="18"/>
              </w:rPr>
              <w:br w:type="textWrapping"/>
            </w:r>
            <w:r>
              <w:rPr>
                <w:rFonts w:hint="eastAsia" w:ascii="宋体" w:hAnsi="宋体" w:cs="宋体"/>
                <w:color w:val="auto"/>
                <w:kern w:val="0"/>
                <w:sz w:val="18"/>
                <w:szCs w:val="18"/>
              </w:rPr>
              <w:t>9、梯形校正：垂直、水平梯形校正，边角校正（校正数据可保持）；</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10、内置扬声器≥16W；</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11、整机功率≤360W；</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12、低噪音工作，标准工作模式下，工作噪音＜30dB；</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13、重量：≤7.6公斤</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14、功能：位置状态检测功能、内置时间管理表功能、USB设备复制（导出）投影机设定功能、自定义输入源名称、支持5G高速无线信号传输、无极节能模式、兼容DICOM模式、HDMI支持MHL连接、支持PJLink、 Crestron、AMX协议连接、信号输入自动开机、1秒快速开机；</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15、▲所投产品必须通过国家强制性3C认证（拒绝OEM产品，提供所投投影机产品的品牌、生产企业名称、制造商名称和委托人名称四者一致的证明，背书及其他证明文件无效）加盖原厂公章。</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台</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超短焦投影机吊架</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与超短焦激光投影机配套使用，隐藏式安装，三维免工具可调，整体采用铸造铝合金材质，与装修融为一体。</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只</w:t>
            </w:r>
          </w:p>
        </w:tc>
      </w:tr>
      <w:tr>
        <w:tblPrEx>
          <w:tblCellMar>
            <w:top w:w="0" w:type="dxa"/>
            <w:left w:w="0" w:type="dxa"/>
            <w:bottom w:w="0" w:type="dxa"/>
            <w:right w:w="0" w:type="dxa"/>
          </w:tblCellMar>
        </w:tblPrEx>
        <w:trPr>
          <w:trHeight w:val="832"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3</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白板一体机</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(一) 整体设计要求：</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 一体化设计：整机采用一体化壁挂式安装，包含红外电子白板、智能中控、电脑主机、功放、音箱、高拍仪/展台等功能模块，集成在整个框架内；无外露连接线，非单侧或双侧箱体连接式结构，整机安装无需白板触摸线、展台数据线、中控等布线施工；一体化的设计使得各模块间有更好的兼容性。产品尺寸：外观尺寸≥107英寸, 书写感应尺寸≥96英寸。显示比例：16:10</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2. 板体材质：面板采用纳米烤漆涂层钢板(厚度≥0.3mm)，铝蜂窝芯，背板采用镀锌金属板(厚度≥0.3mm)，边框采用铝合金材料，坚固耐用，不易变形。</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3. 两侧内置音箱：功率≥2*30W，音色清晰，支持扩充无线扩音模块。</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4. 高拍仪设计：嵌入于白板一体机内，直立折叠式设计展开角度≤90°，高拍仪LED灯光支持触摸开关控制。高拍仪托盘牢固、防抖设计；收起后无接口接线外露。</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5. 高拍仪功能：中控面板设有专用的高拍仪物理按键，支持一键打开高拍仪软件窗口，方便教师即刻拍照、批注等教学操作，让课堂上使用高拍仪更便捷。</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6. 刷卡解锁功能：配套2张IC卡，工作频率13.56MHZ、通信速率106 KBPS、支持读/写数据。支持刷卡开机、启动内置系统，不限制读取次数；支持刷卡解锁中控的锁定功能，在中控按键面板、高拍仪和触摸被锁定的状态下，刷卡可恢复正常工作状态，节省了重启各种设备的时间；后台管理支持增加识别其他IC卡，方便用户增加备用卡。</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7. 前置中控面板设计：具备13个物理按键，音量-、静音、音量+、播放、停止、锁定、投影开关、电脑开关、展台信号、内置电脑、安卓、信号源、一键开关机。播放和停止按键，支持一键播放和停止视频。锁定后按键面板、高拍仪和触摸无法操作。（需提供权威检测报告）</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8. 双系统设置：含有预装WINDOWS系统的内置电脑和安卓系统模块，如果windows操作系统在课堂期间出现异常，教师可以一键切换到安卓系统下，继续使用安卓系统来上课，同样可以方便地实现PPT、WORD、图片、视频播放和简单批注等常规教学功能。</w:t>
            </w:r>
            <w:r>
              <w:rPr>
                <w:rFonts w:hint="eastAsia" w:ascii="宋体" w:hAnsi="宋体" w:cs="宋体"/>
                <w:color w:val="auto"/>
                <w:kern w:val="0"/>
                <w:sz w:val="18"/>
                <w:szCs w:val="18"/>
              </w:rPr>
              <w:br w:type="textWrapping"/>
            </w:r>
            <w:r>
              <w:rPr>
                <w:rFonts w:hint="eastAsia" w:ascii="宋体" w:hAnsi="宋体" w:cs="宋体"/>
                <w:color w:val="auto"/>
                <w:kern w:val="0"/>
                <w:sz w:val="18"/>
                <w:szCs w:val="18"/>
              </w:rPr>
              <w:t>(二) 红外白板模块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 触摸技术：红外线感应技术</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2. 分辨率:  4096*4096</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3. 板面快捷键：双边各不少于18个物理快捷功能键，配彩色图片，有中文、英文标识，支持每一个快捷键自定义，快捷键功能直观，方便老师使用</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4. PPT翻页控制：支持触摸物理快捷键启动白板软件、对PPT演示文档进行上下翻页控制。</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5. 抗光干扰性要求：9万照度下可正常工作</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 触摸耐久性：6000万次触摸</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7. 灵敏度高：触摸灵敏度单点小于7ms，光标速度是180点/秒，反应速度灵敏，连续快速书写无延时和断笔</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8. 定位技术：定位精准，定位精度&lt;2mm</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9. 定位方式：具有4点、5点、9点、16点四种定位方式</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10. 触摸及书写特性：支持10点触控技术，10笔同时画线；支持HID免驱，投影机光线被遮挡不影响连续写。个别红外灯管烧坏也不会影响使用，固件升级方便，智能电源为发光二极管，节省电力，延长板寿命。当板在教学过程中不被使用时，发光二极管的光会自动减少发射红外线。</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手势识别：支持握拳和手掌当作板擦来擦除书写内容，支持边写边擦功能；无需打开白板软件情况下，支持操作系统的手势识别，Windows其他程序也能识别，例如PPT能识别笔快速滑动翻页、通过windows“图片查看器”可用双手缩放图片等。</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11. 使用环境：工作温度：温度：-5℃~40℃， 相对湿度：30%~80%；存放温度：温度：-20℃~55℃，相对湿度：10%~90%。</w:t>
            </w:r>
            <w:r>
              <w:rPr>
                <w:rFonts w:hint="eastAsia" w:ascii="宋体" w:hAnsi="宋体" w:cs="宋体"/>
                <w:color w:val="auto"/>
                <w:kern w:val="0"/>
                <w:sz w:val="18"/>
                <w:szCs w:val="18"/>
              </w:rPr>
              <w:br w:type="textWrapping"/>
            </w:r>
            <w:r>
              <w:rPr>
                <w:rFonts w:hint="eastAsia" w:ascii="宋体" w:hAnsi="宋体" w:cs="宋体"/>
                <w:color w:val="auto"/>
                <w:kern w:val="0"/>
                <w:sz w:val="18"/>
                <w:szCs w:val="18"/>
              </w:rPr>
              <w:t>(三) 电脑模块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 插拔式OPS微型PC设计，Intel CoreI5 CPU、4GB内存、128G固态硬盘（或定制）；开放式可插接INTEL规范接口（OPS接口），双面合计80针</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2. 支持WIFI无线网络，带双天线，带RJ45接口100M/1000Mbs</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3. 具备电源（POWER）开关按键和RESET（重置）孔</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4. 接口：LINE OUT*1，MIC IN*1，HDMI*1，RJ45*1，WIFI*2，USB*4</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5. 支持电源：AC input:100-240V/50-60HZ ；DC output:19V/5A。</w:t>
            </w:r>
            <w:r>
              <w:rPr>
                <w:rFonts w:hint="eastAsia" w:ascii="宋体" w:hAnsi="宋体" w:cs="宋体"/>
                <w:color w:val="auto"/>
                <w:kern w:val="0"/>
                <w:sz w:val="18"/>
                <w:szCs w:val="18"/>
              </w:rPr>
              <w:br w:type="textWrapping"/>
            </w:r>
            <w:r>
              <w:rPr>
                <w:rFonts w:hint="eastAsia" w:ascii="宋体" w:hAnsi="宋体" w:cs="宋体"/>
                <w:color w:val="auto"/>
                <w:kern w:val="0"/>
                <w:sz w:val="18"/>
                <w:szCs w:val="18"/>
              </w:rPr>
              <w:t>(四) 高拍仪模块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 镜头：定焦镜头</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2. 传感器: CMOS 500W</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3. 像素：≥500万像素</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4. 辅助灯光：LED灯（共10灯），带灯光触摸开关控制</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5. 供电方式：USB （5V 电流500MA以上）</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6. 具备安全性设计：锁定状态下高拍仪托盘无法打开，刷卡解锁后才可以打开</w:t>
            </w:r>
          </w:p>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7. 镜头面与纸张最大高度为34CM，平台展开可以平放一张A4纸。</w:t>
            </w:r>
            <w:r>
              <w:rPr>
                <w:rFonts w:hint="eastAsia" w:ascii="宋体" w:hAnsi="宋体" w:cs="宋体"/>
                <w:color w:val="auto"/>
                <w:kern w:val="0"/>
                <w:sz w:val="18"/>
                <w:szCs w:val="18"/>
              </w:rPr>
              <w:br w:type="textWrapping"/>
            </w:r>
            <w:r>
              <w:rPr>
                <w:rFonts w:hint="eastAsia" w:ascii="宋体" w:hAnsi="宋体" w:cs="宋体"/>
                <w:color w:val="auto"/>
                <w:kern w:val="0"/>
                <w:sz w:val="18"/>
                <w:szCs w:val="18"/>
              </w:rPr>
              <w:t>8. 软件功能：支持用白板软件对高拍仪画面进行截图、动态批注、缩放、旋转、冻结、全屏、感应拍照、间隔拍照、录制、插入白板页面等功能，实现任意纸质文件展示、视频输入批注和讲解，在白板页面可同时连接及打开多个高拍仪或摄像头。连续拍照可以设置间隔时间和拍照数量，还可以设置对比度、饱和度、亮度。拍的照片老师可以一键清空或选择其他图片查看器打开；高拍仪摄像头窗口可一键切换放到左半屏或者右边屏，方便在另一边进行书写和批注。</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套</w:t>
            </w:r>
          </w:p>
        </w:tc>
      </w:tr>
      <w:tr>
        <w:tblPrEx>
          <w:tblCellMar>
            <w:top w:w="0" w:type="dxa"/>
            <w:left w:w="0" w:type="dxa"/>
            <w:bottom w:w="0" w:type="dxa"/>
            <w:right w:w="0" w:type="dxa"/>
          </w:tblCellMar>
        </w:tblPrEx>
        <w:trPr>
          <w:trHeight w:val="622"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b/>
                <w:color w:val="auto"/>
                <w:kern w:val="0"/>
                <w:szCs w:val="21"/>
              </w:rPr>
              <w:t>扩声系统</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r>
      <w:tr>
        <w:tblPrEx>
          <w:tblCellMar>
            <w:top w:w="0" w:type="dxa"/>
            <w:left w:w="0" w:type="dxa"/>
            <w:bottom w:w="0" w:type="dxa"/>
            <w:right w:w="0" w:type="dxa"/>
          </w:tblCellMar>
        </w:tblPrEx>
        <w:trPr>
          <w:trHeight w:val="166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红外接收功放主机</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主要技术参数：</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1.频率响应：100Hz～10KHz；信噪比&gt;60dB；</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2.24V DC电源适配器；电流消耗750mA；</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3.75ΩF型连接红外传感器；</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4.2路音频输入；4路扬声器连接；1路红外无线话筒频点；红外接收频率：2.3Mhz；</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5.三级啸叫抑制功能，可开关；.1路音频输出；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台</w:t>
            </w:r>
          </w:p>
        </w:tc>
      </w:tr>
      <w:tr>
        <w:tblPrEx>
          <w:tblCellMar>
            <w:top w:w="0" w:type="dxa"/>
            <w:left w:w="0" w:type="dxa"/>
            <w:bottom w:w="0" w:type="dxa"/>
            <w:right w:w="0" w:type="dxa"/>
          </w:tblCellMar>
        </w:tblPrEx>
        <w:trPr>
          <w:trHeight w:val="22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红外传感器</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主要技术参数：</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 调制方式：PLL锁相环脉冲调制；</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 红外线接收波长：850nm；</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 红外接收频率：2.3Mhz；</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 消耗电流22mA；</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 接收半径为10m（光轴可视直线距离）；</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 红外线接收方式：外置超广角高灵敏360度全向接收；</w:t>
            </w:r>
            <w:r>
              <w:rPr>
                <w:rFonts w:hint="eastAsia" w:ascii="宋体" w:hAnsi="宋体" w:cs="宋体"/>
                <w:color w:val="auto"/>
                <w:kern w:val="0"/>
                <w:sz w:val="18"/>
                <w:szCs w:val="18"/>
              </w:rPr>
              <w:br w:type="textWrapping"/>
            </w:r>
            <w:r>
              <w:rPr>
                <w:rFonts w:hint="eastAsia" w:ascii="宋体" w:hAnsi="宋体" w:cs="宋体"/>
                <w:color w:val="auto"/>
                <w:kern w:val="0"/>
                <w:sz w:val="18"/>
                <w:szCs w:val="18"/>
              </w:rPr>
              <w:t>7. 须与红外功放主机为同一品牌，必须能与红外功放主机、红外无线颈挂话筒匹配使用；</w:t>
            </w:r>
            <w:r>
              <w:rPr>
                <w:rFonts w:hint="eastAsia" w:ascii="宋体" w:hAnsi="宋体" w:cs="宋体"/>
                <w:color w:val="auto"/>
                <w:kern w:val="0"/>
                <w:sz w:val="18"/>
                <w:szCs w:val="18"/>
              </w:rPr>
              <w:br w:type="textWrapping"/>
            </w:r>
            <w:r>
              <w:rPr>
                <w:rFonts w:hint="eastAsia" w:ascii="宋体" w:hAnsi="宋体" w:cs="宋体"/>
                <w:color w:val="auto"/>
                <w:kern w:val="0"/>
                <w:sz w:val="18"/>
                <w:szCs w:val="18"/>
              </w:rPr>
              <w:t>8. 可以贴墙安装，也可以贴天花板安装。可连接多个红外传感器；</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套</w:t>
            </w:r>
          </w:p>
        </w:tc>
      </w:tr>
      <w:tr>
        <w:tblPrEx>
          <w:tblCellMar>
            <w:top w:w="0" w:type="dxa"/>
            <w:left w:w="0" w:type="dxa"/>
            <w:bottom w:w="0" w:type="dxa"/>
            <w:right w:w="0" w:type="dxa"/>
          </w:tblCellMar>
        </w:tblPrEx>
        <w:trPr>
          <w:trHeight w:val="26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3</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红外无线颈挂话筒</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 使用方式：红外无线话筒颈挂胸前使用；</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 话筒类型：单一指向性驻极体电容式（ECM）话筒；</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 高灵敏度麦克风（无须再有线连接领夹式、耳挂式或头戴式等麦克风配合使用）；</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 红外线发射频率：2.3MHz；</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 水晶控制PLL锁相环路；发射红外线波长：850nm；</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 产品重量：≤60g（不含电池）； 一个麦克风接口；一个音频输入接口；</w:t>
            </w:r>
            <w:r>
              <w:rPr>
                <w:rFonts w:hint="eastAsia" w:ascii="宋体" w:hAnsi="宋体" w:cs="宋体"/>
                <w:color w:val="auto"/>
                <w:kern w:val="0"/>
                <w:sz w:val="18"/>
                <w:szCs w:val="18"/>
              </w:rPr>
              <w:br w:type="textWrapping"/>
            </w:r>
            <w:r>
              <w:rPr>
                <w:rFonts w:hint="eastAsia" w:ascii="宋体" w:hAnsi="宋体" w:cs="宋体"/>
                <w:color w:val="auto"/>
                <w:kern w:val="0"/>
                <w:sz w:val="18"/>
                <w:szCs w:val="18"/>
              </w:rPr>
              <w:t>7. 可使用5号充电电池，或普通5号碱性电池；</w:t>
            </w:r>
            <w:r>
              <w:rPr>
                <w:rFonts w:hint="eastAsia" w:ascii="宋体" w:hAnsi="宋体" w:cs="宋体"/>
                <w:color w:val="auto"/>
                <w:kern w:val="0"/>
                <w:sz w:val="18"/>
                <w:szCs w:val="18"/>
              </w:rPr>
              <w:br w:type="textWrapping"/>
            </w:r>
            <w:r>
              <w:rPr>
                <w:rFonts w:hint="eastAsia" w:ascii="宋体" w:hAnsi="宋体" w:cs="宋体"/>
                <w:color w:val="auto"/>
                <w:kern w:val="0"/>
                <w:sz w:val="18"/>
                <w:szCs w:val="18"/>
              </w:rPr>
              <w:t>8. 红外无线话筒使用2000mA充电电池可连续使用8小时以上；</w:t>
            </w:r>
            <w:r>
              <w:rPr>
                <w:rFonts w:hint="eastAsia" w:ascii="宋体" w:hAnsi="宋体" w:cs="宋体"/>
                <w:color w:val="auto"/>
                <w:kern w:val="0"/>
                <w:sz w:val="18"/>
                <w:szCs w:val="18"/>
              </w:rPr>
              <w:br w:type="textWrapping"/>
            </w:r>
            <w:r>
              <w:rPr>
                <w:rFonts w:hint="eastAsia" w:ascii="宋体" w:hAnsi="宋体" w:cs="宋体"/>
                <w:color w:val="auto"/>
                <w:kern w:val="0"/>
                <w:sz w:val="18"/>
                <w:szCs w:val="18"/>
              </w:rPr>
              <w:t xml:space="preserve">9. 外观尺寸：≤长85mm×宽50mm×厚25mm；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10. 电量警告提示功能； 静音功能键；</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11. 须与红外功放为同一品牌；</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套</w:t>
            </w:r>
          </w:p>
        </w:tc>
      </w:tr>
      <w:tr>
        <w:tblPrEx>
          <w:tblCellMar>
            <w:top w:w="0" w:type="dxa"/>
            <w:left w:w="0" w:type="dxa"/>
            <w:bottom w:w="0" w:type="dxa"/>
            <w:right w:w="0" w:type="dxa"/>
          </w:tblCellMar>
        </w:tblPrEx>
        <w:trPr>
          <w:trHeight w:val="9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4</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音箱</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 全频反射式； 输入阻抗8Ω；声压电平87dB（1W，1m）；</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 额定功率60W（RMS*1）；频率响应120Hz～16kHz；推入式导线端子；</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 12cm圆锥形扬声器单元； 尺寸290mm×214mm×135mm；</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 须与红外功放、接收器、红外无线颈挂话筒为同一品牌.</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只</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5</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充电座</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配套原厂充电座，含2000MA镍氢电池1只/套</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台</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6</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线材及辅材</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满足现场需求</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套</w:t>
            </w:r>
          </w:p>
        </w:tc>
      </w:tr>
      <w:tr>
        <w:tblPrEx>
          <w:tblCellMar>
            <w:top w:w="0" w:type="dxa"/>
            <w:left w:w="0" w:type="dxa"/>
            <w:bottom w:w="0" w:type="dxa"/>
            <w:right w:w="0" w:type="dxa"/>
          </w:tblCellMar>
        </w:tblPrEx>
        <w:trPr>
          <w:trHeight w:val="475"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noWrap/>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b/>
                <w:bCs/>
                <w:color w:val="auto"/>
                <w:kern w:val="0"/>
                <w:szCs w:val="21"/>
              </w:rPr>
              <w:t>桌椅部分</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r>
      <w:tr>
        <w:tblPrEx>
          <w:tblCellMar>
            <w:top w:w="0" w:type="dxa"/>
            <w:left w:w="0" w:type="dxa"/>
            <w:bottom w:w="0" w:type="dxa"/>
            <w:right w:w="0" w:type="dxa"/>
          </w:tblCellMar>
        </w:tblPrEx>
        <w:trPr>
          <w:trHeight w:val="166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电脑桌1</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1、台面采用20mm厚AA级橡胶木机拼板，含水率在11%±1%之间，所有板边倒圆角、圆边，板面光滑，无毒、无异味、不开裂、指接无缝，材质密度好,木纹清晰，无毛刺；</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2、油漆采用 “五底三面”工艺处理，（PU）成份为聚胺酯，耐压，面漆（PE）成份为不饱合树酯；</w:t>
            </w:r>
          </w:p>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3、钢架：重型支撑架，各结构钢板、板件酸洗、磷化处理后白色静电粉沫喷涂，涂层厚度≥70um，涂层膜厚度均匀，内外一致，耐撞击，抗腐蚀力强；规格：W1400*D1100*H750。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张</w:t>
            </w:r>
          </w:p>
        </w:tc>
      </w:tr>
      <w:tr>
        <w:tblPrEx>
          <w:tblCellMar>
            <w:top w:w="0" w:type="dxa"/>
            <w:left w:w="0" w:type="dxa"/>
            <w:bottom w:w="0" w:type="dxa"/>
            <w:right w:w="0" w:type="dxa"/>
          </w:tblCellMar>
        </w:tblPrEx>
        <w:trPr>
          <w:trHeight w:val="16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电脑桌2</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1、台面采用20mm厚AA级橡胶木机拼板，含水率在11%±1%之间，所有板边倒圆角、圆边，板面光滑，无毒、无异味、不开裂、指接无缝，材质密度好,木纹清晰，无毛刺；</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2、油漆采用 “五底三面”工艺处理，（PU）成份为聚胺酯，耐压，面漆（PE）成份为不饱合树酯；</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3、钢架：重型支撑架，各结构钢板、板件酸洗、磷化处理后白色静电粉沫喷涂，涂层厚度≥70um，涂层膜厚度均匀，内外一致，耐撞击，抗腐蚀力强；</w:t>
            </w:r>
          </w:p>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4、翻板采用液压杆；规格：W2000*D1100*H750。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张</w:t>
            </w:r>
          </w:p>
        </w:tc>
      </w:tr>
      <w:tr>
        <w:tblPrEx>
          <w:tblCellMar>
            <w:top w:w="0" w:type="dxa"/>
            <w:left w:w="0" w:type="dxa"/>
            <w:bottom w:w="0" w:type="dxa"/>
            <w:right w:w="0" w:type="dxa"/>
          </w:tblCellMar>
        </w:tblPrEx>
        <w:trPr>
          <w:trHeight w:val="16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FFFFFF"/>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3</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方凳</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1、凳面采用20mm厚AA级橡胶木机拼板，含水率在11%±1%之间，所有板边倒圆角、圆边，板面光滑，无毒、无异味、不开裂、指接无缝，材质密度好,木纹清晰，无毛刺；</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2、油漆采用 “五底三面”工艺处理，（PU）成份为聚胺酯，耐压，面漆（PE）成份为不饱合树酯；</w:t>
            </w:r>
          </w:p>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3、钢架：重型支撑架，各结构钢板、板件酸洗、磷化处理后白色静电粉沫喷涂，涂层厚度≥70um，涂层膜厚度均匀，内外一致，耐撞击，抗腐蚀力强；规格：W3800*D280*H440。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46</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张</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4</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老师讲台</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tabs>
                <w:tab w:val="left" w:pos="563"/>
              </w:tabs>
              <w:jc w:val="left"/>
              <w:rPr>
                <w:rFonts w:ascii="宋体" w:hAnsi="宋体" w:cs="宋体"/>
                <w:color w:val="auto"/>
                <w:kern w:val="0"/>
                <w:sz w:val="18"/>
                <w:szCs w:val="18"/>
              </w:rPr>
            </w:pPr>
            <w:r>
              <w:rPr>
                <w:rFonts w:hint="eastAsia" w:ascii="宋体" w:hAnsi="宋体" w:cs="宋体"/>
                <w:color w:val="auto"/>
                <w:kern w:val="0"/>
                <w:sz w:val="18"/>
                <w:szCs w:val="18"/>
              </w:rPr>
              <w:t>1、台面采用20mm厚AA级橡胶木机拼板，含水率在11%±1%之间，所有板边倒圆角、圆边，板面光滑，无毒、无异味、不开裂、指接无缝，材质密度好,木纹清晰，无毛刺；</w:t>
            </w:r>
          </w:p>
          <w:p>
            <w:pPr>
              <w:tabs>
                <w:tab w:val="left" w:pos="563"/>
              </w:tabs>
              <w:jc w:val="left"/>
              <w:rPr>
                <w:rFonts w:ascii="宋体" w:hAnsi="宋体" w:cs="宋体"/>
                <w:color w:val="auto"/>
                <w:kern w:val="0"/>
                <w:sz w:val="18"/>
                <w:szCs w:val="18"/>
              </w:rPr>
            </w:pPr>
            <w:r>
              <w:rPr>
                <w:rFonts w:hint="eastAsia" w:ascii="宋体" w:hAnsi="宋体" w:cs="宋体"/>
                <w:color w:val="auto"/>
                <w:kern w:val="0"/>
                <w:sz w:val="18"/>
                <w:szCs w:val="18"/>
              </w:rPr>
              <w:t>2、油漆采用 “五底三面”工艺处理，（PU）成份为聚胺酯，耐压，面漆（PE）成份为不饱合树酯；</w:t>
            </w:r>
          </w:p>
          <w:p>
            <w:pPr>
              <w:tabs>
                <w:tab w:val="left" w:pos="563"/>
              </w:tabs>
              <w:jc w:val="left"/>
              <w:rPr>
                <w:rFonts w:ascii="宋体" w:hAnsi="宋体" w:cs="宋体" w:eastAsiaTheme="majorEastAsia"/>
                <w:color w:val="auto"/>
                <w:sz w:val="18"/>
                <w:szCs w:val="18"/>
              </w:rPr>
            </w:pPr>
            <w:r>
              <w:rPr>
                <w:rFonts w:hint="eastAsia" w:ascii="宋体" w:hAnsi="宋体" w:cs="宋体"/>
                <w:color w:val="auto"/>
                <w:kern w:val="0"/>
                <w:sz w:val="18"/>
                <w:szCs w:val="18"/>
              </w:rPr>
              <w:t>3、钢架：重型支撑架，各结构钢板、板件酸洗、磷化处理后白色静电粉沫喷涂，涂层厚度≥70um，涂层膜厚度均匀，内外一致，耐撞击，抗腐蚀力强；</w:t>
            </w:r>
            <w:r>
              <w:rPr>
                <w:rFonts w:hint="eastAsia" w:asciiTheme="majorEastAsia" w:hAnsiTheme="majorEastAsia" w:eastAsiaTheme="majorEastAsia" w:cstheme="majorEastAsia"/>
                <w:color w:val="auto"/>
                <w:sz w:val="18"/>
                <w:szCs w:val="18"/>
              </w:rPr>
              <w:t>规格：W2000*D600*H850。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张</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5</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储物柜</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spacing w:line="360" w:lineRule="exact"/>
              <w:rPr>
                <w:rFonts w:ascii="宋体" w:hAnsi="宋体" w:cs="宋体"/>
                <w:color w:val="auto"/>
                <w:kern w:val="0"/>
                <w:sz w:val="18"/>
                <w:szCs w:val="18"/>
              </w:rPr>
            </w:pPr>
            <w:r>
              <w:rPr>
                <w:rFonts w:hint="eastAsia" w:ascii="宋体" w:hAnsi="宋体" w:cs="宋体"/>
                <w:color w:val="auto"/>
                <w:kern w:val="0"/>
                <w:sz w:val="18"/>
                <w:szCs w:val="18"/>
              </w:rPr>
              <w:t>尺寸：900*300*1</w:t>
            </w:r>
            <w:r>
              <w:rPr>
                <w:rFonts w:ascii="宋体" w:hAnsi="宋体" w:cs="宋体"/>
                <w:color w:val="auto"/>
                <w:kern w:val="0"/>
                <w:sz w:val="18"/>
                <w:szCs w:val="18"/>
              </w:rPr>
              <w:t>0</w:t>
            </w:r>
            <w:r>
              <w:rPr>
                <w:rFonts w:hint="eastAsia" w:ascii="宋体" w:hAnsi="宋体" w:cs="宋体"/>
                <w:color w:val="auto"/>
                <w:kern w:val="0"/>
                <w:sz w:val="18"/>
                <w:szCs w:val="18"/>
              </w:rPr>
              <w:t>00mm</w:t>
            </w:r>
          </w:p>
          <w:p>
            <w:pPr>
              <w:tabs>
                <w:tab w:val="left" w:pos="563"/>
              </w:tabs>
              <w:jc w:val="left"/>
              <w:rPr>
                <w:rFonts w:ascii="宋体" w:hAnsi="宋体" w:cs="宋体"/>
                <w:color w:val="auto"/>
                <w:kern w:val="0"/>
                <w:sz w:val="18"/>
                <w:szCs w:val="18"/>
              </w:rPr>
            </w:pPr>
            <w:r>
              <w:rPr>
                <w:rFonts w:hint="eastAsia" w:ascii="宋体" w:hAnsi="宋体" w:cs="宋体"/>
                <w:color w:val="auto"/>
                <w:kern w:val="0"/>
                <w:sz w:val="18"/>
                <w:szCs w:val="18"/>
              </w:rPr>
              <w:t>材质：1.选用16mm</w:t>
            </w:r>
            <w:r>
              <w:rPr>
                <w:rFonts w:ascii="宋体" w:hAnsi="宋体" w:cs="宋体"/>
                <w:color w:val="auto"/>
                <w:kern w:val="0"/>
                <w:sz w:val="18"/>
                <w:szCs w:val="18"/>
              </w:rPr>
              <w:t>多层实木</w:t>
            </w:r>
            <w:r>
              <w:rPr>
                <w:rFonts w:hint="eastAsia" w:ascii="宋体" w:hAnsi="宋体" w:cs="宋体"/>
                <w:color w:val="auto"/>
                <w:kern w:val="0"/>
                <w:sz w:val="18"/>
                <w:szCs w:val="18"/>
              </w:rPr>
              <w:t>板，木材无裂缝、结疤、腐朽、刀痕等，含水率≤10%，产品无棱角。2.油漆工艺：油漆采用环保聚酯漆，经二底三面喷漆，颜色为清水本色。3.环保要求：甲醛释放≤1.5mg/L；板材厚度：2.0cm，后背板衫木1.0cm，木器专用水性漆环保、无毒、无味。产品质量达到：GB／T 3324-2008等标准技术规定要求。4.分二层与三层，中间有隔板，1.2cm厚。</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套</w:t>
            </w:r>
          </w:p>
        </w:tc>
      </w:tr>
      <w:tr>
        <w:tblPrEx>
          <w:tblCellMar>
            <w:top w:w="0" w:type="dxa"/>
            <w:left w:w="0" w:type="dxa"/>
            <w:bottom w:w="0" w:type="dxa"/>
            <w:right w:w="0" w:type="dxa"/>
          </w:tblCellMar>
        </w:tblPrEx>
        <w:trPr>
          <w:trHeight w:val="556"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tcPr>
          <w:p>
            <w:pPr>
              <w:widowControl/>
              <w:spacing w:line="360" w:lineRule="auto"/>
              <w:jc w:val="center"/>
              <w:textAlignment w:val="top"/>
              <w:rPr>
                <w:rStyle w:val="47"/>
                <w:rFonts w:hint="default"/>
                <w:color w:val="auto"/>
              </w:rPr>
            </w:pPr>
            <w:r>
              <w:rPr>
                <w:rStyle w:val="47"/>
                <w:rFonts w:hint="default"/>
                <w:b/>
                <w:bCs/>
                <w:color w:val="auto"/>
                <w:sz w:val="21"/>
                <w:szCs w:val="21"/>
              </w:rPr>
              <w:t>物联网控制</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微软雅黑" w:hAnsi="微软雅黑" w:eastAsia="微软雅黑" w:cs="微软雅黑"/>
                <w:color w:val="auto"/>
                <w:kern w:val="0"/>
                <w:sz w:val="18"/>
                <w:szCs w:val="18"/>
              </w:rPr>
            </w:pPr>
          </w:p>
        </w:tc>
      </w:tr>
      <w:tr>
        <w:tblPrEx>
          <w:tblCellMar>
            <w:top w:w="0" w:type="dxa"/>
            <w:left w:w="0" w:type="dxa"/>
            <w:bottom w:w="0" w:type="dxa"/>
            <w:right w:w="0" w:type="dxa"/>
          </w:tblCellMar>
        </w:tblPrEx>
        <w:trPr>
          <w:trHeight w:val="418"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平台软件</w:t>
            </w:r>
          </w:p>
          <w:p>
            <w:pPr>
              <w:pStyle w:val="4"/>
              <w:rPr>
                <w:color w:val="auto"/>
                <w:lang w:val="en-US"/>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tcPr>
          <w:p>
            <w:pPr>
              <w:widowControl/>
              <w:jc w:val="left"/>
              <w:textAlignment w:val="top"/>
              <w:rPr>
                <w:rStyle w:val="47"/>
                <w:rFonts w:hint="default"/>
                <w:color w:val="auto"/>
              </w:rPr>
            </w:pPr>
            <w:r>
              <w:rPr>
                <w:rStyle w:val="47"/>
                <w:rFonts w:hint="default"/>
                <w:color w:val="auto"/>
              </w:rPr>
              <w:t>物联网管路平台</w:t>
            </w:r>
          </w:p>
          <w:p>
            <w:pPr>
              <w:widowControl/>
              <w:jc w:val="left"/>
              <w:textAlignment w:val="top"/>
              <w:rPr>
                <w:rStyle w:val="47"/>
                <w:rFonts w:hint="default"/>
                <w:color w:val="auto"/>
              </w:rPr>
            </w:pPr>
            <w:r>
              <w:rPr>
                <w:rStyle w:val="47"/>
                <w:rFonts w:hint="default"/>
                <w:color w:val="auto"/>
              </w:rPr>
              <w:t>1.平台软件支持在Windows、Linux、Unix等主流操作系统部署。</w:t>
            </w:r>
            <w:r>
              <w:rPr>
                <w:rStyle w:val="47"/>
                <w:rFonts w:hint="default"/>
                <w:color w:val="auto"/>
              </w:rPr>
              <w:br w:type="textWrapping"/>
            </w:r>
            <w:r>
              <w:rPr>
                <w:rStyle w:val="47"/>
                <w:rFonts w:hint="default"/>
                <w:color w:val="auto"/>
              </w:rPr>
              <w:t>2</w:t>
            </w:r>
            <w:r>
              <w:rPr>
                <w:rStyle w:val="48"/>
                <w:rFonts w:hint="default"/>
                <w:color w:val="auto"/>
              </w:rPr>
              <w:t>.</w:t>
            </w:r>
            <w:r>
              <w:rPr>
                <w:rStyle w:val="48"/>
                <w:rFonts w:hint="default"/>
                <w:b w:val="0"/>
                <w:bCs/>
                <w:color w:val="auto"/>
              </w:rPr>
              <w:t>平台软件支持公有云部署</w:t>
            </w:r>
            <w:r>
              <w:rPr>
                <w:rStyle w:val="47"/>
                <w:rFonts w:hint="default"/>
                <w:bCs/>
                <w:color w:val="auto"/>
              </w:rPr>
              <w:t>。</w:t>
            </w:r>
            <w:r>
              <w:rPr>
                <w:rStyle w:val="47"/>
                <w:rFonts w:hint="default"/>
                <w:color w:val="auto"/>
              </w:rPr>
              <w:br w:type="textWrapping"/>
            </w:r>
            <w:r>
              <w:rPr>
                <w:rStyle w:val="47"/>
                <w:rFonts w:hint="default"/>
                <w:color w:val="auto"/>
              </w:rPr>
              <w:t>3.平台软件配置完全基于浏览器方式。支持主流IE、Edge、火狐、谷歌等浏览器端，不可安装任何插件包（如：Flash控件、ActiveX控件、Applet控件）。</w:t>
            </w:r>
            <w:r>
              <w:rPr>
                <w:rStyle w:val="47"/>
                <w:rFonts w:hint="default"/>
                <w:color w:val="auto"/>
              </w:rPr>
              <w:br w:type="textWrapping"/>
            </w:r>
            <w:r>
              <w:rPr>
                <w:rStyle w:val="47"/>
                <w:rFonts w:hint="default"/>
                <w:color w:val="auto"/>
              </w:rPr>
              <w:t>4.人机界面为SVG矢量图格式。</w:t>
            </w:r>
            <w:r>
              <w:rPr>
                <w:rStyle w:val="47"/>
                <w:rFonts w:hint="default"/>
                <w:color w:val="auto"/>
              </w:rPr>
              <w:br w:type="textWrapping"/>
            </w:r>
            <w:r>
              <w:rPr>
                <w:rStyle w:val="47"/>
                <w:rFonts w:hint="default"/>
                <w:color w:val="auto"/>
              </w:rPr>
              <w:t>5.菜单、布局方式支持全面可配置。</w:t>
            </w:r>
            <w:r>
              <w:rPr>
                <w:rStyle w:val="47"/>
                <w:rFonts w:hint="default"/>
                <w:color w:val="auto"/>
              </w:rPr>
              <w:br w:type="textWrapping"/>
            </w:r>
            <w:r>
              <w:rPr>
                <w:rStyle w:val="47"/>
                <w:rFonts w:hint="default"/>
                <w:color w:val="auto"/>
              </w:rPr>
              <w:t>6.包含Android和IOS手机移动版本。</w:t>
            </w:r>
            <w:r>
              <w:rPr>
                <w:rStyle w:val="47"/>
                <w:rFonts w:hint="default"/>
                <w:color w:val="auto"/>
              </w:rPr>
              <w:br w:type="textWrapping"/>
            </w:r>
            <w:r>
              <w:rPr>
                <w:rStyle w:val="47"/>
                <w:rFonts w:hint="default"/>
                <w:color w:val="auto"/>
              </w:rPr>
              <w:t>7.支持微信公众号实现信息同步发布。</w:t>
            </w:r>
            <w:r>
              <w:rPr>
                <w:rStyle w:val="47"/>
                <w:rFonts w:hint="default"/>
                <w:color w:val="auto"/>
              </w:rPr>
              <w:br w:type="textWrapping"/>
            </w:r>
            <w:r>
              <w:rPr>
                <w:rStyle w:val="47"/>
                <w:rFonts w:hint="default"/>
                <w:color w:val="auto"/>
              </w:rPr>
              <w:t>8.系统包含拖拽式人机界面和报表设计器，可完全实现用户界面个性化定制。</w:t>
            </w:r>
            <w:r>
              <w:rPr>
                <w:rStyle w:val="47"/>
                <w:rFonts w:hint="default"/>
                <w:color w:val="auto"/>
              </w:rPr>
              <w:br w:type="textWrapping"/>
            </w:r>
            <w:r>
              <w:rPr>
                <w:rStyle w:val="47"/>
                <w:rFonts w:hint="default"/>
                <w:color w:val="auto"/>
              </w:rPr>
              <w:t>9.系统支持分布式管理；</w:t>
            </w:r>
            <w:r>
              <w:rPr>
                <w:rStyle w:val="47"/>
                <w:rFonts w:hint="default"/>
                <w:color w:val="auto"/>
              </w:rPr>
              <w:br w:type="textWrapping"/>
            </w:r>
            <w:r>
              <w:rPr>
                <w:rStyle w:val="47"/>
                <w:rFonts w:hint="default"/>
                <w:color w:val="auto"/>
              </w:rPr>
              <w:t>10.支持单机、单网、双网等网络拓扑；</w:t>
            </w:r>
            <w:r>
              <w:rPr>
                <w:rStyle w:val="47"/>
                <w:rFonts w:hint="default"/>
                <w:color w:val="auto"/>
              </w:rPr>
              <w:br w:type="textWrapping"/>
            </w:r>
            <w:r>
              <w:rPr>
                <w:rStyle w:val="47"/>
                <w:rFonts w:hint="default"/>
                <w:color w:val="auto"/>
              </w:rPr>
              <w:t>11.支持主流开放式工控行业及物联网标准，支持LoRa、ZigBee、OPC、OPC-UA、Modbus、MQTT等多种开放式通信协议，能迅速与多种智能仪表、传感器、PLC等通信；支持快速配置自定义协议（非编码格式，图形化配置界面），支持平台下发协议解析规则到终端或平台透传指令到终端。</w:t>
            </w:r>
            <w:r>
              <w:rPr>
                <w:rStyle w:val="47"/>
                <w:rFonts w:hint="default"/>
                <w:color w:val="auto"/>
              </w:rPr>
              <w:br w:type="textWrapping"/>
            </w:r>
            <w:r>
              <w:rPr>
                <w:rStyle w:val="47"/>
                <w:rFonts w:hint="default"/>
                <w:color w:val="auto"/>
              </w:rPr>
              <w:t>12.支持MySQL、Oracle、SQL Server等多种主流关系型数据库存储历史数据。</w:t>
            </w:r>
            <w:r>
              <w:rPr>
                <w:rStyle w:val="47"/>
                <w:rFonts w:hint="default"/>
                <w:color w:val="auto"/>
              </w:rPr>
              <w:br w:type="textWrapping"/>
            </w:r>
            <w:r>
              <w:rPr>
                <w:rStyle w:val="47"/>
                <w:rFonts w:hint="default"/>
                <w:color w:val="auto"/>
              </w:rPr>
              <w:t>13.支持驱动插件式管理，驱动模块即插即用。</w:t>
            </w:r>
            <w:r>
              <w:rPr>
                <w:rStyle w:val="47"/>
                <w:rFonts w:hint="default"/>
                <w:color w:val="auto"/>
              </w:rPr>
              <w:br w:type="textWrapping"/>
            </w:r>
            <w:r>
              <w:rPr>
                <w:rStyle w:val="47"/>
                <w:rFonts w:hint="default"/>
                <w:color w:val="auto"/>
              </w:rPr>
              <w:t>14.提供物联网智能设备典型应用场景监控和联动配置</w:t>
            </w:r>
          </w:p>
          <w:p>
            <w:pPr>
              <w:widowControl/>
              <w:jc w:val="left"/>
              <w:textAlignment w:val="top"/>
              <w:rPr>
                <w:rFonts w:ascii="宋体" w:hAnsi="宋体" w:cs="宋体"/>
                <w:color w:val="auto"/>
                <w:sz w:val="18"/>
                <w:szCs w:val="18"/>
              </w:rPr>
            </w:pPr>
            <w:r>
              <w:rPr>
                <w:rStyle w:val="47"/>
                <w:rFonts w:hint="default"/>
                <w:color w:val="auto"/>
              </w:rPr>
              <w:t>15.支持5个接入点（报告厅1个点、大会议室、中会议室、小会议室均算一个接入点）</w:t>
            </w:r>
            <w:r>
              <w:rPr>
                <w:rStyle w:val="47"/>
                <w:rFonts w:hint="default"/>
                <w:color w:val="auto"/>
              </w:rPr>
              <w:br w:type="textWrapping"/>
            </w:r>
            <w:r>
              <w:rPr>
                <w:rStyle w:val="47"/>
                <w:rFonts w:hint="default"/>
                <w:color w:val="auto"/>
              </w:rPr>
              <w:t>16.提供对角色名称、描述、权限类型的配置，能够实现不同用户的控制权限控制。</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rPr>
              <w:t>套</w:t>
            </w:r>
          </w:p>
        </w:tc>
      </w:tr>
      <w:tr>
        <w:tblPrEx>
          <w:tblCellMar>
            <w:top w:w="0" w:type="dxa"/>
            <w:left w:w="0" w:type="dxa"/>
            <w:bottom w:w="0" w:type="dxa"/>
            <w:right w:w="0" w:type="dxa"/>
          </w:tblCellMar>
        </w:tblPrEx>
        <w:trPr>
          <w:trHeight w:val="580" w:hRule="atLeast"/>
          <w:jc w:val="center"/>
        </w:trPr>
        <w:tc>
          <w:tcPr>
            <w:tcW w:w="557" w:type="dxa"/>
            <w:tcBorders>
              <w:top w:val="single" w:color="auto"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2</w:t>
            </w:r>
          </w:p>
        </w:tc>
        <w:tc>
          <w:tcPr>
            <w:tcW w:w="883" w:type="dxa"/>
            <w:vMerge w:val="continue"/>
            <w:tcBorders>
              <w:top w:val="single" w:color="auto"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ascii="宋体" w:hAnsi="宋体" w:cs="宋体"/>
                <w:color w:val="auto"/>
                <w:sz w:val="18"/>
                <w:szCs w:val="18"/>
              </w:rPr>
            </w:pPr>
          </w:p>
        </w:tc>
        <w:tc>
          <w:tcPr>
            <w:tcW w:w="7567" w:type="dxa"/>
            <w:tcBorders>
              <w:top w:val="single" w:color="auto"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接入license, X3650M5 E5-2603V4 16G 1T硬盘 RAID 1  单电 DVD</w:t>
            </w:r>
          </w:p>
        </w:tc>
        <w:tc>
          <w:tcPr>
            <w:tcW w:w="677" w:type="dxa"/>
            <w:tcBorders>
              <w:top w:val="single" w:color="auto"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20</w:t>
            </w:r>
          </w:p>
        </w:tc>
        <w:tc>
          <w:tcPr>
            <w:tcW w:w="780" w:type="dxa"/>
            <w:tcBorders>
              <w:top w:val="single" w:color="auto"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点</w:t>
            </w:r>
          </w:p>
        </w:tc>
      </w:tr>
      <w:tr>
        <w:tblPrEx>
          <w:tblCellMar>
            <w:top w:w="0" w:type="dxa"/>
            <w:left w:w="0" w:type="dxa"/>
            <w:bottom w:w="0" w:type="dxa"/>
            <w:right w:w="0" w:type="dxa"/>
          </w:tblCellMar>
        </w:tblPrEx>
        <w:trPr>
          <w:trHeight w:val="701"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3</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智能网关</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tcPr>
          <w:p>
            <w:pPr>
              <w:widowControl/>
              <w:jc w:val="left"/>
              <w:textAlignment w:val="top"/>
              <w:rPr>
                <w:rFonts w:ascii="宋体" w:hAnsi="宋体" w:cs="宋体"/>
                <w:color w:val="auto"/>
                <w:kern w:val="0"/>
                <w:sz w:val="18"/>
                <w:szCs w:val="18"/>
              </w:rPr>
            </w:pPr>
            <w:r>
              <w:rPr>
                <w:rFonts w:hint="eastAsia" w:ascii="宋体" w:hAnsi="宋体" w:cs="宋体"/>
                <w:color w:val="auto"/>
                <w:kern w:val="0"/>
                <w:sz w:val="18"/>
                <w:szCs w:val="18"/>
              </w:rPr>
              <w:t>物联网智能网关</w:t>
            </w:r>
          </w:p>
          <w:p>
            <w:pPr>
              <w:widowControl/>
              <w:jc w:val="left"/>
              <w:textAlignment w:val="top"/>
              <w:rPr>
                <w:rFonts w:ascii="宋体" w:hAnsi="宋体" w:cs="宋体"/>
                <w:color w:val="auto"/>
                <w:sz w:val="18"/>
                <w:szCs w:val="18"/>
              </w:rPr>
            </w:pPr>
            <w:r>
              <w:rPr>
                <w:rFonts w:hint="eastAsia" w:ascii="宋体" w:hAnsi="宋体" w:cs="宋体"/>
                <w:color w:val="auto"/>
                <w:kern w:val="0"/>
                <w:sz w:val="18"/>
                <w:szCs w:val="18"/>
              </w:rPr>
              <w:t>1、通信接口：ZigBee、WiFi、WAN</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2、工作电压：12VDC或802.3 af POE或USB OTG</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3、功耗：＜5W</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4、ZigBee通信速率：250kbps</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5、ZigBee通信距离：可视距离50米</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6、WiFi通信速率：150Mbps</w:t>
            </w:r>
            <w:r>
              <w:rPr>
                <w:rFonts w:hint="eastAsia" w:ascii="宋体" w:hAnsi="宋体" w:cs="宋体"/>
                <w:color w:val="auto"/>
                <w:kern w:val="0"/>
                <w:sz w:val="18"/>
                <w:szCs w:val="18"/>
              </w:rPr>
              <w:br w:type="textWrapping"/>
            </w:r>
            <w:r>
              <w:rPr>
                <w:rFonts w:hint="eastAsia" w:ascii="宋体" w:hAnsi="宋体" w:cs="宋体"/>
                <w:color w:val="auto"/>
                <w:kern w:val="0"/>
                <w:sz w:val="18"/>
                <w:szCs w:val="18"/>
              </w:rPr>
              <w:t>7、WiFi通信距离：可视距离10米</w:t>
            </w:r>
            <w:r>
              <w:rPr>
                <w:rFonts w:hint="eastAsia" w:ascii="宋体" w:hAnsi="宋体" w:cs="宋体"/>
                <w:color w:val="auto"/>
                <w:kern w:val="0"/>
                <w:sz w:val="18"/>
                <w:szCs w:val="18"/>
              </w:rPr>
              <w:br w:type="textWrapping"/>
            </w:r>
            <w:r>
              <w:rPr>
                <w:rFonts w:hint="eastAsia" w:ascii="宋体" w:hAnsi="宋体" w:cs="宋体"/>
                <w:color w:val="auto"/>
                <w:kern w:val="0"/>
                <w:sz w:val="18"/>
                <w:szCs w:val="18"/>
              </w:rPr>
              <w:t>8、工作温度：-10℃～50℃</w:t>
            </w:r>
            <w:r>
              <w:rPr>
                <w:rFonts w:hint="eastAsia" w:ascii="宋体" w:hAnsi="宋体" w:cs="宋体"/>
                <w:color w:val="auto"/>
                <w:kern w:val="0"/>
                <w:sz w:val="18"/>
                <w:szCs w:val="18"/>
              </w:rPr>
              <w:br w:type="textWrapping"/>
            </w:r>
            <w:r>
              <w:rPr>
                <w:rFonts w:hint="eastAsia" w:ascii="宋体" w:hAnsi="宋体" w:cs="宋体"/>
                <w:color w:val="auto"/>
                <w:kern w:val="0"/>
                <w:sz w:val="18"/>
                <w:szCs w:val="18"/>
              </w:rPr>
              <w:t>9、工作湿度：10%～90%RH</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10、可选配件：POE电源适配器,POE交换机</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11、产品尺寸：L86*W86*H38mm</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12、最小包装数：99</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台</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4</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照明智能开关</w:t>
            </w:r>
          </w:p>
        </w:tc>
        <w:tc>
          <w:tcPr>
            <w:tcW w:w="7567" w:type="dxa"/>
            <w:vMerge w:val="restart"/>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1、电源需求：AC180V-250V/50Hz;</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2、开关功耗：360mW;</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3、通信控制：ZigBee IEEE802.15.4 2.4GHz;</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4、负载数量：单路 双路 三路</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5、功率容量：阻性负载 2000 1000 600；感性负载 200 100 60；容性负载 200 100 60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只</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5</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ascii="宋体" w:hAnsi="宋体" w:cs="宋体"/>
                <w:color w:val="auto"/>
                <w:sz w:val="18"/>
                <w:szCs w:val="18"/>
              </w:rPr>
            </w:pPr>
          </w:p>
        </w:tc>
        <w:tc>
          <w:tcPr>
            <w:tcW w:w="7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left"/>
              <w:rPr>
                <w:rFonts w:ascii="宋体" w:hAnsi="宋体" w:cs="宋体"/>
                <w:color w:val="auto"/>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只</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6</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ascii="宋体" w:hAnsi="宋体" w:cs="宋体"/>
                <w:color w:val="auto"/>
                <w:sz w:val="18"/>
                <w:szCs w:val="18"/>
              </w:rPr>
            </w:pPr>
          </w:p>
        </w:tc>
        <w:tc>
          <w:tcPr>
            <w:tcW w:w="7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left"/>
              <w:rPr>
                <w:rFonts w:ascii="宋体" w:hAnsi="宋体" w:cs="宋体"/>
                <w:color w:val="auto"/>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只</w:t>
            </w:r>
          </w:p>
        </w:tc>
      </w:tr>
      <w:tr>
        <w:tblPrEx>
          <w:tblCellMar>
            <w:top w:w="0" w:type="dxa"/>
            <w:left w:w="0" w:type="dxa"/>
            <w:bottom w:w="0" w:type="dxa"/>
            <w:right w:w="0" w:type="dxa"/>
          </w:tblCellMar>
        </w:tblPrEx>
        <w:trPr>
          <w:trHeight w:val="21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7</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音箱设备控制</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tcPr>
          <w:p>
            <w:pPr>
              <w:widowControl/>
              <w:jc w:val="left"/>
              <w:textAlignment w:val="top"/>
              <w:rPr>
                <w:rFonts w:ascii="宋体" w:hAnsi="宋体" w:cs="宋体"/>
                <w:color w:val="auto"/>
                <w:kern w:val="0"/>
                <w:sz w:val="18"/>
                <w:szCs w:val="18"/>
              </w:rPr>
            </w:pPr>
            <w:r>
              <w:rPr>
                <w:rFonts w:hint="eastAsia" w:ascii="宋体" w:hAnsi="宋体" w:cs="宋体"/>
                <w:color w:val="auto"/>
                <w:kern w:val="0"/>
                <w:sz w:val="18"/>
                <w:szCs w:val="18"/>
              </w:rPr>
              <w:t>无线透传模块</w:t>
            </w:r>
          </w:p>
          <w:p>
            <w:pPr>
              <w:widowControl/>
              <w:jc w:val="left"/>
              <w:textAlignment w:val="top"/>
              <w:rPr>
                <w:rFonts w:ascii="宋体" w:hAnsi="宋体" w:cs="宋体"/>
                <w:color w:val="auto"/>
                <w:sz w:val="18"/>
                <w:szCs w:val="18"/>
              </w:rPr>
            </w:pPr>
            <w:r>
              <w:rPr>
                <w:rFonts w:hint="eastAsia" w:ascii="宋体" w:hAnsi="宋体" w:cs="宋体"/>
                <w:color w:val="auto"/>
                <w:kern w:val="0"/>
                <w:sz w:val="18"/>
                <w:szCs w:val="18"/>
              </w:rPr>
              <w:t>1、标准认证： FCC/CE     2、无线标准： 支持Wifi 802.11 b/g/n和ZigBee 802.15.4标准</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3、频率范围：2.412GHz-2.484GHz     4、数据接口：RS232：300～460.8Kbps</w:t>
            </w:r>
            <w:r>
              <w:rPr>
                <w:rFonts w:hint="eastAsia" w:ascii="宋体" w:hAnsi="宋体" w:cs="宋体"/>
                <w:color w:val="auto"/>
                <w:kern w:val="0"/>
                <w:sz w:val="18"/>
                <w:szCs w:val="18"/>
              </w:rPr>
              <w:br w:type="textWrapping"/>
            </w:r>
            <w:r>
              <w:rPr>
                <w:rFonts w:hint="eastAsia" w:ascii="宋体" w:hAnsi="宋体" w:cs="宋体"/>
                <w:color w:val="auto"/>
                <w:kern w:val="0"/>
                <w:sz w:val="18"/>
                <w:szCs w:val="18"/>
              </w:rPr>
              <w:t xml:space="preserve">  RS485：300～230.4Kbps485接口(防浪涌，防雷保护,过流保护)以太网：10Mbps/100Mbps</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5、工作电压：DC5V    6、工作温度：-40℃～ 80℃</w:t>
            </w:r>
            <w:r>
              <w:rPr>
                <w:rFonts w:hint="eastAsia" w:ascii="宋体" w:hAnsi="宋体" w:cs="宋体"/>
                <w:color w:val="auto"/>
                <w:kern w:val="0"/>
                <w:sz w:val="18"/>
                <w:szCs w:val="18"/>
              </w:rPr>
              <w:br w:type="textWrapping"/>
            </w:r>
            <w:r>
              <w:rPr>
                <w:rFonts w:hint="eastAsia" w:ascii="宋体" w:hAnsi="宋体" w:cs="宋体"/>
                <w:color w:val="auto"/>
                <w:kern w:val="0"/>
                <w:sz w:val="18"/>
                <w:szCs w:val="18"/>
              </w:rPr>
              <w:t>7、无线网络类型：Station/AP/AP+Station模式   8、安全机制：WEP/WPA-PSK/WPA2-PSK</w:t>
            </w:r>
            <w:r>
              <w:rPr>
                <w:rFonts w:hint="eastAsia" w:ascii="宋体" w:hAnsi="宋体" w:cs="宋体"/>
                <w:color w:val="auto"/>
                <w:kern w:val="0"/>
                <w:sz w:val="18"/>
                <w:szCs w:val="18"/>
              </w:rPr>
              <w:br w:type="textWrapping"/>
            </w:r>
            <w:r>
              <w:rPr>
                <w:rFonts w:hint="eastAsia" w:ascii="宋体" w:hAnsi="宋体" w:cs="宋体"/>
                <w:color w:val="auto"/>
                <w:kern w:val="0"/>
                <w:sz w:val="18"/>
                <w:szCs w:val="18"/>
              </w:rPr>
              <w:t>9、加密类型：WEP64/WEP128/TKIP/AES    10、工作模式：透明传输、串口指令设置命令：AT+命令结构</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11、网络协议：TCP/UDP/ARP/ICMP/DHCP/DNS/HTTP    12、最大TCP连接数：24</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13、用户配置： Web服务器＋AT命令 配置    14、客户应用软件：支持客户定制应用软件</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15、可靠性机制：设备加电自动上线，掉线自动恢复</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只</w:t>
            </w:r>
          </w:p>
        </w:tc>
      </w:tr>
      <w:tr>
        <w:tblPrEx>
          <w:tblCellMar>
            <w:top w:w="0" w:type="dxa"/>
            <w:left w:w="0" w:type="dxa"/>
            <w:bottom w:w="0" w:type="dxa"/>
            <w:right w:w="0" w:type="dxa"/>
          </w:tblCellMar>
        </w:tblPrEx>
        <w:trPr>
          <w:trHeight w:val="106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8</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ascii="宋体" w:hAnsi="宋体" w:cs="宋体"/>
                <w:color w:val="auto"/>
                <w:sz w:val="18"/>
                <w:szCs w:val="18"/>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tcPr>
          <w:p>
            <w:pPr>
              <w:widowControl/>
              <w:jc w:val="left"/>
              <w:textAlignment w:val="top"/>
              <w:rPr>
                <w:rFonts w:ascii="宋体" w:hAnsi="宋体" w:cs="宋体"/>
                <w:color w:val="auto"/>
                <w:kern w:val="0"/>
                <w:sz w:val="18"/>
                <w:szCs w:val="18"/>
              </w:rPr>
            </w:pPr>
            <w:r>
              <w:rPr>
                <w:rFonts w:hint="eastAsia" w:ascii="宋体" w:hAnsi="宋体" w:cs="宋体"/>
                <w:color w:val="auto"/>
                <w:kern w:val="0"/>
                <w:sz w:val="18"/>
                <w:szCs w:val="18"/>
              </w:rPr>
              <w:t>断电器模块</w:t>
            </w:r>
          </w:p>
          <w:p>
            <w:pPr>
              <w:widowControl/>
              <w:jc w:val="left"/>
              <w:textAlignment w:val="top"/>
              <w:rPr>
                <w:rFonts w:ascii="宋体" w:hAnsi="宋体" w:cs="宋体"/>
                <w:color w:val="auto"/>
                <w:sz w:val="18"/>
                <w:szCs w:val="18"/>
              </w:rPr>
            </w:pPr>
            <w:r>
              <w:rPr>
                <w:rFonts w:hint="eastAsia" w:ascii="宋体" w:hAnsi="宋体" w:cs="宋体"/>
                <w:color w:val="auto"/>
                <w:kern w:val="0"/>
                <w:sz w:val="18"/>
                <w:szCs w:val="18"/>
              </w:rPr>
              <w:t>1、继电器输出触电容量30V10A-250V10A;</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2、通讯接口为RS485；</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3、通讯协议采用Modbus协议，通讯波特率：9600；</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4、继电器均具有闪开闪断、频闪功能；</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只</w:t>
            </w:r>
          </w:p>
        </w:tc>
      </w:tr>
      <w:tr>
        <w:tblPrEx>
          <w:tblCellMar>
            <w:top w:w="0" w:type="dxa"/>
            <w:left w:w="0" w:type="dxa"/>
            <w:bottom w:w="0" w:type="dxa"/>
            <w:right w:w="0" w:type="dxa"/>
          </w:tblCellMar>
        </w:tblPrEx>
        <w:trPr>
          <w:trHeight w:val="1074"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9</w:t>
            </w:r>
          </w:p>
        </w:tc>
        <w:tc>
          <w:tcPr>
            <w:tcW w:w="883" w:type="dxa"/>
            <w:vMerge w:val="continue"/>
            <w:tcBorders>
              <w:top w:val="single" w:color="000000" w:sz="4" w:space="0"/>
              <w:left w:val="single" w:color="000000" w:sz="4" w:space="0"/>
              <w:bottom w:val="single" w:color="auto" w:sz="4" w:space="0"/>
              <w:right w:val="single" w:color="000000" w:sz="4" w:space="0"/>
            </w:tcBorders>
            <w:shd w:val="clear" w:color="auto" w:fill="auto"/>
            <w:tcMar>
              <w:top w:w="9" w:type="dxa"/>
              <w:left w:w="9" w:type="dxa"/>
              <w:right w:w="9" w:type="dxa"/>
            </w:tcMar>
            <w:vAlign w:val="center"/>
          </w:tcPr>
          <w:p>
            <w:pPr>
              <w:jc w:val="center"/>
              <w:rPr>
                <w:rFonts w:ascii="宋体" w:hAnsi="宋体" w:cs="宋体"/>
                <w:color w:val="auto"/>
                <w:sz w:val="18"/>
                <w:szCs w:val="18"/>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tcPr>
          <w:p>
            <w:pPr>
              <w:widowControl/>
              <w:jc w:val="left"/>
              <w:textAlignment w:val="top"/>
              <w:rPr>
                <w:rFonts w:ascii="宋体" w:hAnsi="宋体" w:cs="宋体"/>
                <w:color w:val="auto"/>
                <w:kern w:val="0"/>
                <w:sz w:val="18"/>
                <w:szCs w:val="18"/>
              </w:rPr>
            </w:pPr>
            <w:r>
              <w:rPr>
                <w:rFonts w:hint="eastAsia" w:ascii="宋体" w:hAnsi="宋体" w:cs="宋体"/>
                <w:color w:val="auto"/>
                <w:kern w:val="0"/>
                <w:sz w:val="18"/>
                <w:szCs w:val="18"/>
              </w:rPr>
              <w:t>智能插座</w:t>
            </w:r>
          </w:p>
          <w:p>
            <w:pPr>
              <w:widowControl/>
              <w:jc w:val="left"/>
              <w:textAlignment w:val="top"/>
              <w:rPr>
                <w:rFonts w:ascii="宋体" w:hAnsi="宋体" w:cs="宋体"/>
                <w:color w:val="auto"/>
                <w:sz w:val="18"/>
                <w:szCs w:val="18"/>
              </w:rPr>
            </w:pPr>
            <w:r>
              <w:rPr>
                <w:rFonts w:hint="eastAsia" w:ascii="宋体" w:hAnsi="宋体" w:cs="宋体"/>
                <w:color w:val="auto"/>
                <w:kern w:val="0"/>
                <w:sz w:val="18"/>
                <w:szCs w:val="18"/>
              </w:rPr>
              <w:t>1、通信接口：ZigBee（可视距离20米）</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2、工作电压：220~240VAC</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3、静态功耗：＜0.5W</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4、最大电流：10A（阻性负载）</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5、工作温度：-10℃～50℃</w:t>
            </w:r>
            <w:r>
              <w:rPr>
                <w:rFonts w:hint="eastAsia" w:ascii="宋体" w:hAnsi="宋体" w:cs="宋体"/>
                <w:color w:val="auto"/>
                <w:kern w:val="0"/>
                <w:sz w:val="18"/>
                <w:szCs w:val="18"/>
              </w:rPr>
              <w:br w:type="textWrapping"/>
            </w:r>
            <w:r>
              <w:rPr>
                <w:rFonts w:hint="eastAsia" w:ascii="宋体" w:hAnsi="宋体" w:cs="宋体"/>
                <w:color w:val="auto"/>
                <w:kern w:val="0"/>
                <w:sz w:val="18"/>
                <w:szCs w:val="18"/>
              </w:rPr>
              <w:t xml:space="preserve">6、工作湿度：10%～90%RH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7、可实时检测用电器（负载）的电量、实时电流、实时有功功率等用电参数信息，并在手机上显示；可远程开关插座，停电后保留电能累计值</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只</w:t>
            </w:r>
          </w:p>
        </w:tc>
      </w:tr>
      <w:tr>
        <w:tblPrEx>
          <w:tblCellMar>
            <w:top w:w="0" w:type="dxa"/>
            <w:left w:w="0" w:type="dxa"/>
            <w:bottom w:w="0" w:type="dxa"/>
            <w:right w:w="0" w:type="dxa"/>
          </w:tblCellMar>
        </w:tblPrEx>
        <w:trPr>
          <w:trHeight w:val="142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10</w:t>
            </w:r>
          </w:p>
        </w:tc>
        <w:tc>
          <w:tcPr>
            <w:tcW w:w="883" w:type="dxa"/>
            <w:vMerge w:val="restart"/>
            <w:tcBorders>
              <w:top w:val="single" w:color="auto"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多媒体智能控制</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tcPr>
          <w:p>
            <w:pPr>
              <w:widowControl/>
              <w:jc w:val="left"/>
              <w:textAlignment w:val="top"/>
              <w:rPr>
                <w:rFonts w:ascii="宋体" w:hAnsi="宋体" w:cs="宋体"/>
                <w:color w:val="auto"/>
                <w:sz w:val="18"/>
                <w:szCs w:val="18"/>
              </w:rPr>
            </w:pPr>
            <w:r>
              <w:rPr>
                <w:rFonts w:hint="eastAsia" w:ascii="宋体" w:hAnsi="宋体" w:cs="宋体"/>
                <w:color w:val="auto"/>
                <w:kern w:val="0"/>
                <w:sz w:val="18"/>
                <w:szCs w:val="18"/>
              </w:rPr>
              <w:t>对媒体控制套件。为智能断路器提供低压直流电源，并提供放雷击浪涌保护。</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1、工作环境：-15℃-40℃，≤95%RH，海拔≤2000m；</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2、额定输入电压：AC100V-265V;</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3、防雷击浪涌保护最大泄放电流：15kA;</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4、额定输出电压：DC12V;</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5、额定输出电流：MAX DC2.5A</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套</w:t>
            </w:r>
          </w:p>
        </w:tc>
      </w:tr>
      <w:tr>
        <w:tblPrEx>
          <w:tblCellMar>
            <w:top w:w="0" w:type="dxa"/>
            <w:left w:w="0" w:type="dxa"/>
            <w:bottom w:w="0" w:type="dxa"/>
            <w:right w:w="0" w:type="dxa"/>
          </w:tblCellMar>
        </w:tblPrEx>
        <w:trPr>
          <w:trHeight w:val="76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11</w:t>
            </w:r>
          </w:p>
        </w:tc>
        <w:tc>
          <w:tcPr>
            <w:tcW w:w="883" w:type="dxa"/>
            <w:vMerge w:val="continue"/>
            <w:tcBorders>
              <w:top w:val="single" w:color="auto"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ascii="宋体" w:hAnsi="宋体" w:cs="宋体"/>
                <w:color w:val="auto"/>
                <w:sz w:val="18"/>
                <w:szCs w:val="18"/>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tcPr>
          <w:p>
            <w:pPr>
              <w:widowControl/>
              <w:jc w:val="left"/>
              <w:textAlignment w:val="top"/>
              <w:rPr>
                <w:rFonts w:ascii="宋体" w:hAnsi="宋体" w:cs="宋体"/>
                <w:color w:val="auto"/>
                <w:kern w:val="0"/>
                <w:sz w:val="18"/>
                <w:szCs w:val="18"/>
              </w:rPr>
            </w:pPr>
            <w:r>
              <w:rPr>
                <w:rFonts w:hint="eastAsia" w:ascii="宋体" w:hAnsi="宋体" w:cs="宋体"/>
                <w:color w:val="auto"/>
                <w:kern w:val="0"/>
                <w:sz w:val="18"/>
                <w:szCs w:val="18"/>
              </w:rPr>
              <w:t>通讯模块</w:t>
            </w:r>
          </w:p>
          <w:p>
            <w:pPr>
              <w:widowControl/>
              <w:jc w:val="left"/>
              <w:textAlignment w:val="top"/>
              <w:rPr>
                <w:rFonts w:ascii="宋体" w:hAnsi="宋体" w:cs="宋体"/>
                <w:color w:val="auto"/>
                <w:sz w:val="18"/>
                <w:szCs w:val="18"/>
              </w:rPr>
            </w:pPr>
            <w:r>
              <w:rPr>
                <w:rFonts w:hint="eastAsia" w:ascii="宋体" w:hAnsi="宋体" w:cs="宋体"/>
                <w:color w:val="auto"/>
                <w:kern w:val="0"/>
                <w:sz w:val="18"/>
                <w:szCs w:val="18"/>
              </w:rPr>
              <w:t>1、工作环境：-15℃-40℃，≤95%RH，海拔≤2000m；</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2、额定输入电压：DC12V;</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3、通讯协议：RS485</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套</w:t>
            </w:r>
          </w:p>
        </w:tc>
      </w:tr>
      <w:tr>
        <w:tblPrEx>
          <w:tblCellMar>
            <w:top w:w="0" w:type="dxa"/>
            <w:left w:w="0" w:type="dxa"/>
            <w:bottom w:w="0" w:type="dxa"/>
            <w:right w:w="0" w:type="dxa"/>
          </w:tblCellMar>
        </w:tblPrEx>
        <w:trPr>
          <w:trHeight w:val="14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12</w:t>
            </w:r>
          </w:p>
        </w:tc>
        <w:tc>
          <w:tcPr>
            <w:tcW w:w="883" w:type="dxa"/>
            <w:vMerge w:val="continue"/>
            <w:tcBorders>
              <w:top w:val="single" w:color="auto"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ascii="宋体" w:hAnsi="宋体" w:cs="宋体"/>
                <w:color w:val="auto"/>
                <w:sz w:val="18"/>
                <w:szCs w:val="18"/>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tcPr>
          <w:p>
            <w:pPr>
              <w:widowControl/>
              <w:jc w:val="left"/>
              <w:textAlignment w:val="top"/>
              <w:rPr>
                <w:rFonts w:ascii="宋体" w:hAnsi="宋体" w:cs="宋体"/>
                <w:color w:val="auto"/>
                <w:kern w:val="0"/>
                <w:sz w:val="18"/>
                <w:szCs w:val="18"/>
              </w:rPr>
            </w:pPr>
            <w:r>
              <w:rPr>
                <w:rFonts w:hint="eastAsia" w:ascii="宋体" w:hAnsi="宋体" w:cs="宋体"/>
                <w:color w:val="auto"/>
                <w:kern w:val="0"/>
                <w:sz w:val="18"/>
                <w:szCs w:val="18"/>
              </w:rPr>
              <w:t>智能空开S3-FC20</w:t>
            </w:r>
          </w:p>
          <w:p>
            <w:pPr>
              <w:widowControl/>
              <w:jc w:val="left"/>
              <w:textAlignment w:val="top"/>
              <w:rPr>
                <w:rFonts w:ascii="宋体" w:hAnsi="宋体" w:cs="宋体"/>
                <w:color w:val="auto"/>
                <w:sz w:val="18"/>
                <w:szCs w:val="18"/>
              </w:rPr>
            </w:pPr>
            <w:r>
              <w:rPr>
                <w:rFonts w:hint="eastAsia" w:ascii="宋体" w:hAnsi="宋体" w:cs="宋体"/>
                <w:color w:val="auto"/>
                <w:kern w:val="0"/>
                <w:sz w:val="18"/>
                <w:szCs w:val="18"/>
              </w:rPr>
              <w:t>1、额定电压：AC220V；</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2、额定电流：20A；</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3、功率限定：达到限定功率，5S后断路；</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4、手自动一体控制，可远程控制，也可按键自动控制，或通过手动推杆控制通断；</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5、短路保护：线路短路时，断电器0.04S断电保护；</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6、工作环境：-15℃-40℃，≤95%RH，海拔≤2000m；</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只</w:t>
            </w:r>
          </w:p>
        </w:tc>
      </w:tr>
      <w:tr>
        <w:tblPrEx>
          <w:tblCellMar>
            <w:top w:w="0" w:type="dxa"/>
            <w:left w:w="0" w:type="dxa"/>
            <w:bottom w:w="0" w:type="dxa"/>
            <w:right w:w="0" w:type="dxa"/>
          </w:tblCellMar>
        </w:tblPrEx>
        <w:trPr>
          <w:trHeight w:val="13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13</w:t>
            </w:r>
          </w:p>
        </w:tc>
        <w:tc>
          <w:tcPr>
            <w:tcW w:w="883" w:type="dxa"/>
            <w:vMerge w:val="continue"/>
            <w:tcBorders>
              <w:top w:val="single" w:color="auto"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jc w:val="center"/>
              <w:rPr>
                <w:rFonts w:ascii="宋体" w:hAnsi="宋体" w:cs="宋体"/>
                <w:color w:val="auto"/>
                <w:sz w:val="18"/>
                <w:szCs w:val="18"/>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tcPr>
          <w:p>
            <w:pPr>
              <w:widowControl/>
              <w:jc w:val="left"/>
              <w:textAlignment w:val="top"/>
              <w:rPr>
                <w:rFonts w:ascii="宋体" w:hAnsi="宋体" w:cs="宋体"/>
                <w:color w:val="auto"/>
                <w:kern w:val="0"/>
                <w:sz w:val="18"/>
                <w:szCs w:val="18"/>
              </w:rPr>
            </w:pPr>
            <w:r>
              <w:rPr>
                <w:rFonts w:hint="eastAsia" w:ascii="宋体" w:hAnsi="宋体" w:cs="宋体"/>
                <w:color w:val="auto"/>
                <w:kern w:val="0"/>
                <w:sz w:val="18"/>
                <w:szCs w:val="18"/>
              </w:rPr>
              <w:t>智能空开S3-FC32</w:t>
            </w:r>
          </w:p>
          <w:p>
            <w:pPr>
              <w:widowControl/>
              <w:jc w:val="left"/>
              <w:textAlignment w:val="top"/>
              <w:rPr>
                <w:rFonts w:ascii="宋体" w:hAnsi="宋体" w:cs="宋体"/>
                <w:color w:val="auto"/>
                <w:sz w:val="18"/>
                <w:szCs w:val="18"/>
              </w:rPr>
            </w:pPr>
            <w:r>
              <w:rPr>
                <w:rFonts w:hint="eastAsia" w:ascii="宋体" w:hAnsi="宋体" w:cs="宋体"/>
                <w:color w:val="auto"/>
                <w:kern w:val="0"/>
                <w:sz w:val="18"/>
                <w:szCs w:val="18"/>
              </w:rPr>
              <w:t>1、额定电压：AC220V；</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2、额定电流：32A；</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3、功率限定：达到限定功率，5S后断路；</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4、手自动一体控制，可远程控制，也可按键自动控制，或通过手动推杆控制通断；</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5、短路保护：线路短路时，断电器0.04S断电保护；</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6、工作环境：-15℃-40℃，≤95%RH，海拔≤2000m；</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只</w:t>
            </w:r>
          </w:p>
        </w:tc>
      </w:tr>
      <w:tr>
        <w:tblPrEx>
          <w:tblCellMar>
            <w:top w:w="0" w:type="dxa"/>
            <w:left w:w="0" w:type="dxa"/>
            <w:bottom w:w="0" w:type="dxa"/>
            <w:right w:w="0" w:type="dxa"/>
          </w:tblCellMar>
        </w:tblPrEx>
        <w:trPr>
          <w:trHeight w:val="58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14</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其他设备</w:t>
            </w:r>
          </w:p>
        </w:tc>
        <w:tc>
          <w:tcPr>
            <w:tcW w:w="756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配套线材、对接头等</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套</w:t>
            </w:r>
          </w:p>
        </w:tc>
      </w:tr>
    </w:tbl>
    <w:p>
      <w:pPr>
        <w:rPr>
          <w:color w:val="auto"/>
        </w:rPr>
      </w:pPr>
    </w:p>
    <w:p>
      <w:pPr>
        <w:pStyle w:val="2"/>
        <w:ind w:left="1470" w:right="1470"/>
        <w:rPr>
          <w:color w:val="auto"/>
        </w:rPr>
      </w:pPr>
    </w:p>
    <w:p>
      <w:pPr>
        <w:widowControl/>
        <w:jc w:val="left"/>
        <w:rPr>
          <w:rFonts w:ascii="宋体" w:cs="仿宋"/>
          <w:b/>
          <w:bCs/>
          <w:color w:val="auto"/>
          <w:sz w:val="28"/>
          <w:szCs w:val="28"/>
        </w:rPr>
      </w:pPr>
      <w:r>
        <w:rPr>
          <w:rFonts w:ascii="宋体" w:hAnsi="宋体" w:cs="宋体"/>
          <w:b/>
          <w:bCs/>
          <w:color w:val="auto"/>
          <w:sz w:val="28"/>
          <w:szCs w:val="28"/>
        </w:rPr>
        <w:t>注：报价时必须注明或说明品牌中具体投标品牌，否则投标无效。</w:t>
      </w:r>
      <w:r>
        <w:rPr>
          <w:rFonts w:ascii="宋体" w:hAnsi="宋体" w:cs="宋体"/>
          <w:b/>
          <w:bCs/>
          <w:color w:val="auto"/>
          <w:sz w:val="28"/>
          <w:szCs w:val="28"/>
        </w:rPr>
        <w:br w:type="textWrapping"/>
      </w:r>
      <w:r>
        <w:rPr>
          <w:rFonts w:ascii="宋体" w:hAnsi="宋体" w:cs="宋体"/>
          <w:b/>
          <w:bCs/>
          <w:color w:val="auto"/>
          <w:sz w:val="28"/>
          <w:szCs w:val="28"/>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Ansi="宋体"/>
          <w:b/>
          <w:color w:val="auto"/>
          <w:sz w:val="28"/>
          <w:szCs w:val="28"/>
        </w:rPr>
      </w:pPr>
      <w:r>
        <w:rPr>
          <w:rFonts w:hAnsi="宋体"/>
          <w:b/>
          <w:color w:val="auto"/>
          <w:sz w:val="28"/>
          <w:szCs w:val="28"/>
        </w:rPr>
        <w:br w:type="page"/>
      </w:r>
    </w:p>
    <w:p>
      <w:pPr>
        <w:widowControl/>
        <w:jc w:val="left"/>
        <w:rPr>
          <w:rFonts w:hAnsi="宋体"/>
          <w:b/>
          <w:color w:val="auto"/>
          <w:sz w:val="36"/>
          <w:szCs w:val="36"/>
        </w:rPr>
      </w:pPr>
      <w:r>
        <w:rPr>
          <w:rFonts w:hint="eastAsia" w:hAnsi="宋体"/>
          <w:b/>
          <w:color w:val="auto"/>
          <w:sz w:val="28"/>
          <w:szCs w:val="28"/>
        </w:rPr>
        <w:t>附件</w:t>
      </w:r>
      <w:r>
        <w:rPr>
          <w:rFonts w:hAnsi="宋体"/>
          <w:b/>
          <w:color w:val="auto"/>
          <w:sz w:val="28"/>
          <w:szCs w:val="28"/>
        </w:rPr>
        <w:t>2</w:t>
      </w:r>
      <w:r>
        <w:rPr>
          <w:rFonts w:hint="eastAsia" w:hAnsi="宋体"/>
          <w:b/>
          <w:color w:val="auto"/>
          <w:sz w:val="28"/>
          <w:szCs w:val="28"/>
        </w:rPr>
        <w:t>：</w:t>
      </w:r>
    </w:p>
    <w:p>
      <w:pPr>
        <w:tabs>
          <w:tab w:val="left" w:pos="3270"/>
        </w:tabs>
        <w:autoSpaceDE w:val="0"/>
        <w:autoSpaceDN w:val="0"/>
        <w:adjustRightInd w:val="0"/>
        <w:spacing w:line="360" w:lineRule="exact"/>
        <w:rPr>
          <w:rFonts w:ascii="宋体" w:hAnsi="宋体"/>
          <w:b/>
          <w:color w:val="auto"/>
          <w:sz w:val="24"/>
          <w:lang w:val="zh-CN"/>
        </w:rPr>
      </w:pPr>
      <w:bookmarkStart w:id="10" w:name="_Hlk9862420"/>
    </w:p>
    <w:p>
      <w:pPr>
        <w:autoSpaceDE w:val="0"/>
        <w:autoSpaceDN w:val="0"/>
        <w:adjustRightInd w:val="0"/>
        <w:spacing w:line="360" w:lineRule="exact"/>
        <w:ind w:firstLine="723" w:firstLineChars="200"/>
        <w:jc w:val="center"/>
        <w:rPr>
          <w:rFonts w:ascii="宋体" w:hAnsi="宋体"/>
          <w:b/>
          <w:color w:val="auto"/>
          <w:sz w:val="36"/>
          <w:szCs w:val="36"/>
          <w:lang w:val="zh-CN"/>
        </w:rPr>
      </w:pPr>
      <w:r>
        <w:rPr>
          <w:rFonts w:hint="eastAsia" w:ascii="宋体" w:hAnsi="宋体"/>
          <w:b/>
          <w:color w:val="auto"/>
          <w:sz w:val="36"/>
          <w:szCs w:val="36"/>
          <w:lang w:val="zh-CN"/>
        </w:rPr>
        <w:t>投标函</w:t>
      </w:r>
    </w:p>
    <w:p>
      <w:pPr>
        <w:autoSpaceDE w:val="0"/>
        <w:autoSpaceDN w:val="0"/>
        <w:adjustRightInd w:val="0"/>
        <w:spacing w:line="300" w:lineRule="auto"/>
        <w:rPr>
          <w:rFonts w:ascii="宋体" w:hAnsi="宋体"/>
          <w:color w:val="auto"/>
          <w:sz w:val="24"/>
          <w:lang w:val="zh-CN"/>
        </w:rPr>
      </w:pPr>
      <w:r>
        <w:rPr>
          <w:rFonts w:hint="eastAsia" w:ascii="宋体" w:hAnsi="宋体"/>
          <w:color w:val="auto"/>
          <w:sz w:val="24"/>
          <w:lang w:val="zh-CN"/>
        </w:rPr>
        <w:t>致：南京信息工程大学</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根据贵方（项目名称）（项目编号）投标邀请，正式授权下述签字人</w:t>
      </w:r>
      <w:r>
        <w:rPr>
          <w:rFonts w:ascii="宋体" w:hAnsi="宋体"/>
          <w:color w:val="auto"/>
          <w:sz w:val="24"/>
          <w:lang w:val="zh-CN"/>
        </w:rPr>
        <w:t>(</w:t>
      </w:r>
      <w:r>
        <w:rPr>
          <w:rFonts w:hint="eastAsia" w:ascii="宋体" w:hAnsi="宋体"/>
          <w:color w:val="auto"/>
          <w:sz w:val="24"/>
          <w:lang w:val="zh-CN"/>
        </w:rPr>
        <w:t>姓名和职务</w:t>
      </w:r>
      <w:r>
        <w:rPr>
          <w:rFonts w:ascii="宋体" w:hAnsi="宋体"/>
          <w:color w:val="auto"/>
          <w:sz w:val="24"/>
          <w:lang w:val="zh-CN"/>
        </w:rPr>
        <w:t>)</w:t>
      </w:r>
      <w:r>
        <w:rPr>
          <w:rFonts w:hint="eastAsia" w:ascii="宋体" w:hAnsi="宋体"/>
          <w:color w:val="auto"/>
          <w:sz w:val="24"/>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rPr>
      </w:pPr>
      <w:r>
        <w:rPr>
          <w:rFonts w:ascii="宋体" w:hAnsi="宋体"/>
          <w:color w:val="auto"/>
          <w:sz w:val="24"/>
          <w:lang w:val="zh-CN"/>
        </w:rPr>
        <w:t>1</w:t>
      </w:r>
      <w:r>
        <w:rPr>
          <w:rFonts w:hint="eastAsia" w:ascii="宋体" w:hAnsi="宋体"/>
          <w:color w:val="auto"/>
          <w:sz w:val="24"/>
          <w:lang w:val="zh-CN"/>
        </w:rPr>
        <w:t>、</w:t>
      </w:r>
      <w:r>
        <w:rPr>
          <w:rFonts w:hint="eastAsia" w:ascii="宋体" w:hAnsi="宋体"/>
          <w:b/>
          <w:color w:val="auto"/>
          <w:sz w:val="24"/>
          <w:lang w:val="zh-CN"/>
        </w:rPr>
        <w:t>我们的资格条件完全符合政府采购法和本次招标要求</w:t>
      </w:r>
      <w:r>
        <w:rPr>
          <w:rFonts w:hint="eastAsia" w:ascii="宋体" w:hAnsi="宋体"/>
          <w:color w:val="auto"/>
          <w:sz w:val="24"/>
          <w:lang w:val="zh-CN"/>
        </w:rPr>
        <w:t>，</w:t>
      </w:r>
      <w:r>
        <w:rPr>
          <w:rFonts w:hint="eastAsia" w:ascii="宋体" w:hAnsi="宋体"/>
          <w:color w:val="auto"/>
          <w:sz w:val="24"/>
        </w:rPr>
        <w:t>我们</w:t>
      </w:r>
      <w:r>
        <w:rPr>
          <w:rFonts w:hint="eastAsia" w:ascii="宋体" w:hAnsi="宋体"/>
          <w:color w:val="auto"/>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lang w:val="zh-CN"/>
        </w:rPr>
      </w:pPr>
      <w:r>
        <w:rPr>
          <w:rFonts w:ascii="宋体" w:hAnsi="宋体"/>
          <w:color w:val="auto"/>
          <w:sz w:val="24"/>
        </w:rPr>
        <w:t>2</w:t>
      </w:r>
      <w:r>
        <w:rPr>
          <w:rFonts w:hint="eastAsia" w:ascii="宋体" w:hAnsi="宋体"/>
          <w:color w:val="auto"/>
          <w:sz w:val="24"/>
        </w:rPr>
        <w:t>、</w:t>
      </w:r>
      <w:r>
        <w:rPr>
          <w:rFonts w:hint="eastAsia" w:ascii="宋体" w:hAnsi="宋体"/>
          <w:color w:val="auto"/>
          <w:sz w:val="24"/>
          <w:lang w:val="zh-CN"/>
        </w:rPr>
        <w:t>按招标要求，我们的投标总报价为人民币大写</w:t>
      </w:r>
      <w:r>
        <w:rPr>
          <w:rFonts w:hint="eastAsia" w:ascii="宋体" w:hAnsi="宋体"/>
          <w:color w:val="auto"/>
          <w:sz w:val="24"/>
          <w:u w:val="single"/>
          <w:lang w:val="zh-CN"/>
        </w:rPr>
        <w:t xml:space="preserve">                        ，</w:t>
      </w:r>
      <w:r>
        <w:rPr>
          <w:rFonts w:hint="eastAsia" w:ascii="宋体" w:hAnsi="宋体"/>
          <w:color w:val="auto"/>
          <w:sz w:val="24"/>
          <w:lang w:val="zh-CN"/>
        </w:rPr>
        <w:t>小写：</w:t>
      </w:r>
      <w:r>
        <w:rPr>
          <w:rFonts w:hint="eastAsia" w:ascii="宋体" w:hAnsi="宋体"/>
          <w:color w:val="auto"/>
          <w:sz w:val="24"/>
          <w:u w:val="single"/>
          <w:lang w:val="zh-CN"/>
        </w:rPr>
        <w:t>￥         。</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3、项目负责人</w:t>
      </w:r>
      <w:r>
        <w:rPr>
          <w:rFonts w:ascii="宋体" w:hAnsi="宋体"/>
          <w:color w:val="auto"/>
          <w:sz w:val="24"/>
          <w:lang w:val="zh-CN"/>
        </w:rPr>
        <w:t>(</w:t>
      </w:r>
      <w:r>
        <w:rPr>
          <w:rFonts w:hint="eastAsia" w:ascii="宋体" w:hAnsi="宋体"/>
          <w:color w:val="auto"/>
          <w:sz w:val="24"/>
          <w:lang w:val="zh-CN"/>
        </w:rPr>
        <w:t>姓名</w:t>
      </w:r>
      <w:r>
        <w:rPr>
          <w:rFonts w:ascii="宋体" w:hAnsi="宋体"/>
          <w:color w:val="auto"/>
          <w:sz w:val="24"/>
          <w:lang w:val="zh-CN"/>
        </w:rPr>
        <w:t>)</w:t>
      </w:r>
      <w:r>
        <w:rPr>
          <w:rFonts w:hint="eastAsia" w:ascii="宋体" w:hAnsi="宋体"/>
          <w:color w:val="auto"/>
          <w:sz w:val="24"/>
          <w:lang w:val="zh-CN"/>
        </w:rPr>
        <w:t>，身份证号。</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4、我们已详细审核全部招标文件及其有效补充文件，我们放弃对招标文件任何误解的权利，提交投标文件后，</w:t>
      </w:r>
      <w:r>
        <w:rPr>
          <w:rFonts w:hint="eastAsia" w:ascii="宋体" w:hAnsi="宋体"/>
          <w:b/>
          <w:color w:val="auto"/>
          <w:sz w:val="24"/>
          <w:lang w:val="zh-CN"/>
        </w:rPr>
        <w:t>不对招标文件本身提出质疑</w:t>
      </w:r>
      <w:r>
        <w:rPr>
          <w:rFonts w:hint="eastAsia" w:ascii="宋体" w:hAnsi="宋体"/>
          <w:color w:val="auto"/>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6、一旦我方中标，我方将根据招标文件的规定严格履行合同，并保证于承诺的时间完成服务的启动</w:t>
      </w:r>
      <w:r>
        <w:rPr>
          <w:rFonts w:ascii="宋体" w:hAnsi="宋体"/>
          <w:color w:val="auto"/>
          <w:sz w:val="24"/>
          <w:lang w:val="zh-CN"/>
        </w:rPr>
        <w:t>/</w:t>
      </w:r>
      <w:r>
        <w:rPr>
          <w:rFonts w:hint="eastAsia" w:ascii="宋体" w:hAnsi="宋体"/>
          <w:color w:val="auto"/>
          <w:sz w:val="24"/>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lang w:val="zh-CN"/>
        </w:rPr>
      </w:pPr>
      <w:r>
        <w:rPr>
          <w:rFonts w:ascii="宋体" w:hAnsi="宋体"/>
          <w:color w:val="auto"/>
          <w:sz w:val="24"/>
          <w:lang w:val="zh-CN"/>
        </w:rPr>
        <w:t>8</w:t>
      </w:r>
      <w:r>
        <w:rPr>
          <w:rFonts w:hint="eastAsia" w:ascii="宋体" w:hAnsi="宋体"/>
          <w:color w:val="auto"/>
          <w:sz w:val="24"/>
          <w:lang w:val="zh-CN"/>
        </w:rPr>
        <w:t>、与本投标有关的正式联系方式为：</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地址：</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电话：</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传真：</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开户银行：</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银行账号：</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投标人法定代表人姓名（签字）：</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投标人名称：（盖章）</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日期：     年   月    日</w:t>
      </w:r>
    </w:p>
    <w:p>
      <w:pPr>
        <w:spacing w:line="360" w:lineRule="auto"/>
        <w:rPr>
          <w:rFonts w:ascii="宋体"/>
          <w:b/>
          <w:color w:val="auto"/>
          <w:sz w:val="28"/>
          <w:szCs w:val="28"/>
        </w:rPr>
      </w:pPr>
      <w:r>
        <w:rPr>
          <w:rFonts w:ascii="宋体" w:hAnsi="宋体"/>
          <w:b/>
          <w:color w:val="auto"/>
          <w:sz w:val="28"/>
          <w:szCs w:val="28"/>
        </w:rPr>
        <w:br w:type="page"/>
      </w:r>
      <w:r>
        <w:rPr>
          <w:rFonts w:hint="eastAsia" w:ascii="宋体" w:hAnsi="宋体"/>
          <w:b/>
          <w:color w:val="auto"/>
          <w:sz w:val="28"/>
          <w:szCs w:val="28"/>
        </w:rPr>
        <w:t>附件</w:t>
      </w:r>
      <w:r>
        <w:rPr>
          <w:rFonts w:ascii="宋体" w:hAnsi="宋体"/>
          <w:b/>
          <w:color w:val="auto"/>
          <w:sz w:val="28"/>
          <w:szCs w:val="28"/>
        </w:rPr>
        <w:t>3</w:t>
      </w:r>
      <w:r>
        <w:rPr>
          <w:rFonts w:hint="eastAsia" w:ascii="宋体" w:hAnsi="宋体"/>
          <w:b/>
          <w:color w:val="auto"/>
          <w:sz w:val="28"/>
          <w:szCs w:val="28"/>
        </w:rPr>
        <w:t>：</w:t>
      </w:r>
    </w:p>
    <w:p>
      <w:pPr>
        <w:spacing w:line="360" w:lineRule="auto"/>
        <w:jc w:val="center"/>
        <w:rPr>
          <w:rFonts w:ascii="宋体"/>
          <w:color w:val="auto"/>
          <w:sz w:val="44"/>
          <w:szCs w:val="44"/>
        </w:rPr>
      </w:pPr>
      <w:r>
        <w:rPr>
          <w:rFonts w:hint="eastAsia" w:ascii="宋体" w:hAnsi="宋体"/>
          <w:color w:val="auto"/>
          <w:sz w:val="44"/>
          <w:szCs w:val="44"/>
        </w:rPr>
        <w:t>投标项目报价明细表</w:t>
      </w:r>
    </w:p>
    <w:p>
      <w:pPr>
        <w:spacing w:line="360" w:lineRule="auto"/>
        <w:rPr>
          <w:rFonts w:ascii="宋体"/>
          <w:color w:val="auto"/>
          <w:sz w:val="28"/>
          <w:szCs w:val="28"/>
          <w:u w:val="single"/>
        </w:rPr>
      </w:pPr>
      <w:r>
        <w:rPr>
          <w:rFonts w:hint="eastAsia" w:ascii="宋体" w:hAnsi="宋体"/>
          <w:color w:val="auto"/>
          <w:sz w:val="28"/>
          <w:szCs w:val="28"/>
        </w:rPr>
        <w:t>投标人</w:t>
      </w:r>
    </w:p>
    <w:p>
      <w:pPr>
        <w:spacing w:line="360" w:lineRule="auto"/>
        <w:rPr>
          <w:rFonts w:ascii="宋体"/>
          <w:color w:val="auto"/>
          <w:sz w:val="28"/>
          <w:szCs w:val="28"/>
          <w:u w:val="single"/>
        </w:rPr>
      </w:pPr>
      <w:r>
        <w:rPr>
          <w:rFonts w:hint="eastAsia" w:ascii="宋体" w:hAnsi="宋体"/>
          <w:color w:val="auto"/>
          <w:sz w:val="28"/>
          <w:szCs w:val="28"/>
        </w:rPr>
        <w:t>招标编号及分包号</w:t>
      </w:r>
    </w:p>
    <w:p>
      <w:pPr>
        <w:spacing w:line="360" w:lineRule="auto"/>
        <w:rPr>
          <w:rFonts w:ascii="宋体"/>
          <w:color w:val="auto"/>
          <w:sz w:val="28"/>
          <w:szCs w:val="28"/>
          <w:u w:val="single"/>
        </w:rPr>
      </w:pPr>
      <w:r>
        <w:rPr>
          <w:rFonts w:hint="eastAsia" w:ascii="宋体" w:hAnsi="宋体"/>
          <w:color w:val="auto"/>
          <w:sz w:val="28"/>
          <w:szCs w:val="28"/>
        </w:rPr>
        <w:t>投标报价</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分包号</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货物</w:t>
            </w:r>
          </w:p>
          <w:p>
            <w:pPr>
              <w:spacing w:line="360" w:lineRule="auto"/>
              <w:jc w:val="center"/>
              <w:rPr>
                <w:rFonts w:ascii="宋体"/>
                <w:b/>
                <w:color w:val="auto"/>
                <w:sz w:val="28"/>
                <w:szCs w:val="28"/>
              </w:rPr>
            </w:pPr>
            <w:r>
              <w:rPr>
                <w:rFonts w:hint="eastAsia" w:ascii="宋体" w:hAnsi="宋体"/>
                <w:b/>
                <w:color w:val="auto"/>
                <w:sz w:val="28"/>
                <w:szCs w:val="28"/>
              </w:rPr>
              <w:t>名称</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货物</w:t>
            </w:r>
          </w:p>
          <w:p>
            <w:pPr>
              <w:spacing w:line="360" w:lineRule="auto"/>
              <w:jc w:val="center"/>
              <w:rPr>
                <w:rFonts w:ascii="宋体"/>
                <w:b/>
                <w:color w:val="auto"/>
                <w:sz w:val="28"/>
                <w:szCs w:val="28"/>
              </w:rPr>
            </w:pPr>
            <w:r>
              <w:rPr>
                <w:rFonts w:hint="eastAsia" w:ascii="宋体" w:hAnsi="宋体"/>
                <w:b/>
                <w:color w:val="auto"/>
                <w:sz w:val="28"/>
                <w:szCs w:val="28"/>
              </w:rPr>
              <w:t>描述</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计量</w:t>
            </w:r>
          </w:p>
          <w:p>
            <w:pPr>
              <w:spacing w:line="360" w:lineRule="auto"/>
              <w:jc w:val="center"/>
              <w:rPr>
                <w:rFonts w:ascii="宋体"/>
                <w:b/>
                <w:color w:val="auto"/>
                <w:sz w:val="28"/>
                <w:szCs w:val="28"/>
              </w:rPr>
            </w:pPr>
            <w:r>
              <w:rPr>
                <w:rFonts w:hint="eastAsia" w:ascii="宋体" w:hAnsi="宋体"/>
                <w:b/>
                <w:color w:val="auto"/>
                <w:sz w:val="28"/>
                <w:szCs w:val="28"/>
              </w:rPr>
              <w:t>单位</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数量</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单价</w:t>
            </w:r>
          </w:p>
        </w:tc>
        <w:tc>
          <w:tcPr>
            <w:tcW w:w="1066" w:type="dxa"/>
            <w:vAlign w:val="center"/>
          </w:tcPr>
          <w:p>
            <w:pPr>
              <w:spacing w:line="360" w:lineRule="auto"/>
              <w:jc w:val="center"/>
              <w:rPr>
                <w:rFonts w:ascii="宋体"/>
                <w:b/>
                <w:color w:val="auto"/>
                <w:sz w:val="28"/>
                <w:szCs w:val="28"/>
              </w:rPr>
            </w:pPr>
            <w:r>
              <w:rPr>
                <w:rFonts w:hint="eastAsia" w:ascii="宋体" w:hAnsi="宋体"/>
                <w:b/>
                <w:color w:val="auto"/>
                <w:sz w:val="28"/>
                <w:szCs w:val="28"/>
              </w:rPr>
              <w:t>每项</w:t>
            </w:r>
          </w:p>
          <w:p>
            <w:pPr>
              <w:spacing w:line="360" w:lineRule="auto"/>
              <w:jc w:val="center"/>
              <w:rPr>
                <w:rFonts w:ascii="宋体"/>
                <w:b/>
                <w:color w:val="auto"/>
                <w:sz w:val="28"/>
                <w:szCs w:val="28"/>
              </w:rPr>
            </w:pPr>
            <w:r>
              <w:rPr>
                <w:rFonts w:hint="eastAsia" w:ascii="宋体" w:hAnsi="宋体"/>
                <w:b/>
                <w:color w:val="auto"/>
                <w:sz w:val="28"/>
                <w:szCs w:val="28"/>
              </w:rPr>
              <w:t>总价</w:t>
            </w:r>
          </w:p>
        </w:tc>
        <w:tc>
          <w:tcPr>
            <w:tcW w:w="1066" w:type="dxa"/>
          </w:tcPr>
          <w:p>
            <w:pPr>
              <w:spacing w:line="360" w:lineRule="auto"/>
              <w:jc w:val="center"/>
              <w:rPr>
                <w:rFonts w:ascii="宋体"/>
                <w:b/>
                <w:color w:val="auto"/>
                <w:sz w:val="28"/>
                <w:szCs w:val="28"/>
              </w:rPr>
            </w:pPr>
            <w:r>
              <w:rPr>
                <w:rFonts w:hint="eastAsia" w:ascii="宋体" w:hAnsi="宋体"/>
                <w:b/>
                <w:color w:val="auto"/>
                <w:sz w:val="28"/>
                <w:szCs w:val="28"/>
              </w:rPr>
              <w:t>质保</w:t>
            </w:r>
          </w:p>
          <w:p>
            <w:pPr>
              <w:spacing w:line="360" w:lineRule="auto"/>
              <w:jc w:val="center"/>
              <w:rPr>
                <w:rFonts w:ascii="宋体"/>
                <w:b/>
                <w:color w:val="auto"/>
                <w:sz w:val="28"/>
                <w:szCs w:val="28"/>
              </w:rPr>
            </w:pPr>
            <w:r>
              <w:rPr>
                <w:rFonts w:hint="eastAsia" w:ascii="宋体" w:hAnsi="宋体"/>
                <w:b/>
                <w:color w:val="auto"/>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vAlign w:val="center"/>
          </w:tcPr>
          <w:p>
            <w:pPr>
              <w:spacing w:line="360" w:lineRule="auto"/>
              <w:jc w:val="center"/>
              <w:rPr>
                <w:rFonts w:ascii="宋体"/>
                <w:color w:val="auto"/>
                <w:sz w:val="28"/>
                <w:szCs w:val="28"/>
              </w:rPr>
            </w:pPr>
            <w:r>
              <w:rPr>
                <w:rFonts w:hint="eastAsia" w:ascii="宋体" w:hAnsi="宋体"/>
                <w:color w:val="auto"/>
                <w:sz w:val="28"/>
                <w:szCs w:val="28"/>
              </w:rPr>
              <w:t>合计总价</w:t>
            </w:r>
          </w:p>
        </w:tc>
        <w:tc>
          <w:tcPr>
            <w:tcW w:w="6392" w:type="dxa"/>
            <w:gridSpan w:val="6"/>
            <w:vAlign w:val="center"/>
          </w:tcPr>
          <w:p>
            <w:pPr>
              <w:spacing w:line="360" w:lineRule="auto"/>
              <w:rPr>
                <w:rFonts w:ascii="宋体"/>
                <w:color w:val="auto"/>
                <w:sz w:val="28"/>
                <w:szCs w:val="28"/>
                <w:u w:val="single"/>
              </w:rPr>
            </w:pPr>
            <w:r>
              <w:rPr>
                <w:rFonts w:hint="eastAsia" w:ascii="宋体" w:hAnsi="宋体"/>
                <w:color w:val="auto"/>
                <w:sz w:val="28"/>
                <w:szCs w:val="28"/>
              </w:rPr>
              <w:t>大写：小写：元</w:t>
            </w:r>
          </w:p>
        </w:tc>
      </w:tr>
    </w:tbl>
    <w:p>
      <w:pPr>
        <w:spacing w:line="360" w:lineRule="auto"/>
        <w:rPr>
          <w:rFonts w:ascii="宋体"/>
          <w:color w:val="auto"/>
          <w:sz w:val="28"/>
          <w:szCs w:val="28"/>
        </w:rPr>
      </w:pPr>
      <w:r>
        <w:rPr>
          <w:rFonts w:hint="eastAsia" w:ascii="宋体" w:hAnsi="宋体"/>
          <w:color w:val="auto"/>
          <w:sz w:val="28"/>
          <w:szCs w:val="28"/>
        </w:rPr>
        <w:t>（可续页）</w:t>
      </w:r>
    </w:p>
    <w:p>
      <w:pPr>
        <w:spacing w:line="360" w:lineRule="auto"/>
        <w:rPr>
          <w:rFonts w:ascii="宋体"/>
          <w:color w:val="auto"/>
          <w:sz w:val="28"/>
          <w:szCs w:val="28"/>
        </w:rPr>
      </w:pPr>
    </w:p>
    <w:p>
      <w:pPr>
        <w:spacing w:line="360" w:lineRule="auto"/>
        <w:rPr>
          <w:rFonts w:ascii="宋体"/>
          <w:color w:val="auto"/>
          <w:sz w:val="28"/>
          <w:szCs w:val="28"/>
          <w:u w:val="single"/>
        </w:rPr>
      </w:pPr>
      <w:r>
        <w:rPr>
          <w:rFonts w:hint="eastAsia" w:ascii="宋体" w:hAnsi="宋体"/>
          <w:color w:val="auto"/>
          <w:sz w:val="28"/>
          <w:szCs w:val="28"/>
        </w:rPr>
        <w:t>单位盖章：</w:t>
      </w:r>
    </w:p>
    <w:p>
      <w:pPr>
        <w:spacing w:line="360" w:lineRule="auto"/>
        <w:rPr>
          <w:rFonts w:ascii="宋体"/>
          <w:color w:val="auto"/>
          <w:sz w:val="28"/>
          <w:szCs w:val="28"/>
          <w:u w:val="single"/>
        </w:rPr>
      </w:pPr>
      <w:r>
        <w:rPr>
          <w:rFonts w:hint="eastAsia" w:ascii="宋体" w:hAnsi="宋体"/>
          <w:color w:val="auto"/>
          <w:sz w:val="28"/>
          <w:szCs w:val="28"/>
        </w:rPr>
        <w:t>授权代表签字：</w:t>
      </w:r>
    </w:p>
    <w:p>
      <w:pPr>
        <w:spacing w:line="360" w:lineRule="auto"/>
        <w:rPr>
          <w:rFonts w:ascii="宋体"/>
          <w:color w:val="auto"/>
          <w:sz w:val="28"/>
          <w:szCs w:val="28"/>
        </w:rPr>
      </w:pPr>
    </w:p>
    <w:p>
      <w:pPr>
        <w:spacing w:line="360" w:lineRule="auto"/>
        <w:rPr>
          <w:rFonts w:ascii="宋体"/>
          <w:color w:val="auto"/>
          <w:sz w:val="28"/>
          <w:szCs w:val="28"/>
        </w:rPr>
      </w:pPr>
      <w:r>
        <w:rPr>
          <w:rFonts w:hint="eastAsia" w:ascii="宋体" w:hAnsi="宋体"/>
          <w:color w:val="auto"/>
          <w:sz w:val="28"/>
          <w:szCs w:val="28"/>
        </w:rPr>
        <w:t>年月日</w:t>
      </w:r>
    </w:p>
    <w:p>
      <w:pPr>
        <w:jc w:val="left"/>
        <w:rPr>
          <w:b/>
          <w:color w:val="auto"/>
          <w:sz w:val="28"/>
          <w:szCs w:val="28"/>
        </w:rPr>
      </w:pPr>
    </w:p>
    <w:bookmarkEnd w:id="9"/>
    <w:bookmarkEnd w:id="10"/>
    <w:p>
      <w:pPr>
        <w:jc w:val="left"/>
        <w:rPr>
          <w:b/>
          <w:color w:val="auto"/>
          <w:sz w:val="28"/>
          <w:szCs w:val="28"/>
        </w:rPr>
      </w:pPr>
      <w:r>
        <w:rPr>
          <w:rFonts w:hint="eastAsia"/>
          <w:b/>
          <w:color w:val="auto"/>
          <w:sz w:val="28"/>
          <w:szCs w:val="28"/>
        </w:rPr>
        <w:t>附件</w:t>
      </w:r>
      <w:r>
        <w:rPr>
          <w:b/>
          <w:color w:val="auto"/>
          <w:sz w:val="28"/>
          <w:szCs w:val="28"/>
        </w:rPr>
        <w:t>4</w:t>
      </w:r>
      <w:r>
        <w:rPr>
          <w:rFonts w:hint="eastAsia"/>
          <w:b/>
          <w:color w:val="auto"/>
          <w:sz w:val="28"/>
          <w:szCs w:val="28"/>
        </w:rPr>
        <w:t>：服务要求</w:t>
      </w:r>
    </w:p>
    <w:p>
      <w:pPr>
        <w:adjustRightInd w:val="0"/>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（一）投标人须提供优质的培训服务，制定相应的培训计划和培训方案，对系统应用人员进行系统的培训，帮助学校顺利实施该项目，使校方人员熟悉运用，提高业务能力和专业技术水平。</w:t>
      </w:r>
    </w:p>
    <w:p>
      <w:pPr>
        <w:adjustRightInd w:val="0"/>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（二）产品要求：</w:t>
      </w:r>
    </w:p>
    <w:p>
      <w:pPr>
        <w:adjustRightInd w:val="0"/>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 中标方应按采购文件规定的货物性能、技术要求、质量标准向采购方提供未经使用的全新产品。</w:t>
      </w:r>
    </w:p>
    <w:p>
      <w:pPr>
        <w:adjustRightInd w:val="0"/>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 采购方提供的货物在质量期内因货物本身的质量问题发生故障，招标方应负责免费更换。对达不到技术要求者，根据实际情况，经双方协商，可按以下办法处理：</w:t>
      </w:r>
    </w:p>
    <w:p>
      <w:pPr>
        <w:adjustRightInd w:val="0"/>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（1）更换：由中标方承担所发生的全部费用。</w:t>
      </w:r>
    </w:p>
    <w:p>
      <w:pPr>
        <w:adjustRightInd w:val="0"/>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（2）贬值处理：由双方合议定价。</w:t>
      </w:r>
    </w:p>
    <w:p>
      <w:pPr>
        <w:adjustRightInd w:val="0"/>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（3）退货处理：中标方应退还采购方支付的合同款，同时应承担该货物的直接费用（运输、保险、检验、货款利息及银行手续费等）。</w:t>
      </w:r>
    </w:p>
    <w:p>
      <w:pPr>
        <w:adjustRightInd w:val="0"/>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 如在使用过程中发生质量问题，中标方在接到甲方通知后在2小时内到达采购方现场。</w:t>
      </w:r>
    </w:p>
    <w:p>
      <w:pPr>
        <w:adjustRightInd w:val="0"/>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 在质保期内，中标方应对货物出现的质量及安全问题负责处理解决并承担一切费用。</w:t>
      </w:r>
    </w:p>
    <w:p>
      <w:pPr>
        <w:adjustRightInd w:val="0"/>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2.5上述的货物免费保修期为2年，因人为因素出现的故障不在免费保修范围内。超过保修期的机器设备，终生维修，维修时只收部件成本费。</w:t>
      </w:r>
    </w:p>
    <w:p>
      <w:pPr>
        <w:adjustRightInd w:val="0"/>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（三）其他要求：</w:t>
      </w:r>
    </w:p>
    <w:p>
      <w:pPr>
        <w:adjustRightInd w:val="0"/>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新设备的采购、安装调试、人员培训、后续维修服务等全部由中标人完成，投标人投标报价包括项目所有设备（材料）的采购、运输、施工、安装调试、人员培训至验收合格的一切费用。</w:t>
      </w:r>
    </w:p>
    <w:p>
      <w:pPr>
        <w:adjustRightInd w:val="0"/>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（四）有关说明：</w:t>
      </w:r>
    </w:p>
    <w:p>
      <w:pPr>
        <w:tabs>
          <w:tab w:val="left" w:pos="945"/>
        </w:tabs>
        <w:adjustRightInd w:val="0"/>
        <w:snapToGrid w:val="0"/>
        <w:spacing w:line="360" w:lineRule="auto"/>
        <w:ind w:firstLine="484" w:firstLineChars="20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1.投标总报价包括满足本项目要求的所有产品及其配件、包装、运杂、安装调试及售后服务等从项目中标起到项目正式交付以及质保期内所发生的一切费用。</w:t>
      </w:r>
    </w:p>
    <w:p>
      <w:pPr>
        <w:tabs>
          <w:tab w:val="left" w:pos="525"/>
          <w:tab w:val="left" w:pos="945"/>
        </w:tabs>
        <w:adjustRightInd w:val="0"/>
        <w:snapToGrid w:val="0"/>
        <w:spacing w:line="360" w:lineRule="auto"/>
        <w:ind w:left="525"/>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2.完工期：供方于合同生效之日起7个工作日内至需方指定地点施工,并在自施工入场40天内完成设备运输（含上、下力）、安装调试等，所有费用由供方承担。安装调试完毕后需方用户负责试用并签收。</w:t>
      </w:r>
    </w:p>
    <w:p>
      <w:pPr>
        <w:adjustRightInd w:val="0"/>
        <w:snapToGrid w:val="0"/>
        <w:spacing w:line="360" w:lineRule="auto"/>
        <w:rPr>
          <w:rFonts w:ascii="宋体" w:hAnsi="宋体" w:cs="仿宋"/>
          <w:b/>
          <w:bCs/>
          <w:color w:val="auto"/>
          <w:sz w:val="28"/>
          <w:szCs w:val="28"/>
        </w:rPr>
      </w:pPr>
    </w:p>
    <w:p>
      <w:pPr>
        <w:adjustRightInd w:val="0"/>
        <w:snapToGrid w:val="0"/>
        <w:spacing w:line="360" w:lineRule="auto"/>
        <w:rPr>
          <w:rFonts w:ascii="宋体" w:hAnsi="宋体" w:cs="仿宋"/>
          <w:b/>
          <w:bCs/>
          <w:color w:val="auto"/>
          <w:sz w:val="28"/>
          <w:szCs w:val="28"/>
        </w:rPr>
      </w:pPr>
    </w:p>
    <w:p>
      <w:pPr>
        <w:adjustRightInd w:val="0"/>
        <w:snapToGrid w:val="0"/>
        <w:spacing w:line="360" w:lineRule="auto"/>
        <w:rPr>
          <w:rFonts w:ascii="宋体" w:hAnsi="宋体" w:cs="仿宋"/>
          <w:b/>
          <w:bCs/>
          <w:color w:val="auto"/>
          <w:sz w:val="28"/>
          <w:szCs w:val="28"/>
        </w:rPr>
      </w:pPr>
    </w:p>
    <w:p>
      <w:pPr>
        <w:adjustRightInd w:val="0"/>
        <w:snapToGrid w:val="0"/>
        <w:spacing w:line="360" w:lineRule="auto"/>
        <w:rPr>
          <w:rFonts w:ascii="宋体" w:hAnsi="宋体" w:cs="仿宋"/>
          <w:b/>
          <w:bCs/>
          <w:color w:val="auto"/>
          <w:sz w:val="28"/>
          <w:szCs w:val="28"/>
        </w:rPr>
      </w:pPr>
    </w:p>
    <w:p>
      <w:pPr>
        <w:adjustRightInd w:val="0"/>
        <w:snapToGrid w:val="0"/>
        <w:spacing w:line="360" w:lineRule="auto"/>
        <w:rPr>
          <w:rFonts w:ascii="宋体" w:hAnsi="宋体" w:cs="仿宋"/>
          <w:b/>
          <w:bCs/>
          <w:color w:val="auto"/>
          <w:sz w:val="28"/>
          <w:szCs w:val="28"/>
        </w:rPr>
      </w:pPr>
      <w:r>
        <w:rPr>
          <w:rFonts w:hint="eastAsia" w:ascii="宋体" w:hAnsi="宋体" w:cs="仿宋"/>
          <w:b/>
          <w:bCs/>
          <w:color w:val="auto"/>
          <w:sz w:val="28"/>
          <w:szCs w:val="28"/>
        </w:rPr>
        <w:t>附件</w:t>
      </w:r>
      <w:r>
        <w:rPr>
          <w:rFonts w:ascii="宋体" w:hAnsi="宋体" w:cs="仿宋"/>
          <w:b/>
          <w:bCs/>
          <w:color w:val="auto"/>
          <w:sz w:val="28"/>
          <w:szCs w:val="28"/>
        </w:rPr>
        <w:t>5</w:t>
      </w:r>
      <w:r>
        <w:rPr>
          <w:rFonts w:hint="eastAsia" w:ascii="宋体" w:hAnsi="宋体" w:cs="仿宋"/>
          <w:b/>
          <w:bCs/>
          <w:color w:val="auto"/>
          <w:sz w:val="28"/>
          <w:szCs w:val="28"/>
        </w:rPr>
        <w:t>：评标办法</w:t>
      </w:r>
    </w:p>
    <w:tbl>
      <w:tblPr>
        <w:tblStyle w:val="1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936"/>
        <w:gridCol w:w="1077"/>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64" w:type="dxa"/>
            <w:vAlign w:val="center"/>
          </w:tcPr>
          <w:p>
            <w:pPr>
              <w:pStyle w:val="9"/>
              <w:spacing w:line="360" w:lineRule="exac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评审项</w:t>
            </w:r>
          </w:p>
        </w:tc>
        <w:tc>
          <w:tcPr>
            <w:tcW w:w="936" w:type="dxa"/>
            <w:vAlign w:val="center"/>
          </w:tcPr>
          <w:p>
            <w:pPr>
              <w:pStyle w:val="9"/>
              <w:spacing w:line="360" w:lineRule="exac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分值</w:t>
            </w:r>
          </w:p>
        </w:tc>
        <w:tc>
          <w:tcPr>
            <w:tcW w:w="7640" w:type="dxa"/>
            <w:gridSpan w:val="2"/>
            <w:vAlign w:val="center"/>
          </w:tcPr>
          <w:p>
            <w:pPr>
              <w:pStyle w:val="9"/>
              <w:spacing w:line="360" w:lineRule="exac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4" w:type="dxa"/>
            <w:vAlign w:val="center"/>
          </w:tcPr>
          <w:p>
            <w:pPr>
              <w:pStyle w:val="9"/>
              <w:spacing w:line="360" w:lineRule="exac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投标</w:t>
            </w:r>
          </w:p>
          <w:p>
            <w:pPr>
              <w:pStyle w:val="9"/>
              <w:spacing w:line="360" w:lineRule="exac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报价</w:t>
            </w:r>
          </w:p>
        </w:tc>
        <w:tc>
          <w:tcPr>
            <w:tcW w:w="936" w:type="dxa"/>
            <w:vAlign w:val="center"/>
          </w:tcPr>
          <w:p>
            <w:pPr>
              <w:pStyle w:val="9"/>
              <w:spacing w:line="360" w:lineRule="exact"/>
              <w:jc w:val="center"/>
              <w:rPr>
                <w:rFonts w:cs="宋体" w:asciiTheme="majorEastAsia" w:hAnsiTheme="majorEastAsia" w:eastAsiaTheme="majorEastAsia"/>
                <w:color w:val="auto"/>
                <w:kern w:val="0"/>
                <w:sz w:val="24"/>
                <w:szCs w:val="24"/>
              </w:rPr>
            </w:pPr>
            <w:r>
              <w:rPr>
                <w:rFonts w:hint="eastAsia" w:cs="宋体" w:asciiTheme="majorEastAsia" w:hAnsiTheme="majorEastAsia"/>
                <w:color w:val="auto"/>
                <w:kern w:val="0"/>
                <w:sz w:val="24"/>
                <w:szCs w:val="24"/>
              </w:rPr>
              <w:t>35</w:t>
            </w:r>
            <w:r>
              <w:rPr>
                <w:rFonts w:cs="宋体" w:asciiTheme="majorEastAsia" w:hAnsiTheme="majorEastAsia" w:eastAsiaTheme="majorEastAsia"/>
                <w:color w:val="auto"/>
                <w:kern w:val="0"/>
                <w:sz w:val="24"/>
                <w:szCs w:val="24"/>
              </w:rPr>
              <w:t>分</w:t>
            </w:r>
          </w:p>
        </w:tc>
        <w:tc>
          <w:tcPr>
            <w:tcW w:w="7640" w:type="dxa"/>
            <w:gridSpan w:val="2"/>
            <w:vAlign w:val="center"/>
          </w:tcPr>
          <w:p>
            <w:pPr>
              <w:widowControl/>
              <w:rPr>
                <w:rFonts w:ascii="宋体" w:hAnsi="宋体" w:cs="宋体"/>
                <w:color w:val="auto"/>
                <w:kern w:val="0"/>
                <w:sz w:val="24"/>
              </w:rPr>
            </w:pPr>
            <w:r>
              <w:rPr>
                <w:rFonts w:hint="eastAsia" w:ascii="宋体" w:hAnsi="宋体" w:cs="宋体"/>
                <w:color w:val="auto"/>
                <w:kern w:val="0"/>
                <w:sz w:val="24"/>
              </w:rPr>
              <w:t>采用低价优先法计算，即满足招标文件要求且投标价格最低的投标报价为评标基准价，其价格分为满分35。其他投标人的价格分统一按照下列公式计算：</w:t>
            </w:r>
          </w:p>
          <w:p>
            <w:pPr>
              <w:widowControl/>
              <w:rPr>
                <w:rFonts w:cs="宋体" w:asciiTheme="majorEastAsia" w:hAnsiTheme="majorEastAsia" w:eastAsiaTheme="majorEastAsia"/>
                <w:color w:val="auto"/>
                <w:kern w:val="0"/>
                <w:sz w:val="24"/>
              </w:rPr>
            </w:pPr>
            <w:r>
              <w:rPr>
                <w:rFonts w:hint="eastAsia" w:ascii="宋体" w:hAnsi="宋体" w:cs="宋体"/>
                <w:color w:val="auto"/>
                <w:kern w:val="0"/>
                <w:sz w:val="24"/>
              </w:rPr>
              <w:t>投标报价得分=(评标基准价／投标报价)×35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64" w:type="dxa"/>
            <w:vMerge w:val="restart"/>
            <w:vAlign w:val="center"/>
          </w:tcPr>
          <w:p>
            <w:pPr>
              <w:pStyle w:val="9"/>
              <w:spacing w:line="360" w:lineRule="exac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技术</w:t>
            </w:r>
          </w:p>
        </w:tc>
        <w:tc>
          <w:tcPr>
            <w:tcW w:w="936" w:type="dxa"/>
            <w:vMerge w:val="restart"/>
            <w:vAlign w:val="center"/>
          </w:tcPr>
          <w:p>
            <w:pPr>
              <w:pStyle w:val="9"/>
              <w:spacing w:line="360" w:lineRule="exac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3</w:t>
            </w:r>
            <w:r>
              <w:rPr>
                <w:rFonts w:hint="eastAsia" w:cs="宋体" w:asciiTheme="majorEastAsia" w:hAnsiTheme="majorEastAsia"/>
                <w:color w:val="auto"/>
                <w:kern w:val="0"/>
                <w:sz w:val="24"/>
                <w:szCs w:val="24"/>
              </w:rPr>
              <w:t>7</w:t>
            </w:r>
            <w:r>
              <w:rPr>
                <w:rFonts w:cs="宋体" w:asciiTheme="majorEastAsia" w:hAnsiTheme="majorEastAsia" w:eastAsiaTheme="majorEastAsia"/>
                <w:color w:val="auto"/>
                <w:kern w:val="0"/>
                <w:sz w:val="24"/>
                <w:szCs w:val="24"/>
              </w:rPr>
              <w:t>分</w:t>
            </w:r>
          </w:p>
        </w:tc>
        <w:tc>
          <w:tcPr>
            <w:tcW w:w="1077" w:type="dxa"/>
            <w:vAlign w:val="center"/>
          </w:tcPr>
          <w:p>
            <w:pPr>
              <w:pStyle w:val="9"/>
              <w:spacing w:line="360" w:lineRule="exac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基础指标技术响应</w:t>
            </w:r>
          </w:p>
          <w:p>
            <w:pPr>
              <w:pStyle w:val="9"/>
              <w:spacing w:line="360" w:lineRule="exact"/>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w:t>
            </w:r>
            <w:r>
              <w:rPr>
                <w:rFonts w:hint="eastAsia" w:cs="宋体" w:asciiTheme="majorEastAsia" w:hAnsiTheme="majorEastAsia"/>
                <w:color w:val="auto"/>
                <w:kern w:val="0"/>
                <w:sz w:val="24"/>
                <w:szCs w:val="24"/>
              </w:rPr>
              <w:t>11</w:t>
            </w:r>
            <w:r>
              <w:rPr>
                <w:rFonts w:cs="宋体" w:asciiTheme="majorEastAsia" w:hAnsiTheme="majorEastAsia" w:eastAsiaTheme="majorEastAsia"/>
                <w:color w:val="auto"/>
                <w:kern w:val="0"/>
                <w:sz w:val="24"/>
                <w:szCs w:val="24"/>
              </w:rPr>
              <w:t>分）</w:t>
            </w:r>
          </w:p>
        </w:tc>
        <w:tc>
          <w:tcPr>
            <w:tcW w:w="6563" w:type="dxa"/>
            <w:vAlign w:val="center"/>
          </w:tcPr>
          <w:p>
            <w:pPr>
              <w:widowControl/>
              <w:rPr>
                <w:rFonts w:asciiTheme="majorEastAsia" w:hAnsiTheme="majorEastAsia" w:eastAsiaTheme="majorEastAsia"/>
                <w:color w:val="auto"/>
                <w:kern w:val="0"/>
                <w:sz w:val="24"/>
              </w:rPr>
            </w:pPr>
            <w:r>
              <w:rPr>
                <w:rFonts w:hint="eastAsia" w:ascii="宋体" w:hAnsi="宋体" w:cs="宋体"/>
                <w:color w:val="auto"/>
                <w:kern w:val="0"/>
                <w:sz w:val="24"/>
              </w:rPr>
              <w:t>设备技术参数全部满足招标要求的得满分11分；打★号指标为必须满足项，如有负偏离将作为无效报价；非打★号指标，有一项负偏离扣2分（打▲号指标为重要技术指标要求），扣完为止。严重负偏离影响设备性能的，本项得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4" w:type="dxa"/>
            <w:vMerge w:val="continue"/>
            <w:vAlign w:val="center"/>
          </w:tcPr>
          <w:p>
            <w:pPr>
              <w:pStyle w:val="9"/>
              <w:spacing w:line="360" w:lineRule="exact"/>
              <w:jc w:val="center"/>
              <w:rPr>
                <w:rFonts w:cs="宋体" w:asciiTheme="majorEastAsia" w:hAnsiTheme="majorEastAsia" w:eastAsiaTheme="majorEastAsia"/>
                <w:color w:val="auto"/>
                <w:kern w:val="0"/>
                <w:sz w:val="24"/>
                <w:szCs w:val="24"/>
              </w:rPr>
            </w:pPr>
          </w:p>
        </w:tc>
        <w:tc>
          <w:tcPr>
            <w:tcW w:w="936" w:type="dxa"/>
            <w:vMerge w:val="continue"/>
            <w:vAlign w:val="center"/>
          </w:tcPr>
          <w:p>
            <w:pPr>
              <w:pStyle w:val="9"/>
              <w:spacing w:line="360" w:lineRule="exact"/>
              <w:jc w:val="center"/>
              <w:rPr>
                <w:rFonts w:cs="宋体" w:asciiTheme="majorEastAsia" w:hAnsiTheme="majorEastAsia" w:eastAsiaTheme="majorEastAsia"/>
                <w:color w:val="auto"/>
                <w:kern w:val="0"/>
                <w:sz w:val="24"/>
                <w:szCs w:val="24"/>
              </w:rPr>
            </w:pPr>
          </w:p>
        </w:tc>
        <w:tc>
          <w:tcPr>
            <w:tcW w:w="1077" w:type="dxa"/>
            <w:tcBorders>
              <w:bottom w:val="single" w:color="auto" w:sz="4" w:space="0"/>
            </w:tcBorders>
            <w:vAlign w:val="center"/>
          </w:tcPr>
          <w:p>
            <w:pPr>
              <w:pStyle w:val="9"/>
              <w:spacing w:line="360" w:lineRule="exac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重要指标</w:t>
            </w:r>
          </w:p>
          <w:p>
            <w:pPr>
              <w:pStyle w:val="9"/>
              <w:spacing w:line="360" w:lineRule="exac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（1</w:t>
            </w:r>
            <w:r>
              <w:rPr>
                <w:rFonts w:hint="eastAsia" w:cs="宋体" w:asciiTheme="majorEastAsia" w:hAnsiTheme="majorEastAsia"/>
                <w:color w:val="auto"/>
                <w:kern w:val="0"/>
                <w:sz w:val="24"/>
                <w:szCs w:val="24"/>
              </w:rPr>
              <w:t>8</w:t>
            </w:r>
            <w:r>
              <w:rPr>
                <w:rFonts w:cs="宋体" w:asciiTheme="majorEastAsia" w:hAnsiTheme="majorEastAsia" w:eastAsiaTheme="majorEastAsia"/>
                <w:color w:val="auto"/>
                <w:kern w:val="0"/>
                <w:sz w:val="24"/>
                <w:szCs w:val="24"/>
              </w:rPr>
              <w:t>分）</w:t>
            </w:r>
          </w:p>
        </w:tc>
        <w:tc>
          <w:tcPr>
            <w:tcW w:w="6563" w:type="dxa"/>
            <w:tcBorders>
              <w:bottom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1.桌面云服务器、桌面云终端、桌面云软件、多媒体教学软件、网络设备为同一厂商品牌，得3分，桌面云服务器、桌面云终端、桌面云软件为同一品牌得2分，其他不得分，同一品牌提供厂商官网截图证明材料。</w:t>
            </w:r>
          </w:p>
          <w:p>
            <w:pPr>
              <w:widowControl/>
              <w:rPr>
                <w:rFonts w:ascii="宋体" w:hAnsi="宋体" w:cs="宋体"/>
                <w:color w:val="auto"/>
                <w:kern w:val="0"/>
                <w:sz w:val="24"/>
              </w:rPr>
            </w:pPr>
            <w:r>
              <w:rPr>
                <w:rFonts w:hint="eastAsia" w:ascii="宋体" w:hAnsi="宋体" w:cs="宋体"/>
                <w:color w:val="auto"/>
                <w:kern w:val="0"/>
                <w:sz w:val="24"/>
              </w:rPr>
              <w:t>2.桌面云终端要求为节能产品，要求提供中国质量认证中心出具的中国节能产品认证证书复印件及官网查询链接截图，得2分，其余不得分。</w:t>
            </w:r>
          </w:p>
          <w:p>
            <w:pPr>
              <w:widowControl/>
              <w:rPr>
                <w:rFonts w:ascii="宋体" w:hAnsi="宋体" w:cs="宋体"/>
                <w:color w:val="auto"/>
                <w:kern w:val="0"/>
                <w:sz w:val="24"/>
              </w:rPr>
            </w:pPr>
            <w:r>
              <w:rPr>
                <w:rFonts w:hint="eastAsia" w:ascii="宋体" w:hAnsi="宋体" w:cs="宋体"/>
                <w:color w:val="auto"/>
                <w:kern w:val="0"/>
                <w:sz w:val="24"/>
              </w:rPr>
              <w:t>3.所投桌面云系统厂家应具备广泛市场认可度，提供2017年至2019年连续三年IDC中国企业级云桌面市场的跟踪报告证明材料，三年排名均最高者，得3分，两年最高者，得1分，其余不得分。</w:t>
            </w:r>
          </w:p>
          <w:p>
            <w:pPr>
              <w:widowControl/>
              <w:rPr>
                <w:rFonts w:ascii="宋体" w:hAnsi="宋体" w:cs="宋体"/>
                <w:color w:val="auto"/>
                <w:kern w:val="0"/>
                <w:sz w:val="24"/>
              </w:rPr>
            </w:pPr>
            <w:r>
              <w:rPr>
                <w:rFonts w:hint="eastAsia" w:ascii="宋体" w:hAnsi="宋体" w:cs="宋体"/>
                <w:color w:val="auto"/>
                <w:kern w:val="0"/>
                <w:sz w:val="24"/>
              </w:rPr>
              <w:t>4.为确保桌面云系统运行稳定且为正版软件，所投产品厂家具有微软</w:t>
            </w:r>
            <w:r>
              <w:rPr>
                <w:rFonts w:hint="eastAsia" w:ascii="宋体" w:hAnsi="宋体" w:cs="宋体"/>
                <w:color w:val="auto"/>
                <w:kern w:val="0"/>
                <w:sz w:val="24"/>
                <w:highlight w:val="none"/>
              </w:rPr>
              <w:t>颁发的AEP授权书复印件加盖公章，得2分，其余不得分，原件中标后备查。</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 xml:space="preserve">5.所提供云终端学生机CPU高于第七代并采用标压级，提供终端证明材料及CPU性能分析表，得1分，其余不得分。                                                         6.健康照明平板LED灯须满足人眼视觉舒适度VICO＜1。提供具有CMA或CNAS认证的检测报告复印件加盖公章，得1分；  </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7、为了确保教室环境的安静，不干扰学生的学习，健康照明平板LED灯在1m的范围内前后左右的噪音≤8db。提供具有CMA或CNAS认证的检测报告，得1分；</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8、健康照明平板LED灯光源无光生物危害，蓝光危害等级：无危险（0类），豁免级。提供省级以上检测机构出具的无蓝光检测报告复印件，得1分；</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9、白板一体机</w:t>
            </w:r>
            <w:r>
              <w:rPr>
                <w:rFonts w:hint="eastAsia" w:ascii="宋体" w:hAnsi="宋体" w:cs="宋体"/>
                <w:color w:val="auto"/>
                <w:kern w:val="0"/>
                <w:sz w:val="24"/>
                <w:lang w:val="zh-CN"/>
              </w:rPr>
              <w:t>展台设计：内嵌入于白板一体机内（不外挂），可折叠可收藏至安全门内，关机状态安全锁门有电磁锁锁定，不可打开；</w:t>
            </w:r>
            <w:r>
              <w:rPr>
                <w:rFonts w:hint="eastAsia" w:ascii="宋体" w:hAnsi="宋体" w:cs="宋体"/>
                <w:color w:val="auto"/>
                <w:kern w:val="0"/>
                <w:sz w:val="24"/>
              </w:rPr>
              <w:t>提供具有CMA或CNAS认证的检测报告，得1分；                                                              10、白板一体机</w:t>
            </w:r>
            <w:r>
              <w:rPr>
                <w:rFonts w:hint="eastAsia" w:ascii="宋体" w:hAnsi="宋体" w:cs="宋体"/>
                <w:color w:val="auto"/>
                <w:kern w:val="0"/>
                <w:sz w:val="24"/>
                <w:lang w:val="zh-CN"/>
              </w:rPr>
              <w:t>前置中控面板设计：至少应包括以下物理按键：音量控制、静音、锁定、展台窗口、信号源切换、一键开关机；</w:t>
            </w:r>
            <w:r>
              <w:rPr>
                <w:rFonts w:hint="eastAsia" w:ascii="宋体" w:hAnsi="宋体" w:cs="宋体"/>
                <w:color w:val="auto"/>
                <w:kern w:val="0"/>
                <w:sz w:val="24"/>
              </w:rPr>
              <w:t>提供具有CMA或CNAS认证的检测报告，得1分；</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11、超短焦激光投影机采用电动聚焦镜头的，提供具有CMA或CNAS认证的检测报告，得1分；</w:t>
            </w:r>
          </w:p>
          <w:p>
            <w:pPr>
              <w:widowControl/>
              <w:jc w:val="left"/>
              <w:textAlignment w:val="center"/>
              <w:rPr>
                <w:rFonts w:cs="宋体" w:asciiTheme="majorEastAsia" w:hAnsiTheme="majorEastAsia" w:eastAsiaTheme="majorEastAsia"/>
                <w:color w:val="auto"/>
                <w:kern w:val="0"/>
                <w:sz w:val="24"/>
              </w:rPr>
            </w:pPr>
            <w:r>
              <w:rPr>
                <w:rFonts w:hint="eastAsia" w:ascii="宋体" w:hAnsi="宋体" w:cs="宋体"/>
                <w:color w:val="auto"/>
                <w:kern w:val="0"/>
                <w:sz w:val="24"/>
              </w:rPr>
              <w:t xml:space="preserve">12、提供所投物联网监控平台软件著作权证书的，得1分。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jc w:val="center"/>
        </w:trPr>
        <w:tc>
          <w:tcPr>
            <w:tcW w:w="1064" w:type="dxa"/>
            <w:vMerge w:val="continue"/>
            <w:tcBorders>
              <w:bottom w:val="single" w:color="auto" w:sz="4" w:space="0"/>
            </w:tcBorders>
            <w:vAlign w:val="center"/>
          </w:tcPr>
          <w:p>
            <w:pPr>
              <w:pStyle w:val="9"/>
              <w:spacing w:line="360" w:lineRule="exact"/>
              <w:jc w:val="center"/>
              <w:rPr>
                <w:rFonts w:cs="宋体" w:asciiTheme="majorEastAsia" w:hAnsiTheme="majorEastAsia" w:eastAsiaTheme="majorEastAsia"/>
                <w:color w:val="auto"/>
                <w:kern w:val="0"/>
                <w:sz w:val="24"/>
                <w:szCs w:val="24"/>
              </w:rPr>
            </w:pPr>
          </w:p>
        </w:tc>
        <w:tc>
          <w:tcPr>
            <w:tcW w:w="936" w:type="dxa"/>
            <w:vMerge w:val="continue"/>
            <w:tcBorders>
              <w:bottom w:val="single" w:color="auto" w:sz="4" w:space="0"/>
            </w:tcBorders>
            <w:vAlign w:val="center"/>
          </w:tcPr>
          <w:p>
            <w:pPr>
              <w:pStyle w:val="9"/>
              <w:spacing w:line="360" w:lineRule="exact"/>
              <w:jc w:val="center"/>
              <w:rPr>
                <w:rFonts w:cs="宋体" w:asciiTheme="majorEastAsia" w:hAnsiTheme="majorEastAsia" w:eastAsiaTheme="majorEastAsia"/>
                <w:color w:val="auto"/>
                <w:kern w:val="0"/>
                <w:sz w:val="24"/>
                <w:szCs w:val="24"/>
              </w:rPr>
            </w:pPr>
          </w:p>
        </w:tc>
        <w:tc>
          <w:tcPr>
            <w:tcW w:w="1077" w:type="dxa"/>
            <w:tcBorders>
              <w:bottom w:val="single" w:color="auto" w:sz="4" w:space="0"/>
            </w:tcBorders>
            <w:vAlign w:val="center"/>
          </w:tcPr>
          <w:p>
            <w:pPr>
              <w:pStyle w:val="9"/>
              <w:spacing w:line="360" w:lineRule="exact"/>
              <w:jc w:val="center"/>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演示  （8分）</w:t>
            </w:r>
          </w:p>
        </w:tc>
        <w:tc>
          <w:tcPr>
            <w:tcW w:w="6563" w:type="dxa"/>
            <w:tcBorders>
              <w:bottom w:val="single" w:color="auto" w:sz="4" w:space="0"/>
            </w:tcBorders>
            <w:vAlign w:val="center"/>
          </w:tcPr>
          <w:p>
            <w:pPr>
              <w:pStyle w:val="9"/>
              <w:spacing w:line="36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疫情期间不进行现场演示，投标单位需用U盘录制3分钟左右视频（AVI或WMV格式），随投标文件一同邮寄，无视频者本项不得分。</w:t>
            </w:r>
          </w:p>
          <w:p>
            <w:pPr>
              <w:pStyle w:val="9"/>
              <w:spacing w:line="360" w:lineRule="exact"/>
              <w:jc w:val="left"/>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投标人自行构架物联网演示平台，评委根据以下几个方面进行评分：</w:t>
            </w:r>
          </w:p>
          <w:p>
            <w:pPr>
              <w:pStyle w:val="9"/>
              <w:spacing w:line="360" w:lineRule="exact"/>
              <w:jc w:val="left"/>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（1）展示基于矢量图设计的人机界面，得2分；</w:t>
            </w:r>
          </w:p>
          <w:p>
            <w:pPr>
              <w:pStyle w:val="9"/>
              <w:spacing w:line="360" w:lineRule="exact"/>
              <w:jc w:val="left"/>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（2）提供人机界面设计工具演示，得2分；</w:t>
            </w:r>
          </w:p>
          <w:p>
            <w:pPr>
              <w:pStyle w:val="9"/>
              <w:spacing w:line="360" w:lineRule="exact"/>
              <w:jc w:val="left"/>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（3）展示不安装任何插件包用火狐、360、IE、谷歌浏览器登录及控制，得2分；</w:t>
            </w:r>
          </w:p>
          <w:p>
            <w:pPr>
              <w:pStyle w:val="9"/>
              <w:spacing w:line="360" w:lineRule="exact"/>
              <w:jc w:val="left"/>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（4）展示可以用手机端（APP端或微信公众号等）连接控制或查看界面，得2分。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1064" w:type="dxa"/>
            <w:vMerge w:val="restart"/>
            <w:vAlign w:val="center"/>
          </w:tcPr>
          <w:p>
            <w:pPr>
              <w:pStyle w:val="9"/>
              <w:spacing w:line="360" w:lineRule="exact"/>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商务</w:t>
            </w:r>
          </w:p>
        </w:tc>
        <w:tc>
          <w:tcPr>
            <w:tcW w:w="936" w:type="dxa"/>
            <w:vMerge w:val="restart"/>
            <w:vAlign w:val="center"/>
          </w:tcPr>
          <w:p>
            <w:pPr>
              <w:pStyle w:val="9"/>
              <w:jc w:val="center"/>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2</w:t>
            </w:r>
            <w:r>
              <w:rPr>
                <w:rFonts w:hint="eastAsia" w:cs="宋体" w:asciiTheme="majorEastAsia" w:hAnsiTheme="majorEastAsia" w:eastAsiaTheme="majorEastAsia"/>
                <w:color w:val="auto"/>
                <w:kern w:val="0"/>
                <w:sz w:val="24"/>
                <w:szCs w:val="24"/>
                <w:lang w:val="en-US" w:eastAsia="zh-CN"/>
              </w:rPr>
              <w:t>2</w:t>
            </w:r>
            <w:r>
              <w:rPr>
                <w:rFonts w:cs="宋体" w:asciiTheme="majorEastAsia" w:hAnsiTheme="majorEastAsia" w:eastAsiaTheme="majorEastAsia"/>
                <w:color w:val="auto"/>
                <w:kern w:val="0"/>
                <w:sz w:val="24"/>
                <w:szCs w:val="24"/>
              </w:rPr>
              <w:t>分</w:t>
            </w:r>
          </w:p>
        </w:tc>
        <w:tc>
          <w:tcPr>
            <w:tcW w:w="1077" w:type="dxa"/>
            <w:vAlign w:val="center"/>
          </w:tcPr>
          <w:p>
            <w:pPr>
              <w:pStyle w:val="49"/>
              <w:spacing w:beforeLines="0" w:afterLines="0" w:line="360" w:lineRule="auto"/>
              <w:rPr>
                <w:rFonts w:cs="宋体" w:asciiTheme="majorEastAsia" w:hAnsiTheme="majorEastAsia" w:eastAsiaTheme="majorEastAsia"/>
                <w:color w:val="auto"/>
                <w:kern w:val="0"/>
                <w:sz w:val="24"/>
                <w:szCs w:val="24"/>
                <w:lang w:val="en-US"/>
              </w:rPr>
            </w:pPr>
            <w:r>
              <w:rPr>
                <w:rFonts w:hint="eastAsia" w:cs="宋体" w:asciiTheme="majorEastAsia" w:hAnsiTheme="majorEastAsia" w:eastAsiaTheme="majorEastAsia"/>
                <w:color w:val="auto"/>
                <w:kern w:val="0"/>
                <w:sz w:val="24"/>
                <w:szCs w:val="24"/>
                <w:lang w:val="en-US"/>
              </w:rPr>
              <w:t>生产企业资质、技术能力及业绩（1</w:t>
            </w:r>
            <w:r>
              <w:rPr>
                <w:rFonts w:cs="宋体" w:asciiTheme="majorEastAsia" w:hAnsiTheme="majorEastAsia" w:eastAsiaTheme="majorEastAsia"/>
                <w:color w:val="auto"/>
                <w:kern w:val="0"/>
                <w:sz w:val="24"/>
                <w:szCs w:val="24"/>
                <w:lang w:val="en-US"/>
              </w:rPr>
              <w:t>5</w:t>
            </w:r>
            <w:r>
              <w:rPr>
                <w:rFonts w:hint="eastAsia" w:cs="宋体" w:asciiTheme="majorEastAsia" w:hAnsiTheme="majorEastAsia" w:eastAsiaTheme="majorEastAsia"/>
                <w:color w:val="auto"/>
                <w:kern w:val="0"/>
                <w:sz w:val="24"/>
                <w:szCs w:val="24"/>
                <w:lang w:val="en-US"/>
              </w:rPr>
              <w:t>分）</w:t>
            </w:r>
          </w:p>
        </w:tc>
        <w:tc>
          <w:tcPr>
            <w:tcW w:w="6563" w:type="dxa"/>
            <w:vAlign w:val="center"/>
          </w:tcPr>
          <w:p>
            <w:pPr>
              <w:pStyle w:val="9"/>
              <w:spacing w:line="36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桌面云服务器、桌面云终端、桌面云管理平台产品供应厂商为自主研发企业，技术实力雄厚，具有国家认定企业技术中心，提供相关证明材料（含国家相关部门网站查询截图），满足得1分（需提供相关证明材料复印件加盖公章），其余不得分。</w:t>
            </w:r>
          </w:p>
          <w:p>
            <w:pPr>
              <w:pStyle w:val="9"/>
              <w:spacing w:line="36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（2）桌面云服务器、桌面云终端、桌面云管理平台产品厂家应具备优良的服务质量体系，所投品牌原厂售后服务体系须通过符合GB/T 27922-2011标准的售后服务认证（5星级），提供证书复印件加盖原厂公章，得1分，其余不得分，原件中标后备查。</w:t>
            </w:r>
          </w:p>
          <w:p>
            <w:pPr>
              <w:pStyle w:val="9"/>
              <w:spacing w:line="36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桌面云服务器、桌面云终端、桌面云管理平台产品厂家具备完善的供应链管理能力，提供ISO28000供应链安全管理体系认证证书、全国认证认可信息公共服务平台查询链接及截图，满足得1分，不满足不得分，原件中标后备查。</w:t>
            </w:r>
          </w:p>
          <w:p>
            <w:pPr>
              <w:pStyle w:val="9"/>
              <w:spacing w:line="36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4）桌面云服务器、桌面云终端、桌面云管理平台产品厂家具备社会责任意识，保证绿色生产，具备有害物质控制管理能力；提供QC080000:2017体系认证证书复印件、全国认证认可信息公共服务平台查询链接及截图，满足得1分，不满足不得分，原件中标后备查。</w:t>
            </w:r>
          </w:p>
          <w:p>
            <w:pPr>
              <w:pStyle w:val="9"/>
              <w:spacing w:line="36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（5）桌面云服务器、桌面云终端、桌面云管理平台产品厂家具备TL9000-HSV（硬件、软件、服务三合一）证书，提供认监委官网链接、截图、证书复印件加盖原厂公章，满足得1分，其余不得分，原件中标后备查。</w:t>
            </w:r>
          </w:p>
          <w:p>
            <w:pPr>
              <w:pStyle w:val="9"/>
              <w:spacing w:line="36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（6）桌面云服务器、桌面云终端、桌面云管理平台产品厂商具备ITSS信息技术服务运行维护标准符合性（三级）证书，提供ITSS证书复印件得1分，否则不得分；提供证书复印件加盖原厂公章，原件中标后备查。</w:t>
            </w:r>
          </w:p>
          <w:p>
            <w:pPr>
              <w:pStyle w:val="9"/>
              <w:spacing w:line="36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（7）桌面云服务器、桌面云终端、桌面云管理平台产品厂商通过CMMI系列认证(5级)，提供CMMI官方查询链接及截图、CMMI证书复印件加盖原厂公章，得1分，原件中标后备查。</w:t>
            </w:r>
          </w:p>
          <w:p>
            <w:pPr>
              <w:pStyle w:val="9"/>
              <w:spacing w:line="36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（8）提供与该项目相似行业和桌面云产品业绩证明，单个合同不少于1000套桌面云产品证明，每提供一个合同证明得1分，最多</w:t>
            </w:r>
            <w:r>
              <w:rPr>
                <w:rFonts w:hint="eastAsia" w:asciiTheme="minorEastAsia" w:hAnsiTheme="minorEastAsia" w:eastAsiaTheme="minorEastAsia" w:cstheme="minorEastAsia"/>
                <w:color w:val="auto"/>
                <w:kern w:val="0"/>
                <w:sz w:val="24"/>
                <w:szCs w:val="24"/>
                <w:highlight w:val="none"/>
              </w:rPr>
              <w:t>得3分</w:t>
            </w:r>
            <w:r>
              <w:rPr>
                <w:rFonts w:hint="eastAsia" w:cs="宋体" w:asciiTheme="majorEastAsia" w:hAnsiTheme="majorEastAsia" w:eastAsiaTheme="majorEastAsia"/>
                <w:color w:val="auto"/>
                <w:kern w:val="0"/>
                <w:sz w:val="24"/>
                <w:szCs w:val="24"/>
                <w:highlight w:val="none"/>
              </w:rPr>
              <w:t>，提供合同复印件，提供客户联系方式备查。</w:t>
            </w:r>
          </w:p>
          <w:p>
            <w:pPr>
              <w:pStyle w:val="9"/>
              <w:spacing w:line="36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（9）所投设备厂商行业内具备影响力，具有中国教育装备行业协会会员资格，得3分。具有省级教育装备行业协会会员证书的得2分，没有不得分。提供证书复印件，并在协会官网可查。</w:t>
            </w:r>
          </w:p>
          <w:p>
            <w:pPr>
              <w:pStyle w:val="9"/>
              <w:spacing w:line="36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（10）所投设备厂商有成熟的应用，提供权威机构（如CCW、IDC）出具占有率排名证明；连续6年及以上获得教育行业市场占有率排名第一的，得2分，连续5年，得1分，其他不得分。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1064" w:type="dxa"/>
            <w:vMerge w:val="continue"/>
            <w:vAlign w:val="center"/>
          </w:tcPr>
          <w:p>
            <w:pPr>
              <w:pStyle w:val="9"/>
              <w:spacing w:line="360" w:lineRule="exact"/>
              <w:jc w:val="center"/>
              <w:rPr>
                <w:rFonts w:cs="宋体" w:asciiTheme="majorEastAsia" w:hAnsiTheme="majorEastAsia" w:eastAsiaTheme="majorEastAsia"/>
                <w:color w:val="auto"/>
                <w:kern w:val="0"/>
                <w:sz w:val="24"/>
                <w:szCs w:val="24"/>
              </w:rPr>
            </w:pPr>
          </w:p>
        </w:tc>
        <w:tc>
          <w:tcPr>
            <w:tcW w:w="936" w:type="dxa"/>
            <w:vMerge w:val="continue"/>
            <w:vAlign w:val="center"/>
          </w:tcPr>
          <w:p>
            <w:pPr>
              <w:pStyle w:val="9"/>
              <w:jc w:val="center"/>
              <w:rPr>
                <w:rFonts w:cs="宋体" w:asciiTheme="majorEastAsia" w:hAnsiTheme="majorEastAsia" w:eastAsiaTheme="majorEastAsia"/>
                <w:color w:val="auto"/>
                <w:kern w:val="0"/>
                <w:sz w:val="24"/>
                <w:szCs w:val="24"/>
              </w:rPr>
            </w:pPr>
          </w:p>
        </w:tc>
        <w:tc>
          <w:tcPr>
            <w:tcW w:w="1077" w:type="dxa"/>
            <w:vAlign w:val="center"/>
          </w:tcPr>
          <w:p>
            <w:pPr>
              <w:pStyle w:val="9"/>
              <w:rPr>
                <w:rFonts w:cs="宋体" w:asciiTheme="majorEastAsia" w:hAnsiTheme="majorEastAsia" w:eastAsiaTheme="majorEastAsia"/>
                <w:color w:val="auto"/>
                <w:kern w:val="0"/>
                <w:sz w:val="24"/>
                <w:szCs w:val="24"/>
                <w:highlight w:val="none"/>
              </w:rPr>
            </w:pPr>
            <w:r>
              <w:rPr>
                <w:rFonts w:hint="eastAsia" w:cs="宋体" w:asciiTheme="majorEastAsia" w:hAnsiTheme="majorEastAsia"/>
                <w:color w:val="auto"/>
                <w:kern w:val="0"/>
                <w:sz w:val="24"/>
                <w:szCs w:val="24"/>
                <w:highlight w:val="none"/>
              </w:rPr>
              <w:t>投标人</w:t>
            </w:r>
            <w:r>
              <w:rPr>
                <w:rFonts w:hint="eastAsia" w:cs="宋体" w:asciiTheme="majorEastAsia" w:hAnsiTheme="majorEastAsia" w:eastAsiaTheme="majorEastAsia"/>
                <w:color w:val="auto"/>
                <w:kern w:val="0"/>
                <w:sz w:val="24"/>
                <w:szCs w:val="24"/>
                <w:highlight w:val="none"/>
              </w:rPr>
              <w:t>资质（</w:t>
            </w:r>
            <w:r>
              <w:rPr>
                <w:rFonts w:hint="eastAsia" w:cs="宋体" w:asciiTheme="majorEastAsia" w:hAnsiTheme="majorEastAsia"/>
                <w:color w:val="auto"/>
                <w:kern w:val="0"/>
                <w:sz w:val="24"/>
                <w:szCs w:val="24"/>
                <w:highlight w:val="none"/>
              </w:rPr>
              <w:t>5</w:t>
            </w:r>
            <w:r>
              <w:rPr>
                <w:rFonts w:hint="eastAsia" w:cs="宋体" w:asciiTheme="majorEastAsia" w:hAnsiTheme="majorEastAsia" w:eastAsiaTheme="majorEastAsia"/>
                <w:color w:val="auto"/>
                <w:kern w:val="0"/>
                <w:sz w:val="24"/>
                <w:szCs w:val="24"/>
                <w:highlight w:val="none"/>
              </w:rPr>
              <w:t>分）</w:t>
            </w:r>
          </w:p>
        </w:tc>
        <w:tc>
          <w:tcPr>
            <w:tcW w:w="6563" w:type="dxa"/>
            <w:vAlign w:val="center"/>
          </w:tcPr>
          <w:p>
            <w:pPr>
              <w:pStyle w:val="9"/>
              <w:spacing w:line="36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（1）投标人具有 ISO9001 质量体系认证、ISO14001 环境管理体系认证证书、ISO45001 职业健康安全管理体系认证证书，每有1个得1分，最多得3分。提供复印件加盖公章，原件中标后备查。</w:t>
            </w:r>
          </w:p>
          <w:p>
            <w:pPr>
              <w:widowControl/>
              <w:jc w:val="left"/>
              <w:rPr>
                <w:rFonts w:cs="宋体" w:asciiTheme="majorEastAsia" w:hAnsiTheme="majorEastAsia" w:eastAsiaTheme="majorEastAsia"/>
                <w:color w:val="auto"/>
                <w:kern w:val="0"/>
                <w:sz w:val="24"/>
                <w:highlight w:val="none"/>
              </w:rPr>
            </w:pPr>
            <w:r>
              <w:rPr>
                <w:rFonts w:hint="eastAsia" w:ascii="宋体" w:hAnsi="宋体" w:cs="宋体"/>
                <w:color w:val="auto"/>
                <w:kern w:val="0"/>
                <w:sz w:val="24"/>
                <w:highlight w:val="none"/>
              </w:rPr>
              <w:t>（2）投标人提供拟投入本项目实施人员中级音响师人员资质证书的，有一个得1分；提供高 级音响师人员资质证书的，有一个得2分。本项最多得2分 ；以上本人证书及投标人为其缴纳的2020年1-3月社保证明。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4" w:type="dxa"/>
            <w:vMerge w:val="continue"/>
            <w:vAlign w:val="center"/>
          </w:tcPr>
          <w:p>
            <w:pPr>
              <w:pStyle w:val="9"/>
              <w:spacing w:line="360" w:lineRule="exact"/>
              <w:jc w:val="center"/>
              <w:rPr>
                <w:rFonts w:cs="宋体" w:asciiTheme="majorEastAsia" w:hAnsiTheme="majorEastAsia" w:eastAsiaTheme="majorEastAsia"/>
                <w:color w:val="auto"/>
                <w:kern w:val="0"/>
                <w:sz w:val="24"/>
                <w:szCs w:val="24"/>
              </w:rPr>
            </w:pPr>
          </w:p>
        </w:tc>
        <w:tc>
          <w:tcPr>
            <w:tcW w:w="936" w:type="dxa"/>
            <w:vMerge w:val="continue"/>
            <w:vAlign w:val="center"/>
          </w:tcPr>
          <w:p>
            <w:pPr>
              <w:pStyle w:val="9"/>
              <w:rPr>
                <w:rFonts w:cs="宋体" w:asciiTheme="majorEastAsia" w:hAnsiTheme="majorEastAsia" w:eastAsiaTheme="majorEastAsia"/>
                <w:color w:val="auto"/>
                <w:kern w:val="0"/>
                <w:sz w:val="24"/>
                <w:szCs w:val="24"/>
              </w:rPr>
            </w:pPr>
          </w:p>
        </w:tc>
        <w:tc>
          <w:tcPr>
            <w:tcW w:w="1077" w:type="dxa"/>
            <w:vAlign w:val="center"/>
          </w:tcPr>
          <w:p>
            <w:pPr>
              <w:pStyle w:val="9"/>
              <w:rPr>
                <w:rFonts w:cs="宋体" w:asciiTheme="majorEastAsia" w:hAnsiTheme="majorEastAsia" w:eastAsiaTheme="majorEastAsia"/>
                <w:color w:val="auto"/>
                <w:kern w:val="0"/>
                <w:sz w:val="24"/>
                <w:szCs w:val="24"/>
              </w:rPr>
            </w:pPr>
            <w:r>
              <w:rPr>
                <w:rFonts w:hint="eastAsia" w:cs="宋体" w:asciiTheme="majorEastAsia" w:hAnsiTheme="majorEastAsia"/>
                <w:color w:val="auto"/>
                <w:kern w:val="0"/>
                <w:sz w:val="24"/>
                <w:szCs w:val="24"/>
              </w:rPr>
              <w:t>投标人业绩</w:t>
            </w:r>
            <w:r>
              <w:rPr>
                <w:rFonts w:hint="eastAsia" w:cs="宋体" w:asciiTheme="majorEastAsia" w:hAnsiTheme="majorEastAsia" w:eastAsiaTheme="majorEastAsia"/>
                <w:color w:val="auto"/>
                <w:kern w:val="0"/>
                <w:sz w:val="24"/>
                <w:szCs w:val="24"/>
              </w:rPr>
              <w:t>（</w:t>
            </w:r>
            <w:r>
              <w:rPr>
                <w:rFonts w:hint="eastAsia" w:cs="宋体" w:asciiTheme="majorEastAsia" w:hAnsiTheme="majorEastAsia"/>
                <w:color w:val="auto"/>
                <w:kern w:val="0"/>
                <w:sz w:val="24"/>
                <w:szCs w:val="24"/>
              </w:rPr>
              <w:t>2</w:t>
            </w:r>
            <w:r>
              <w:rPr>
                <w:rFonts w:hint="eastAsia" w:cs="宋体" w:asciiTheme="majorEastAsia" w:hAnsiTheme="majorEastAsia" w:eastAsiaTheme="majorEastAsia"/>
                <w:color w:val="auto"/>
                <w:kern w:val="0"/>
                <w:sz w:val="24"/>
                <w:szCs w:val="24"/>
              </w:rPr>
              <w:t>分）</w:t>
            </w:r>
          </w:p>
        </w:tc>
        <w:tc>
          <w:tcPr>
            <w:tcW w:w="6563" w:type="dxa"/>
            <w:vAlign w:val="center"/>
          </w:tcPr>
          <w:p>
            <w:pPr>
              <w:widowControl/>
              <w:jc w:val="left"/>
              <w:rPr>
                <w:rFonts w:cs="宋体" w:asciiTheme="majorEastAsia" w:hAnsiTheme="majorEastAsia" w:eastAsiaTheme="majorEastAsia"/>
                <w:color w:val="auto"/>
                <w:kern w:val="0"/>
                <w:sz w:val="24"/>
              </w:rPr>
            </w:pPr>
            <w:r>
              <w:rPr>
                <w:rFonts w:hint="eastAsia" w:ascii="宋体" w:hAnsi="宋体" w:cs="宋体"/>
                <w:color w:val="auto"/>
                <w:kern w:val="0"/>
                <w:sz w:val="24"/>
              </w:rPr>
              <w:t>评委根据投标人2017年6月1日以来完成的类似项目业绩评分（需要包含机房、物联网、多媒体三个以上子系统）每提供一个得2分，最多得2分；需提供项目中标通知书、项目合同复印件加盖公章、采购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4" w:type="dxa"/>
            <w:vMerge w:val="restart"/>
            <w:vAlign w:val="center"/>
          </w:tcPr>
          <w:p>
            <w:pPr>
              <w:pStyle w:val="9"/>
              <w:spacing w:line="360" w:lineRule="exact"/>
              <w:jc w:val="center"/>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服务</w:t>
            </w:r>
          </w:p>
        </w:tc>
        <w:tc>
          <w:tcPr>
            <w:tcW w:w="936" w:type="dxa"/>
            <w:vMerge w:val="restart"/>
            <w:vAlign w:val="center"/>
          </w:tcPr>
          <w:p>
            <w:pPr>
              <w:pStyle w:val="9"/>
              <w:jc w:val="center"/>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4分</w:t>
            </w:r>
          </w:p>
        </w:tc>
        <w:tc>
          <w:tcPr>
            <w:tcW w:w="1077" w:type="dxa"/>
            <w:vAlign w:val="center"/>
          </w:tcPr>
          <w:p>
            <w:pPr>
              <w:pStyle w:val="9"/>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项目实施方案</w:t>
            </w:r>
          </w:p>
          <w:p>
            <w:pPr>
              <w:pStyle w:val="9"/>
              <w:rPr>
                <w:rFonts w:cs="宋体" w:asciiTheme="majorEastAsia" w:hAnsiTheme="majorEastAsia" w:eastAsiaTheme="majorEastAsia"/>
                <w:color w:val="auto"/>
                <w:kern w:val="0"/>
                <w:sz w:val="24"/>
                <w:szCs w:val="24"/>
              </w:rPr>
            </w:pPr>
            <w:r>
              <w:rPr>
                <w:rFonts w:cs="宋体" w:asciiTheme="majorEastAsia" w:hAnsiTheme="majorEastAsia" w:eastAsiaTheme="majorEastAsia"/>
                <w:color w:val="auto"/>
                <w:kern w:val="0"/>
                <w:sz w:val="24"/>
                <w:szCs w:val="24"/>
              </w:rPr>
              <w:t>（</w:t>
            </w:r>
            <w:r>
              <w:rPr>
                <w:rFonts w:hint="eastAsia" w:cs="宋体" w:asciiTheme="majorEastAsia" w:hAnsiTheme="majorEastAsia" w:eastAsiaTheme="majorEastAsia"/>
                <w:color w:val="auto"/>
                <w:kern w:val="0"/>
                <w:sz w:val="24"/>
                <w:szCs w:val="24"/>
              </w:rPr>
              <w:t>2</w:t>
            </w:r>
            <w:r>
              <w:rPr>
                <w:rFonts w:cs="宋体" w:asciiTheme="majorEastAsia" w:hAnsiTheme="majorEastAsia" w:eastAsiaTheme="majorEastAsia"/>
                <w:color w:val="auto"/>
                <w:kern w:val="0"/>
                <w:sz w:val="24"/>
                <w:szCs w:val="24"/>
              </w:rPr>
              <w:t>分）</w:t>
            </w:r>
          </w:p>
        </w:tc>
        <w:tc>
          <w:tcPr>
            <w:tcW w:w="6563" w:type="dxa"/>
            <w:vAlign w:val="center"/>
          </w:tcPr>
          <w:p>
            <w:pPr>
              <w:widowControl/>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投标人须提供完整、详细、可行的工程施工方案及验收方案，根据各投标人的投标方案酌情打分。工程施工方案及验收方案应包括但不限于以下内容：施工说明、项目管理框架、施工组织部署、工程质量管理、工程进度管理、安全文明施工及成品保护措施、工程文档管理、主要施工技术方案、项目人员配置计划、进度计划（包括设备到货、安装、系统调试、培训等）、项目验收方案等。优得2分，良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4" w:type="dxa"/>
            <w:vMerge w:val="continue"/>
            <w:vAlign w:val="center"/>
          </w:tcPr>
          <w:p>
            <w:pPr>
              <w:pStyle w:val="9"/>
              <w:spacing w:line="360" w:lineRule="exact"/>
              <w:jc w:val="center"/>
              <w:rPr>
                <w:rFonts w:cs="宋体" w:asciiTheme="majorEastAsia" w:hAnsiTheme="majorEastAsia" w:eastAsiaTheme="majorEastAsia"/>
                <w:color w:val="auto"/>
                <w:kern w:val="0"/>
                <w:sz w:val="24"/>
                <w:szCs w:val="24"/>
              </w:rPr>
            </w:pPr>
          </w:p>
        </w:tc>
        <w:tc>
          <w:tcPr>
            <w:tcW w:w="936" w:type="dxa"/>
            <w:vMerge w:val="continue"/>
            <w:vAlign w:val="center"/>
          </w:tcPr>
          <w:p>
            <w:pPr>
              <w:pStyle w:val="9"/>
              <w:rPr>
                <w:rFonts w:cs="宋体" w:asciiTheme="majorEastAsia" w:hAnsiTheme="majorEastAsia" w:eastAsiaTheme="majorEastAsia"/>
                <w:color w:val="auto"/>
                <w:kern w:val="0"/>
                <w:sz w:val="24"/>
                <w:szCs w:val="24"/>
              </w:rPr>
            </w:pPr>
          </w:p>
        </w:tc>
        <w:tc>
          <w:tcPr>
            <w:tcW w:w="1077" w:type="dxa"/>
            <w:vAlign w:val="center"/>
          </w:tcPr>
          <w:p>
            <w:pPr>
              <w:pStyle w:val="9"/>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售后服务（2分）</w:t>
            </w:r>
          </w:p>
        </w:tc>
        <w:tc>
          <w:tcPr>
            <w:tcW w:w="6563" w:type="dxa"/>
            <w:vAlign w:val="center"/>
          </w:tcPr>
          <w:p>
            <w:pPr>
              <w:widowControl/>
              <w:ind w:firstLine="240" w:firstLineChars="100"/>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各投标人应提供详细的售后服务方案、服务体系、服务范围以及故障解决方案、响应时间、应急处理方案、专业技术人员保障、售后服务电话等。根据各投标人提供的资料，从全面性、可操作性等进行打分。优得2分，良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4" w:type="dxa"/>
            <w:vAlign w:val="center"/>
          </w:tcPr>
          <w:p>
            <w:pPr>
              <w:pStyle w:val="9"/>
              <w:spacing w:line="360" w:lineRule="exact"/>
              <w:jc w:val="center"/>
              <w:rPr>
                <w:rFonts w:cs="宋体" w:asciiTheme="majorEastAsia" w:hAnsiTheme="majorEastAsia" w:eastAsiaTheme="majorEastAsia"/>
                <w:color w:val="auto"/>
                <w:kern w:val="0"/>
                <w:sz w:val="24"/>
                <w:szCs w:val="24"/>
              </w:rPr>
            </w:pPr>
            <w:r>
              <w:rPr>
                <w:rFonts w:hint="eastAsia" w:hAnsi="宋体"/>
                <w:color w:val="auto"/>
                <w:szCs w:val="21"/>
              </w:rPr>
              <w:t>投标文件制作</w:t>
            </w:r>
          </w:p>
        </w:tc>
        <w:tc>
          <w:tcPr>
            <w:tcW w:w="936" w:type="dxa"/>
            <w:vAlign w:val="center"/>
          </w:tcPr>
          <w:p>
            <w:pPr>
              <w:pStyle w:val="9"/>
              <w:rPr>
                <w:rFonts w:cs="宋体" w:asciiTheme="majorEastAsia" w:hAnsiTheme="majorEastAsia" w:eastAsiaTheme="majorEastAsia"/>
                <w:color w:val="auto"/>
                <w:kern w:val="0"/>
                <w:sz w:val="24"/>
                <w:szCs w:val="24"/>
              </w:rPr>
            </w:pPr>
            <w:r>
              <w:rPr>
                <w:rFonts w:hint="eastAsia" w:cs="宋体" w:asciiTheme="majorEastAsia" w:hAnsiTheme="majorEastAsia" w:eastAsiaTheme="majorEastAsia"/>
                <w:color w:val="auto"/>
                <w:kern w:val="0"/>
                <w:sz w:val="24"/>
                <w:szCs w:val="24"/>
              </w:rPr>
              <w:t>2分</w:t>
            </w:r>
          </w:p>
        </w:tc>
        <w:tc>
          <w:tcPr>
            <w:tcW w:w="1077" w:type="dxa"/>
            <w:vAlign w:val="center"/>
          </w:tcPr>
          <w:p>
            <w:pPr>
              <w:pStyle w:val="9"/>
              <w:rPr>
                <w:rFonts w:cs="宋体" w:asciiTheme="majorEastAsia" w:hAnsiTheme="majorEastAsia"/>
                <w:color w:val="auto"/>
                <w:kern w:val="0"/>
                <w:sz w:val="24"/>
                <w:szCs w:val="24"/>
              </w:rPr>
            </w:pPr>
            <w:r>
              <w:rPr>
                <w:rFonts w:hint="eastAsia" w:hAnsi="宋体"/>
                <w:color w:val="auto"/>
                <w:szCs w:val="21"/>
              </w:rPr>
              <w:t>投标文件便于评审（2分）</w:t>
            </w:r>
          </w:p>
        </w:tc>
        <w:tc>
          <w:tcPr>
            <w:tcW w:w="6563" w:type="dxa"/>
            <w:vAlign w:val="center"/>
          </w:tcPr>
          <w:p>
            <w:pPr>
              <w:widowControl/>
              <w:rPr>
                <w:rFonts w:cs="宋体" w:asciiTheme="majorEastAsia" w:hAnsiTheme="majorEastAsia" w:eastAsiaTheme="majorEastAsia"/>
                <w:color w:val="auto"/>
                <w:kern w:val="0"/>
                <w:sz w:val="24"/>
              </w:rPr>
            </w:pPr>
            <w:r>
              <w:rPr>
                <w:rFonts w:hint="eastAsia" w:ascii="宋体" w:hAnsi="宋体" w:cs="宋体"/>
                <w:color w:val="auto"/>
                <w:szCs w:val="21"/>
              </w:rPr>
              <w:t>文件内容完备，格式规范，封装整齐，满足招标文件要求得2分。没有目录或目录与内文不对应扣1分；编排混乱、前后矛盾，评审委员会允许且需要通过询标等程序进行澄清的，扣0.5分；字迹模糊难辨扣0.5分。</w:t>
            </w:r>
          </w:p>
        </w:tc>
      </w:tr>
    </w:tbl>
    <w:p>
      <w:pP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特别说明：</w:t>
      </w:r>
    </w:p>
    <w:p>
      <w:pPr>
        <w:ind w:firstLine="480" w:firstLineChars="200"/>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招标结束后，用户将对中标候选人所投云桌面产品进行主要性能及功能测试，（如测试结果与投标文件不符合，做虚假应标处理）测试通过后方可签订合同。</w:t>
      </w: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pStyle w:val="2"/>
        <w:ind w:left="1470" w:right="1470"/>
        <w:rPr>
          <w:color w:val="auto"/>
        </w:rPr>
      </w:pPr>
    </w:p>
    <w:p>
      <w:pPr>
        <w:spacing w:line="360" w:lineRule="auto"/>
        <w:rPr>
          <w:b/>
          <w:color w:val="auto"/>
          <w:sz w:val="28"/>
          <w:szCs w:val="28"/>
        </w:rPr>
      </w:pPr>
      <w:r>
        <w:rPr>
          <w:rFonts w:hint="eastAsia"/>
          <w:b/>
          <w:color w:val="auto"/>
          <w:sz w:val="28"/>
          <w:szCs w:val="28"/>
        </w:rPr>
        <w:t>附件</w:t>
      </w:r>
      <w:r>
        <w:rPr>
          <w:b/>
          <w:color w:val="auto"/>
          <w:sz w:val="28"/>
          <w:szCs w:val="28"/>
        </w:rPr>
        <w:t>6</w:t>
      </w:r>
      <w:r>
        <w:rPr>
          <w:rFonts w:hint="eastAsia"/>
          <w:b/>
          <w:color w:val="auto"/>
          <w:sz w:val="28"/>
          <w:szCs w:val="28"/>
        </w:rPr>
        <w:t>：</w:t>
      </w:r>
    </w:p>
    <w:p>
      <w:pPr>
        <w:adjustRightInd w:val="0"/>
        <w:snapToGrid w:val="0"/>
        <w:spacing w:before="156" w:beforeLines="50" w:after="156" w:afterLines="50" w:line="360" w:lineRule="auto"/>
        <w:jc w:val="center"/>
        <w:outlineLvl w:val="0"/>
        <w:rPr>
          <w:rFonts w:ascii="黑体" w:hAnsi="黑体" w:eastAsia="黑体"/>
          <w:b/>
          <w:bCs/>
          <w:color w:val="auto"/>
          <w:sz w:val="34"/>
        </w:rPr>
      </w:pPr>
      <w:r>
        <w:rPr>
          <w:rFonts w:hint="eastAsia" w:ascii="黑体" w:hAnsi="黑体" w:eastAsia="黑体"/>
          <w:b/>
          <w:color w:val="auto"/>
          <w:sz w:val="34"/>
        </w:rPr>
        <w:t>采购合同</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项目名称：</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项目编号：</w:t>
      </w:r>
    </w:p>
    <w:p>
      <w:pPr>
        <w:pStyle w:val="9"/>
        <w:adjustRightInd w:val="0"/>
        <w:snapToGrid w:val="0"/>
        <w:spacing w:before="120" w:after="120" w:line="360" w:lineRule="auto"/>
        <w:ind w:firstLine="658"/>
        <w:rPr>
          <w:rFonts w:hAnsi="宋体"/>
          <w:color w:val="auto"/>
          <w:sz w:val="24"/>
          <w:szCs w:val="24"/>
          <w:u w:val="single"/>
        </w:rPr>
      </w:pPr>
      <w:r>
        <w:rPr>
          <w:rFonts w:hint="eastAsia" w:hAnsi="宋体"/>
          <w:color w:val="auto"/>
          <w:sz w:val="24"/>
          <w:szCs w:val="24"/>
        </w:rPr>
        <w:t>甲方：（买方）</w:t>
      </w:r>
      <w:r>
        <w:rPr>
          <w:rFonts w:hAnsi="宋体"/>
          <w:color w:val="auto"/>
          <w:sz w:val="24"/>
          <w:szCs w:val="24"/>
        </w:rPr>
        <w:t>__________________</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乙方：（卖方）</w:t>
      </w:r>
      <w:r>
        <w:rPr>
          <w:rFonts w:hAnsi="宋体"/>
          <w:color w:val="auto"/>
          <w:sz w:val="24"/>
          <w:szCs w:val="24"/>
        </w:rPr>
        <w:t>__________________</w:t>
      </w:r>
    </w:p>
    <w:p>
      <w:pPr>
        <w:pStyle w:val="9"/>
        <w:adjustRightInd w:val="0"/>
        <w:snapToGrid w:val="0"/>
        <w:spacing w:before="120" w:after="120" w:line="360" w:lineRule="auto"/>
        <w:ind w:firstLine="658"/>
        <w:rPr>
          <w:rFonts w:hAnsi="宋体"/>
          <w:b/>
          <w:color w:val="auto"/>
          <w:sz w:val="24"/>
          <w:szCs w:val="24"/>
        </w:rPr>
      </w:pPr>
      <w:r>
        <w:rPr>
          <w:rFonts w:hint="eastAsia" w:hAnsi="宋体"/>
          <w:color w:val="auto"/>
          <w:sz w:val="24"/>
          <w:szCs w:val="24"/>
        </w:rPr>
        <w:t>甲、乙双方根据甲方项目采购谈判的结果，签署本合同。</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rPr>
            </w:pPr>
            <w:r>
              <w:rPr>
                <w:rFonts w:hint="eastAsia" w:ascii="宋体" w:hAnsi="宋体"/>
                <w:b/>
                <w:color w:val="auto"/>
                <w:sz w:val="24"/>
              </w:rPr>
              <w:t>分包号</w:t>
            </w:r>
          </w:p>
        </w:tc>
        <w:tc>
          <w:tcPr>
            <w:tcW w:w="1165" w:type="dxa"/>
            <w:vAlign w:val="center"/>
          </w:tcPr>
          <w:p>
            <w:pPr>
              <w:spacing w:line="360" w:lineRule="auto"/>
              <w:jc w:val="center"/>
              <w:rPr>
                <w:rFonts w:ascii="宋体"/>
                <w:b/>
                <w:color w:val="auto"/>
                <w:sz w:val="24"/>
              </w:rPr>
            </w:pPr>
            <w:r>
              <w:rPr>
                <w:rFonts w:hint="eastAsia" w:ascii="宋体" w:hAnsi="宋体"/>
                <w:b/>
                <w:color w:val="auto"/>
                <w:sz w:val="24"/>
              </w:rPr>
              <w:t>货物</w:t>
            </w:r>
          </w:p>
          <w:p>
            <w:pPr>
              <w:spacing w:line="360" w:lineRule="auto"/>
              <w:jc w:val="center"/>
              <w:rPr>
                <w:rFonts w:ascii="宋体"/>
                <w:b/>
                <w:color w:val="auto"/>
                <w:sz w:val="24"/>
              </w:rPr>
            </w:pPr>
            <w:r>
              <w:rPr>
                <w:rFonts w:hint="eastAsia" w:ascii="宋体" w:hAnsi="宋体"/>
                <w:b/>
                <w:color w:val="auto"/>
                <w:sz w:val="24"/>
              </w:rPr>
              <w:t>名称</w:t>
            </w:r>
          </w:p>
        </w:tc>
        <w:tc>
          <w:tcPr>
            <w:tcW w:w="1115" w:type="dxa"/>
            <w:vAlign w:val="center"/>
          </w:tcPr>
          <w:p>
            <w:pPr>
              <w:spacing w:line="360" w:lineRule="auto"/>
              <w:jc w:val="center"/>
              <w:rPr>
                <w:rFonts w:ascii="宋体"/>
                <w:b/>
                <w:color w:val="auto"/>
                <w:sz w:val="24"/>
              </w:rPr>
            </w:pPr>
            <w:r>
              <w:rPr>
                <w:rFonts w:hint="eastAsia" w:ascii="宋体" w:hAnsi="宋体"/>
                <w:b/>
                <w:color w:val="auto"/>
                <w:sz w:val="24"/>
              </w:rPr>
              <w:t>型号</w:t>
            </w:r>
            <w:r>
              <w:rPr>
                <w:rFonts w:ascii="宋体" w:hAnsi="宋体"/>
                <w:b/>
                <w:color w:val="auto"/>
                <w:sz w:val="24"/>
              </w:rPr>
              <w:t>/</w:t>
            </w:r>
          </w:p>
          <w:p>
            <w:pPr>
              <w:spacing w:line="360" w:lineRule="auto"/>
              <w:jc w:val="center"/>
              <w:rPr>
                <w:rFonts w:ascii="宋体"/>
                <w:b/>
                <w:color w:val="auto"/>
                <w:sz w:val="24"/>
              </w:rPr>
            </w:pPr>
            <w:r>
              <w:rPr>
                <w:rFonts w:hint="eastAsia" w:ascii="宋体" w:hAnsi="宋体"/>
                <w:b/>
                <w:color w:val="auto"/>
                <w:sz w:val="24"/>
              </w:rPr>
              <w:t>规格</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品牌</w:t>
            </w:r>
            <w:r>
              <w:rPr>
                <w:rFonts w:ascii="宋体" w:hAnsi="宋体"/>
                <w:b/>
                <w:color w:val="auto"/>
                <w:sz w:val="24"/>
              </w:rPr>
              <w:t>/</w:t>
            </w:r>
            <w:r>
              <w:rPr>
                <w:rFonts w:hint="eastAsia" w:ascii="宋体" w:hAnsi="宋体"/>
                <w:b/>
                <w:color w:val="auto"/>
                <w:sz w:val="24"/>
              </w:rPr>
              <w:t>生产厂家</w:t>
            </w:r>
            <w:r>
              <w:rPr>
                <w:rFonts w:ascii="宋体" w:hAnsi="宋体"/>
                <w:b/>
                <w:color w:val="auto"/>
                <w:sz w:val="24"/>
              </w:rPr>
              <w:t>/</w:t>
            </w:r>
            <w:r>
              <w:rPr>
                <w:rFonts w:hint="eastAsia" w:ascii="宋体" w:hAnsi="宋体"/>
                <w:b/>
                <w:color w:val="auto"/>
                <w:sz w:val="24"/>
              </w:rPr>
              <w:t>国别</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计量</w:t>
            </w:r>
          </w:p>
          <w:p>
            <w:pPr>
              <w:spacing w:line="360" w:lineRule="auto"/>
              <w:jc w:val="center"/>
              <w:rPr>
                <w:rFonts w:ascii="宋体"/>
                <w:b/>
                <w:color w:val="auto"/>
                <w:sz w:val="24"/>
              </w:rPr>
            </w:pPr>
            <w:r>
              <w:rPr>
                <w:rFonts w:hint="eastAsia" w:ascii="宋体" w:hAnsi="宋体"/>
                <w:b/>
                <w:color w:val="auto"/>
                <w:sz w:val="24"/>
              </w:rPr>
              <w:t>单位</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数量</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单价</w:t>
            </w:r>
          </w:p>
        </w:tc>
        <w:tc>
          <w:tcPr>
            <w:tcW w:w="1162" w:type="dxa"/>
            <w:vAlign w:val="center"/>
          </w:tcPr>
          <w:p>
            <w:pPr>
              <w:spacing w:line="360" w:lineRule="auto"/>
              <w:jc w:val="center"/>
              <w:rPr>
                <w:rFonts w:ascii="宋体"/>
                <w:b/>
                <w:color w:val="auto"/>
                <w:sz w:val="24"/>
              </w:rPr>
            </w:pPr>
            <w:r>
              <w:rPr>
                <w:rFonts w:hint="eastAsia" w:ascii="宋体" w:hAnsi="宋体"/>
                <w:b/>
                <w:color w:val="auto"/>
                <w:sz w:val="24"/>
              </w:rPr>
              <w:t>每项</w:t>
            </w:r>
          </w:p>
          <w:p>
            <w:pPr>
              <w:spacing w:line="360" w:lineRule="auto"/>
              <w:jc w:val="center"/>
              <w:rPr>
                <w:rFonts w:ascii="宋体"/>
                <w:b/>
                <w:color w:val="auto"/>
                <w:sz w:val="24"/>
              </w:rPr>
            </w:pPr>
            <w:r>
              <w:rPr>
                <w:rFonts w:hint="eastAsia" w:ascii="宋体" w:hAnsi="宋体"/>
                <w:b/>
                <w:color w:val="auto"/>
                <w:sz w:val="24"/>
              </w:rPr>
              <w:t>总价</w:t>
            </w:r>
          </w:p>
        </w:tc>
        <w:tc>
          <w:tcPr>
            <w:tcW w:w="1171" w:type="dxa"/>
            <w:vAlign w:val="center"/>
          </w:tcPr>
          <w:p>
            <w:pPr>
              <w:spacing w:line="360" w:lineRule="auto"/>
              <w:jc w:val="center"/>
              <w:rPr>
                <w:rFonts w:ascii="宋体"/>
                <w:b/>
                <w:color w:val="auto"/>
                <w:sz w:val="24"/>
              </w:rPr>
            </w:pPr>
            <w:r>
              <w:rPr>
                <w:rFonts w:hint="eastAsia" w:ascii="宋体" w:hAnsi="宋体"/>
                <w:b/>
                <w:color w:val="auto"/>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rPr>
            </w:pPr>
            <w:r>
              <w:rPr>
                <w:rFonts w:hint="eastAsia" w:ascii="宋体" w:hAnsi="宋体"/>
                <w:color w:val="auto"/>
                <w:sz w:val="24"/>
              </w:rPr>
              <w:t>合计总价</w:t>
            </w:r>
          </w:p>
        </w:tc>
        <w:tc>
          <w:tcPr>
            <w:tcW w:w="8088" w:type="dxa"/>
            <w:gridSpan w:val="7"/>
            <w:vAlign w:val="center"/>
          </w:tcPr>
          <w:p>
            <w:pPr>
              <w:spacing w:line="360" w:lineRule="auto"/>
              <w:rPr>
                <w:rFonts w:ascii="宋体"/>
                <w:color w:val="auto"/>
                <w:sz w:val="24"/>
                <w:u w:val="single"/>
              </w:rPr>
            </w:pPr>
            <w:r>
              <w:rPr>
                <w:rFonts w:hint="eastAsia" w:ascii="宋体" w:hAnsi="宋体"/>
                <w:color w:val="auto"/>
                <w:sz w:val="24"/>
              </w:rPr>
              <w:t>大写：      小写：      元</w:t>
            </w:r>
          </w:p>
        </w:tc>
      </w:tr>
    </w:tbl>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二、合同金额</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2.1 </w:t>
      </w:r>
      <w:r>
        <w:rPr>
          <w:rFonts w:hint="eastAsia" w:hAnsi="宋体"/>
          <w:color w:val="auto"/>
          <w:sz w:val="24"/>
          <w:szCs w:val="24"/>
        </w:rPr>
        <w:t>本合同金额为（大写）：</w:t>
      </w:r>
      <w:r>
        <w:rPr>
          <w:rFonts w:hAnsi="宋体"/>
          <w:color w:val="auto"/>
          <w:sz w:val="24"/>
          <w:szCs w:val="24"/>
        </w:rPr>
        <w:t>________________________</w:t>
      </w:r>
      <w:r>
        <w:rPr>
          <w:rFonts w:hint="eastAsia" w:hAnsi="宋体"/>
          <w:color w:val="auto"/>
          <w:sz w:val="24"/>
          <w:szCs w:val="24"/>
        </w:rPr>
        <w:t>元人民币。</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三、技术资料</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3.1</w:t>
      </w:r>
      <w:r>
        <w:rPr>
          <w:rFonts w:hint="eastAsia" w:hAnsi="宋体"/>
          <w:color w:val="auto"/>
          <w:sz w:val="24"/>
          <w:szCs w:val="24"/>
        </w:rPr>
        <w:t>乙方应按采购文件规定的时间向甲方提供使用货物的有关技术资料。</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3.2 </w:t>
      </w:r>
      <w:r>
        <w:rPr>
          <w:rFonts w:hint="eastAsia" w:hAnsi="宋体"/>
          <w:color w:val="auto"/>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adjustRightInd w:val="0"/>
        <w:snapToGrid w:val="0"/>
        <w:spacing w:before="120" w:after="120" w:line="360" w:lineRule="auto"/>
        <w:ind w:left="50" w:firstLine="660"/>
        <w:rPr>
          <w:rFonts w:hAnsi="宋体"/>
          <w:b/>
          <w:color w:val="auto"/>
          <w:sz w:val="24"/>
          <w:szCs w:val="24"/>
        </w:rPr>
      </w:pPr>
      <w:r>
        <w:rPr>
          <w:rFonts w:hint="eastAsia" w:hAnsi="宋体"/>
          <w:b/>
          <w:color w:val="auto"/>
          <w:sz w:val="24"/>
          <w:szCs w:val="24"/>
        </w:rPr>
        <w:t>四、知识产权</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4.1</w:t>
      </w:r>
      <w:r>
        <w:rPr>
          <w:rFonts w:hint="eastAsia" w:hAnsi="宋体"/>
          <w:color w:val="auto"/>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9"/>
        <w:adjustRightInd w:val="0"/>
        <w:snapToGrid w:val="0"/>
        <w:spacing w:before="120" w:after="120" w:line="360" w:lineRule="auto"/>
        <w:ind w:firstLine="660"/>
        <w:rPr>
          <w:rFonts w:hAnsi="宋体"/>
          <w:color w:val="auto"/>
          <w:sz w:val="24"/>
          <w:szCs w:val="24"/>
          <w:u w:val="single"/>
        </w:rPr>
      </w:pPr>
      <w:r>
        <w:rPr>
          <w:rFonts w:hint="eastAsia" w:hAnsi="宋体"/>
          <w:b/>
          <w:color w:val="auto"/>
          <w:sz w:val="24"/>
          <w:szCs w:val="24"/>
        </w:rPr>
        <w:t>五、产权担保</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5.1 </w:t>
      </w:r>
      <w:r>
        <w:rPr>
          <w:rFonts w:hint="eastAsia" w:hAnsi="宋体"/>
          <w:color w:val="auto"/>
          <w:sz w:val="24"/>
          <w:szCs w:val="24"/>
        </w:rPr>
        <w:t>乙方保证所交付的货物的所有权完全属于乙方且无任何抵押、查封等产权瑕疵。</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六、履约保证金</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6.1 </w:t>
      </w:r>
      <w:r>
        <w:rPr>
          <w:rFonts w:hint="eastAsia" w:hAnsi="宋体"/>
          <w:color w:val="auto"/>
          <w:sz w:val="24"/>
          <w:szCs w:val="24"/>
        </w:rPr>
        <w:t>乙方交纳人民币</w:t>
      </w:r>
      <w:r>
        <w:rPr>
          <w:rFonts w:hAnsi="宋体"/>
          <w:color w:val="auto"/>
          <w:sz w:val="24"/>
          <w:szCs w:val="24"/>
        </w:rPr>
        <w:t>_____</w:t>
      </w:r>
      <w:r>
        <w:rPr>
          <w:rFonts w:hint="eastAsia" w:hAnsi="宋体"/>
          <w:color w:val="auto"/>
          <w:sz w:val="24"/>
          <w:szCs w:val="24"/>
        </w:rPr>
        <w:t>元作为本合同的履约保证金。</w:t>
      </w:r>
    </w:p>
    <w:p>
      <w:pPr>
        <w:adjustRightInd w:val="0"/>
        <w:snapToGrid w:val="0"/>
        <w:spacing w:before="156" w:beforeLines="50" w:after="156" w:afterLines="50" w:line="360" w:lineRule="auto"/>
        <w:ind w:firstLine="480"/>
        <w:rPr>
          <w:rFonts w:ascii="宋体" w:cs="Courier New"/>
          <w:b/>
          <w:color w:val="auto"/>
          <w:sz w:val="24"/>
        </w:rPr>
      </w:pPr>
      <w:r>
        <w:rPr>
          <w:rFonts w:hint="eastAsia" w:ascii="宋体" w:hAnsi="宋体" w:cs="Courier New"/>
          <w:b/>
          <w:color w:val="auto"/>
          <w:sz w:val="24"/>
        </w:rPr>
        <w:t>七</w:t>
      </w:r>
      <w:r>
        <w:rPr>
          <w:rFonts w:ascii="宋体" w:cs="Courier New"/>
          <w:b/>
          <w:color w:val="auto"/>
          <w:sz w:val="24"/>
        </w:rPr>
        <w:t>.</w:t>
      </w:r>
      <w:r>
        <w:rPr>
          <w:rFonts w:hint="eastAsia" w:ascii="宋体" w:hAnsi="宋体" w:cs="Courier New"/>
          <w:b/>
          <w:color w:val="auto"/>
          <w:sz w:val="24"/>
        </w:rPr>
        <w:t>转包或分包</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7.1</w:t>
      </w:r>
      <w:r>
        <w:rPr>
          <w:rFonts w:hint="eastAsia" w:hAnsi="宋体"/>
          <w:color w:val="auto"/>
          <w:sz w:val="24"/>
          <w:szCs w:val="24"/>
        </w:rPr>
        <w:t>本合同范围的货物，应由乙方直接供应，不得转让他人供应；</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7.2</w:t>
      </w:r>
      <w:r>
        <w:rPr>
          <w:rFonts w:hint="eastAsia" w:hAnsi="宋体"/>
          <w:color w:val="auto"/>
          <w:sz w:val="24"/>
          <w:szCs w:val="24"/>
        </w:rPr>
        <w:t>除非得到甲方的书面同意，乙方不得部分分包给他人供应。</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7.3</w:t>
      </w:r>
      <w:r>
        <w:rPr>
          <w:rFonts w:hint="eastAsia" w:hAnsi="宋体"/>
          <w:color w:val="auto"/>
          <w:sz w:val="24"/>
          <w:szCs w:val="24"/>
        </w:rPr>
        <w:t>如有转让和未经甲方同意的分包行为，甲方有权给予终止合同。</w:t>
      </w:r>
    </w:p>
    <w:p>
      <w:pPr>
        <w:pStyle w:val="9"/>
        <w:adjustRightInd w:val="0"/>
        <w:snapToGrid w:val="0"/>
        <w:spacing w:before="120" w:after="120" w:line="360" w:lineRule="auto"/>
        <w:ind w:firstLine="660"/>
        <w:rPr>
          <w:rFonts w:hAnsi="宋体"/>
          <w:color w:val="auto"/>
          <w:sz w:val="24"/>
          <w:szCs w:val="24"/>
        </w:rPr>
      </w:pPr>
      <w:r>
        <w:rPr>
          <w:rFonts w:hint="eastAsia" w:hAnsi="宋体"/>
          <w:b/>
          <w:color w:val="auto"/>
          <w:sz w:val="24"/>
          <w:szCs w:val="24"/>
        </w:rPr>
        <w:t>八、质保期</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8.1 </w:t>
      </w:r>
      <w:r>
        <w:rPr>
          <w:rFonts w:hint="eastAsia" w:hAnsi="宋体"/>
          <w:color w:val="auto"/>
          <w:sz w:val="24"/>
          <w:szCs w:val="24"/>
        </w:rPr>
        <w:t>质保期1年。（自交货验收合格之日起计）</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九、交货期、交货方式及交货地点</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9.1 </w:t>
      </w:r>
      <w:r>
        <w:rPr>
          <w:rFonts w:hint="eastAsia" w:hAnsi="宋体"/>
          <w:color w:val="auto"/>
          <w:sz w:val="24"/>
          <w:szCs w:val="24"/>
        </w:rPr>
        <w:t>交货期：</w:t>
      </w:r>
      <w:r>
        <w:rPr>
          <w:rFonts w:hAnsi="宋体"/>
          <w:color w:val="auto"/>
          <w:sz w:val="24"/>
          <w:szCs w:val="24"/>
        </w:rPr>
        <w:t>_________</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9.2 </w:t>
      </w:r>
      <w:r>
        <w:rPr>
          <w:rFonts w:hint="eastAsia" w:hAnsi="宋体"/>
          <w:color w:val="auto"/>
          <w:sz w:val="24"/>
          <w:szCs w:val="24"/>
        </w:rPr>
        <w:t>交货方式：</w:t>
      </w:r>
      <w:r>
        <w:rPr>
          <w:rFonts w:hAnsi="宋体"/>
          <w:color w:val="auto"/>
          <w:sz w:val="24"/>
          <w:szCs w:val="24"/>
        </w:rPr>
        <w:t>_________</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9.3 </w:t>
      </w:r>
      <w:r>
        <w:rPr>
          <w:rFonts w:hint="eastAsia" w:hAnsi="宋体"/>
          <w:color w:val="auto"/>
          <w:sz w:val="24"/>
          <w:szCs w:val="24"/>
        </w:rPr>
        <w:t>交货地点：用户单位地点或用户指定地点。</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十、货款支付</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10.1</w:t>
      </w:r>
      <w:r>
        <w:rPr>
          <w:rFonts w:hint="eastAsia" w:hAnsi="宋体"/>
          <w:color w:val="auto"/>
          <w:sz w:val="24"/>
          <w:szCs w:val="24"/>
        </w:rPr>
        <w:t>付款方式：针对国内供应货物，</w:t>
      </w:r>
      <w:r>
        <w:rPr>
          <w:rFonts w:hAnsi="宋体"/>
          <w:color w:val="auto"/>
          <w:sz w:val="24"/>
          <w:szCs w:val="24"/>
        </w:rPr>
        <w:t>中标单位所供设备（或软件、服务）进场安装调试或服务工作完毕，经验收、检测合格后，提供全额税务发票，凭最终签字和盖章的验收合格报告，支付至合同价的95%，余5%作质保金</w:t>
      </w:r>
      <w:r>
        <w:rPr>
          <w:rFonts w:hint="eastAsia" w:hAnsi="宋体"/>
          <w:color w:val="auto"/>
          <w:sz w:val="24"/>
          <w:szCs w:val="24"/>
        </w:rPr>
        <w:t>，质保期满后</w:t>
      </w:r>
      <w:r>
        <w:rPr>
          <w:rFonts w:hAnsi="宋体"/>
          <w:color w:val="auto"/>
          <w:sz w:val="24"/>
          <w:szCs w:val="24"/>
        </w:rPr>
        <w:t>并经有关单位确认无质量问题后，一次性支付完毕。具体内容以最终签署的合同约定为准。</w:t>
      </w:r>
    </w:p>
    <w:p>
      <w:pPr>
        <w:pStyle w:val="9"/>
        <w:adjustRightInd w:val="0"/>
        <w:snapToGrid w:val="0"/>
        <w:spacing w:before="120" w:after="120" w:line="360" w:lineRule="auto"/>
        <w:ind w:left="1" w:firstLine="658"/>
        <w:rPr>
          <w:rFonts w:hAnsi="宋体"/>
          <w:color w:val="auto"/>
          <w:sz w:val="24"/>
          <w:szCs w:val="24"/>
        </w:rPr>
      </w:pPr>
      <w:r>
        <w:rPr>
          <w:rFonts w:hAnsi="宋体"/>
          <w:color w:val="auto"/>
          <w:sz w:val="24"/>
          <w:szCs w:val="24"/>
        </w:rPr>
        <w:t>针对国外供应货物（进口货物），由外贸公司开具全额发票，外贸合同中采用100%信用证，90%见单即付，10%凭最终用户方签字和盖章的验收报告支付。</w:t>
      </w:r>
    </w:p>
    <w:p>
      <w:pPr>
        <w:ind w:firstLine="482" w:firstLineChars="200"/>
        <w:rPr>
          <w:rFonts w:ascii="宋体"/>
          <w:b/>
          <w:color w:val="auto"/>
          <w:sz w:val="24"/>
        </w:rPr>
      </w:pPr>
      <w:r>
        <w:rPr>
          <w:rFonts w:hint="eastAsia" w:ascii="宋体" w:hAnsi="宋体"/>
          <w:b/>
          <w:color w:val="auto"/>
          <w:sz w:val="24"/>
        </w:rPr>
        <w:t>十一、税</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11.1</w:t>
      </w:r>
      <w:r>
        <w:rPr>
          <w:rFonts w:hint="eastAsia" w:hAnsi="宋体"/>
          <w:color w:val="auto"/>
          <w:sz w:val="24"/>
          <w:szCs w:val="24"/>
        </w:rPr>
        <w:t>发票要求：针对国内供货的货物，乙方开具合同全额“增值税专用发票”。</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11.2</w:t>
      </w:r>
      <w:r>
        <w:rPr>
          <w:rFonts w:hint="eastAsia" w:hAnsi="宋体"/>
          <w:color w:val="auto"/>
          <w:sz w:val="24"/>
          <w:szCs w:val="24"/>
        </w:rPr>
        <w:t>本合同执行中相关的一切税费均由乙方负担。</w:t>
      </w:r>
    </w:p>
    <w:p>
      <w:pPr>
        <w:pStyle w:val="9"/>
        <w:adjustRightInd w:val="0"/>
        <w:snapToGrid w:val="0"/>
        <w:spacing w:before="120" w:after="120" w:line="360" w:lineRule="auto"/>
        <w:ind w:left="1" w:firstLine="660"/>
        <w:rPr>
          <w:rFonts w:hAnsi="宋体"/>
          <w:color w:val="auto"/>
          <w:sz w:val="24"/>
          <w:szCs w:val="24"/>
        </w:rPr>
      </w:pPr>
      <w:r>
        <w:rPr>
          <w:rFonts w:hint="eastAsia" w:hAnsi="宋体"/>
          <w:b/>
          <w:color w:val="auto"/>
          <w:sz w:val="24"/>
          <w:szCs w:val="24"/>
        </w:rPr>
        <w:t>十二、质量保证及售后服务</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12.1 </w:t>
      </w:r>
      <w:r>
        <w:rPr>
          <w:rFonts w:hint="eastAsia" w:hAnsi="宋体"/>
          <w:color w:val="auto"/>
          <w:sz w:val="24"/>
          <w:szCs w:val="24"/>
        </w:rPr>
        <w:t>乙方应按采购文件规定的货物性能、技术要求、质量标准向甲方提供未经使用的全新产品。</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12.2 </w:t>
      </w:r>
      <w:r>
        <w:rPr>
          <w:rFonts w:hint="eastAsia" w:hAnsi="宋体"/>
          <w:color w:val="auto"/>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rPr>
      </w:pPr>
      <w:r>
        <w:rPr>
          <w:rFonts w:hint="eastAsia"/>
          <w:color w:val="auto"/>
          <w:sz w:val="24"/>
        </w:rPr>
        <w:t>（</w:t>
      </w:r>
      <w:r>
        <w:rPr>
          <w:color w:val="auto"/>
          <w:sz w:val="24"/>
        </w:rPr>
        <w:t>1</w:t>
      </w:r>
      <w:r>
        <w:rPr>
          <w:rFonts w:hint="eastAsia"/>
          <w:color w:val="auto"/>
          <w:sz w:val="24"/>
        </w:rPr>
        <w:t>）更换：由乙方承担所发生的全部费用。</w:t>
      </w:r>
    </w:p>
    <w:p>
      <w:pPr>
        <w:adjustRightInd w:val="0"/>
        <w:snapToGrid w:val="0"/>
        <w:spacing w:line="360" w:lineRule="auto"/>
        <w:ind w:firstLine="360" w:firstLineChars="150"/>
        <w:rPr>
          <w:color w:val="auto"/>
          <w:sz w:val="24"/>
        </w:rPr>
      </w:pPr>
      <w:r>
        <w:rPr>
          <w:rFonts w:hint="eastAsia"/>
          <w:color w:val="auto"/>
          <w:sz w:val="24"/>
        </w:rPr>
        <w:t>（</w:t>
      </w:r>
      <w:r>
        <w:rPr>
          <w:color w:val="auto"/>
          <w:sz w:val="24"/>
        </w:rPr>
        <w:t>2</w:t>
      </w:r>
      <w:r>
        <w:rPr>
          <w:rFonts w:hint="eastAsia"/>
          <w:color w:val="auto"/>
          <w:sz w:val="24"/>
        </w:rPr>
        <w:t>）贬值处理：由甲乙双方合议定价。</w:t>
      </w:r>
    </w:p>
    <w:p>
      <w:pPr>
        <w:adjustRightInd w:val="0"/>
        <w:snapToGrid w:val="0"/>
        <w:spacing w:line="360" w:lineRule="auto"/>
        <w:ind w:firstLine="360" w:firstLineChars="150"/>
        <w:rPr>
          <w:color w:val="auto"/>
          <w:sz w:val="24"/>
        </w:rPr>
      </w:pPr>
      <w:r>
        <w:rPr>
          <w:rFonts w:hint="eastAsia"/>
          <w:color w:val="auto"/>
          <w:sz w:val="24"/>
        </w:rPr>
        <w:t>（</w:t>
      </w:r>
      <w:r>
        <w:rPr>
          <w:color w:val="auto"/>
          <w:sz w:val="24"/>
        </w:rPr>
        <w:t>3</w:t>
      </w:r>
      <w:r>
        <w:rPr>
          <w:rFonts w:hint="eastAsia"/>
          <w:color w:val="auto"/>
          <w:sz w:val="24"/>
        </w:rPr>
        <w:t>）退货处理：乙方应退还甲方支付的合同款，同时应承担该货物的直接费用（运输、保险、检验、货款利息及银行手续费等）。</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12.3 </w:t>
      </w:r>
      <w:r>
        <w:rPr>
          <w:rFonts w:hint="eastAsia" w:hAnsi="宋体"/>
          <w:color w:val="auto"/>
          <w:sz w:val="24"/>
          <w:szCs w:val="24"/>
        </w:rPr>
        <w:t>如在使用过程中发生质量问题，乙方在接到甲方通知后在小时内到达甲方现场。</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12.4 </w:t>
      </w:r>
      <w:r>
        <w:rPr>
          <w:rFonts w:hint="eastAsia" w:hAnsi="宋体"/>
          <w:color w:val="auto"/>
          <w:sz w:val="24"/>
          <w:szCs w:val="24"/>
        </w:rPr>
        <w:t>在质保期内，乙方应对货物出现的质量及安全问题负责处理解决并承担一切费用。</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12.5</w:t>
      </w:r>
      <w:r>
        <w:rPr>
          <w:rFonts w:hint="eastAsia" w:hAnsi="宋体"/>
          <w:color w:val="auto"/>
          <w:sz w:val="24"/>
          <w:szCs w:val="24"/>
        </w:rPr>
        <w:t>上述的货物免费保修期为</w:t>
      </w:r>
      <w:r>
        <w:rPr>
          <w:rFonts w:hAnsi="宋体"/>
          <w:color w:val="auto"/>
          <w:sz w:val="24"/>
          <w:szCs w:val="24"/>
        </w:rPr>
        <w:t>________</w:t>
      </w:r>
      <w:r>
        <w:rPr>
          <w:rFonts w:hint="eastAsia" w:hAnsi="宋体"/>
          <w:color w:val="auto"/>
          <w:sz w:val="24"/>
          <w:szCs w:val="24"/>
        </w:rPr>
        <w:t>年，因人为因素出现的故障不在免费保修范围内。超过保修期的机器设备，终生维修，维修时只收部件成本费。</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十三、调试和验收</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13.1 </w:t>
      </w:r>
      <w:r>
        <w:rPr>
          <w:rFonts w:hint="eastAsia" w:hAnsi="宋体"/>
          <w:color w:val="auto"/>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13.2 </w:t>
      </w:r>
      <w:r>
        <w:rPr>
          <w:rFonts w:hint="eastAsia" w:hAnsi="宋体"/>
          <w:color w:val="auto"/>
          <w:sz w:val="24"/>
          <w:szCs w:val="24"/>
        </w:rPr>
        <w:t>乙方交货前应对产品作出全面检查和对验收文件进行整理，并列出清单，作为甲方收货验收和使用的技术条件依据，检验的结果应随货物交甲方。</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13.3 </w:t>
      </w:r>
      <w:r>
        <w:rPr>
          <w:rFonts w:hint="eastAsia" w:hAnsi="宋体"/>
          <w:color w:val="auto"/>
          <w:sz w:val="24"/>
          <w:szCs w:val="24"/>
        </w:rPr>
        <w:t>甲方对乙方提供的货物在使用前进行调试时，乙方需负责安装并培训甲方的使用操作人员，并协助甲方一起调试，直到符合技术要求，甲方才做最终验收。</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13.4 </w:t>
      </w:r>
      <w:r>
        <w:rPr>
          <w:rFonts w:hint="eastAsia" w:hAnsi="宋体"/>
          <w:color w:val="auto"/>
          <w:sz w:val="24"/>
          <w:szCs w:val="24"/>
        </w:rPr>
        <w:t>对技术复杂的货物，甲方可请国家认可的专业检测机构参与初步验收及最终验收，并由其出具质量检测报告。</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13.5 </w:t>
      </w:r>
      <w:r>
        <w:rPr>
          <w:rFonts w:hint="eastAsia" w:hAnsi="宋体"/>
          <w:color w:val="auto"/>
          <w:sz w:val="24"/>
          <w:szCs w:val="24"/>
        </w:rPr>
        <w:t>验收时乙方必须在现场，验收完毕后作出验收结果报告，验收报告须经甲方最终用户签字和部门盖章。</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十四、货物包装、发运及运输</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14.1 </w:t>
      </w:r>
      <w:r>
        <w:rPr>
          <w:rFonts w:hint="eastAsia" w:hAnsi="宋体"/>
          <w:color w:val="auto"/>
          <w:sz w:val="24"/>
          <w:szCs w:val="24"/>
        </w:rPr>
        <w:t>乙方应在货物发运前对其进行满足运输距离、防潮、防震、防锈和防破损装卸等要求包装，以保证货物安全运达甲方指定地点。</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14.2 </w:t>
      </w:r>
      <w:r>
        <w:rPr>
          <w:rFonts w:hint="eastAsia" w:hAnsi="宋体"/>
          <w:color w:val="auto"/>
          <w:sz w:val="24"/>
          <w:szCs w:val="24"/>
        </w:rPr>
        <w:t>使用说明书、质量检验证明书、随配附件和工具以及清单一并附于货物内。</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14.3 </w:t>
      </w:r>
      <w:r>
        <w:rPr>
          <w:rFonts w:hint="eastAsia" w:hAnsi="宋体"/>
          <w:color w:val="auto"/>
          <w:sz w:val="24"/>
          <w:szCs w:val="24"/>
        </w:rPr>
        <w:t>乙方在货物发运手续办理完毕后</w:t>
      </w:r>
      <w:r>
        <w:rPr>
          <w:rFonts w:hAnsi="宋体"/>
          <w:color w:val="auto"/>
          <w:sz w:val="24"/>
          <w:szCs w:val="24"/>
        </w:rPr>
        <w:t>24</w:t>
      </w:r>
      <w:r>
        <w:rPr>
          <w:rFonts w:hint="eastAsia" w:hAnsi="宋体"/>
          <w:color w:val="auto"/>
          <w:sz w:val="24"/>
          <w:szCs w:val="24"/>
        </w:rPr>
        <w:t>小时内或货到甲方</w:t>
      </w:r>
      <w:r>
        <w:rPr>
          <w:rFonts w:hAnsi="宋体"/>
          <w:color w:val="auto"/>
          <w:sz w:val="24"/>
          <w:szCs w:val="24"/>
        </w:rPr>
        <w:t>48</w:t>
      </w:r>
      <w:r>
        <w:rPr>
          <w:rFonts w:hint="eastAsia" w:hAnsi="宋体"/>
          <w:color w:val="auto"/>
          <w:sz w:val="24"/>
          <w:szCs w:val="24"/>
        </w:rPr>
        <w:t>小时前通知甲方，以准备接货。</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14.4 </w:t>
      </w:r>
      <w:r>
        <w:rPr>
          <w:rFonts w:hint="eastAsia" w:hAnsi="宋体"/>
          <w:color w:val="auto"/>
          <w:sz w:val="24"/>
          <w:szCs w:val="24"/>
        </w:rPr>
        <w:t>货物在交付甲方前发生的风险均由乙方负责。</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14.5 </w:t>
      </w:r>
      <w:r>
        <w:rPr>
          <w:rFonts w:hint="eastAsia" w:hAnsi="宋体"/>
          <w:color w:val="auto"/>
          <w:sz w:val="24"/>
          <w:szCs w:val="24"/>
        </w:rPr>
        <w:t>货物在规定的交付期限内由乙方送达甲方指定的地点视为交付，乙方同时需通知甲方货物已送达。</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十五、违约责任</w:t>
      </w:r>
    </w:p>
    <w:p>
      <w:pPr>
        <w:pStyle w:val="9"/>
        <w:adjustRightInd w:val="0"/>
        <w:snapToGrid w:val="0"/>
        <w:spacing w:before="120" w:after="120" w:line="360" w:lineRule="auto"/>
        <w:ind w:left="1" w:firstLine="658"/>
        <w:rPr>
          <w:rFonts w:hAnsi="宋体"/>
          <w:color w:val="auto"/>
          <w:sz w:val="24"/>
          <w:szCs w:val="24"/>
        </w:rPr>
      </w:pPr>
      <w:r>
        <w:rPr>
          <w:rFonts w:hAnsi="宋体"/>
          <w:color w:val="auto"/>
          <w:sz w:val="24"/>
          <w:szCs w:val="24"/>
        </w:rPr>
        <w:t>15.1</w:t>
      </w:r>
      <w:r>
        <w:rPr>
          <w:rFonts w:hint="eastAsia" w:hAnsi="宋体"/>
          <w:color w:val="auto"/>
          <w:sz w:val="24"/>
          <w:szCs w:val="24"/>
        </w:rPr>
        <w:t>乙方逾期交付货物的，乙方应按逾期交货总额每日千分之六向甲方支付违约金，由甲方从待付货款中扣除。逾期超过约定日期</w:t>
      </w:r>
      <w:r>
        <w:rPr>
          <w:rFonts w:hAnsi="宋体"/>
          <w:color w:val="auto"/>
          <w:sz w:val="24"/>
          <w:szCs w:val="24"/>
        </w:rPr>
        <w:t>10</w:t>
      </w:r>
      <w:r>
        <w:rPr>
          <w:rFonts w:hint="eastAsia" w:hAnsi="宋体"/>
          <w:color w:val="auto"/>
          <w:sz w:val="24"/>
          <w:szCs w:val="24"/>
        </w:rPr>
        <w:t>个工作日不能交货的，甲方可解除本合同。乙方因逾期交货或因其他违约行为导致甲方解除合同的，乙方应向甲方支付合同总值</w:t>
      </w:r>
      <w:r>
        <w:rPr>
          <w:rFonts w:hAnsi="宋体"/>
          <w:color w:val="auto"/>
          <w:sz w:val="24"/>
          <w:szCs w:val="24"/>
        </w:rPr>
        <w:t>5%</w:t>
      </w:r>
      <w:r>
        <w:rPr>
          <w:rFonts w:hint="eastAsia" w:hAnsi="宋体"/>
          <w:color w:val="auto"/>
          <w:sz w:val="24"/>
          <w:szCs w:val="24"/>
        </w:rPr>
        <w:t>的违约金，如造成甲方损失超过违约金的，超出部分由乙方继续承担赔偿责任。</w:t>
      </w:r>
    </w:p>
    <w:p>
      <w:pPr>
        <w:pStyle w:val="9"/>
        <w:adjustRightInd w:val="0"/>
        <w:snapToGrid w:val="0"/>
        <w:spacing w:before="120" w:after="120" w:line="360" w:lineRule="auto"/>
        <w:ind w:firstLine="658"/>
        <w:rPr>
          <w:rFonts w:hAnsi="宋体"/>
          <w:color w:val="auto"/>
          <w:sz w:val="24"/>
          <w:szCs w:val="24"/>
        </w:rPr>
      </w:pPr>
      <w:r>
        <w:rPr>
          <w:rFonts w:hAnsi="宋体"/>
          <w:color w:val="auto"/>
          <w:sz w:val="24"/>
          <w:szCs w:val="24"/>
        </w:rPr>
        <w:t>15.2</w:t>
      </w:r>
      <w:r>
        <w:rPr>
          <w:rFonts w:hint="eastAsia" w:hAnsi="宋体"/>
          <w:color w:val="auto"/>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十六、廉政条款</w:t>
      </w:r>
    </w:p>
    <w:p>
      <w:pPr>
        <w:pStyle w:val="9"/>
        <w:adjustRightInd w:val="0"/>
        <w:snapToGrid w:val="0"/>
        <w:spacing w:before="120" w:after="120" w:line="360" w:lineRule="auto"/>
        <w:ind w:left="1" w:firstLine="658"/>
        <w:rPr>
          <w:rFonts w:hAnsi="宋体"/>
          <w:color w:val="auto"/>
          <w:sz w:val="24"/>
          <w:szCs w:val="24"/>
        </w:rPr>
      </w:pPr>
      <w:r>
        <w:rPr>
          <w:rFonts w:hAnsi="宋体"/>
          <w:color w:val="auto"/>
          <w:sz w:val="24"/>
          <w:szCs w:val="24"/>
        </w:rPr>
        <w:t>16.1</w:t>
      </w:r>
      <w:r>
        <w:rPr>
          <w:rFonts w:hint="eastAsia" w:hAnsi="宋体"/>
          <w:color w:val="auto"/>
          <w:sz w:val="24"/>
          <w:szCs w:val="24"/>
        </w:rPr>
        <w:t>乙方必须支持甲方的廉政建设，不得向甲方相关人员提供金钱和物质上的好处，一经发现处以合同金额</w:t>
      </w:r>
      <w:r>
        <w:rPr>
          <w:rFonts w:hAnsi="宋体"/>
          <w:color w:val="auto"/>
          <w:sz w:val="24"/>
          <w:szCs w:val="24"/>
        </w:rPr>
        <w:t>20%</w:t>
      </w:r>
      <w:r>
        <w:rPr>
          <w:rFonts w:hint="eastAsia" w:hAnsi="宋体"/>
          <w:color w:val="auto"/>
          <w:sz w:val="24"/>
          <w:szCs w:val="24"/>
        </w:rPr>
        <w:t>的罚款。</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十七、不可抗力事件处理</w:t>
      </w:r>
    </w:p>
    <w:p>
      <w:pPr>
        <w:pStyle w:val="9"/>
        <w:adjustRightInd w:val="0"/>
        <w:snapToGrid w:val="0"/>
        <w:spacing w:before="120" w:after="120" w:line="360" w:lineRule="auto"/>
        <w:ind w:left="1" w:firstLine="658"/>
        <w:rPr>
          <w:rFonts w:hAnsi="宋体"/>
          <w:color w:val="auto"/>
          <w:sz w:val="24"/>
          <w:szCs w:val="24"/>
        </w:rPr>
      </w:pPr>
      <w:r>
        <w:rPr>
          <w:rFonts w:hAnsi="宋体"/>
          <w:color w:val="auto"/>
          <w:sz w:val="24"/>
          <w:szCs w:val="24"/>
        </w:rPr>
        <w:t xml:space="preserve">17.1 </w:t>
      </w:r>
      <w:r>
        <w:rPr>
          <w:rFonts w:hint="eastAsia" w:hAnsi="宋体"/>
          <w:color w:val="auto"/>
          <w:sz w:val="24"/>
          <w:szCs w:val="24"/>
        </w:rPr>
        <w:t>在合同有效期内，任何一方因不可抗力事件导致不能履行合同，则合同履行期可延长，其延长期与不可抗力影响期相同。</w:t>
      </w:r>
    </w:p>
    <w:p>
      <w:pPr>
        <w:pStyle w:val="9"/>
        <w:adjustRightInd w:val="0"/>
        <w:snapToGrid w:val="0"/>
        <w:spacing w:before="120" w:after="120" w:line="360" w:lineRule="auto"/>
        <w:ind w:firstLine="658"/>
        <w:rPr>
          <w:rFonts w:hAnsi="宋体"/>
          <w:color w:val="auto"/>
          <w:sz w:val="24"/>
          <w:szCs w:val="24"/>
        </w:rPr>
      </w:pPr>
      <w:r>
        <w:rPr>
          <w:rFonts w:hAnsi="宋体"/>
          <w:color w:val="auto"/>
          <w:sz w:val="24"/>
          <w:szCs w:val="24"/>
        </w:rPr>
        <w:t xml:space="preserve">17.2 </w:t>
      </w:r>
      <w:r>
        <w:rPr>
          <w:rFonts w:hint="eastAsia" w:hAnsi="宋体"/>
          <w:color w:val="auto"/>
          <w:sz w:val="24"/>
          <w:szCs w:val="24"/>
        </w:rPr>
        <w:t>不可抗力事件发生后，应立即通知对方，并寄送有关权威机构出具的证明。</w:t>
      </w:r>
    </w:p>
    <w:p>
      <w:pPr>
        <w:pStyle w:val="9"/>
        <w:adjustRightInd w:val="0"/>
        <w:snapToGrid w:val="0"/>
        <w:spacing w:before="120" w:after="120" w:line="360" w:lineRule="auto"/>
        <w:ind w:firstLine="658"/>
        <w:rPr>
          <w:rFonts w:hAnsi="宋体"/>
          <w:color w:val="auto"/>
          <w:sz w:val="24"/>
          <w:szCs w:val="24"/>
        </w:rPr>
      </w:pPr>
      <w:r>
        <w:rPr>
          <w:rFonts w:hAnsi="宋体"/>
          <w:color w:val="auto"/>
          <w:sz w:val="24"/>
          <w:szCs w:val="24"/>
        </w:rPr>
        <w:t xml:space="preserve">17.3 </w:t>
      </w:r>
      <w:r>
        <w:rPr>
          <w:rFonts w:hint="eastAsia" w:hAnsi="宋体"/>
          <w:color w:val="auto"/>
          <w:sz w:val="24"/>
          <w:szCs w:val="24"/>
        </w:rPr>
        <w:t>不可抗力事件延续</w:t>
      </w:r>
      <w:r>
        <w:rPr>
          <w:rFonts w:hAnsi="宋体"/>
          <w:color w:val="auto"/>
          <w:sz w:val="24"/>
          <w:szCs w:val="24"/>
        </w:rPr>
        <w:t>30</w:t>
      </w:r>
      <w:r>
        <w:rPr>
          <w:rFonts w:hint="eastAsia" w:hAnsi="宋体"/>
          <w:color w:val="auto"/>
          <w:sz w:val="24"/>
          <w:szCs w:val="24"/>
        </w:rPr>
        <w:t>天以上，双方应通过友好协商，确定是否继续履行合同。</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十八、诉讼</w:t>
      </w:r>
    </w:p>
    <w:p>
      <w:pPr>
        <w:pStyle w:val="9"/>
        <w:adjustRightInd w:val="0"/>
        <w:snapToGrid w:val="0"/>
        <w:spacing w:before="120" w:after="120" w:line="360" w:lineRule="auto"/>
        <w:ind w:left="1" w:firstLine="658"/>
        <w:rPr>
          <w:rFonts w:hAnsi="宋体"/>
          <w:color w:val="auto"/>
          <w:sz w:val="24"/>
          <w:szCs w:val="24"/>
        </w:rPr>
      </w:pPr>
      <w:r>
        <w:rPr>
          <w:rFonts w:hAnsi="宋体"/>
          <w:color w:val="auto"/>
          <w:sz w:val="24"/>
          <w:szCs w:val="24"/>
        </w:rPr>
        <w:t xml:space="preserve">18.1 </w:t>
      </w:r>
      <w:r>
        <w:rPr>
          <w:rFonts w:hint="eastAsia" w:hAnsi="宋体"/>
          <w:color w:val="auto"/>
          <w:sz w:val="24"/>
          <w:szCs w:val="24"/>
        </w:rPr>
        <w:t>双方在执行合同中所发生的一切争议，应通过协商解决。如协商不成，可向合同签订地法院起诉，合同签订地在此约定为南京市。</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十九、合同生效及其它</w:t>
      </w:r>
    </w:p>
    <w:p>
      <w:pPr>
        <w:pStyle w:val="9"/>
        <w:adjustRightInd w:val="0"/>
        <w:snapToGrid w:val="0"/>
        <w:spacing w:before="120" w:after="120" w:line="360" w:lineRule="auto"/>
        <w:ind w:firstLine="658"/>
        <w:rPr>
          <w:rFonts w:hAnsi="宋体"/>
          <w:color w:val="auto"/>
          <w:sz w:val="24"/>
          <w:szCs w:val="24"/>
        </w:rPr>
      </w:pPr>
      <w:r>
        <w:rPr>
          <w:rFonts w:hAnsi="宋体"/>
          <w:color w:val="auto"/>
          <w:sz w:val="24"/>
          <w:szCs w:val="24"/>
        </w:rPr>
        <w:t xml:space="preserve">19.1 </w:t>
      </w:r>
      <w:r>
        <w:rPr>
          <w:rFonts w:hint="eastAsia" w:hAnsi="宋体"/>
          <w:color w:val="auto"/>
          <w:sz w:val="24"/>
          <w:szCs w:val="24"/>
        </w:rPr>
        <w:t>合同经双方法定代表人或授权委托代表人签字并加盖单位公章后生效。</w:t>
      </w:r>
    </w:p>
    <w:p>
      <w:pPr>
        <w:pStyle w:val="9"/>
        <w:adjustRightInd w:val="0"/>
        <w:snapToGrid w:val="0"/>
        <w:spacing w:before="120" w:after="120" w:line="360" w:lineRule="auto"/>
        <w:ind w:firstLine="658"/>
        <w:rPr>
          <w:rFonts w:hAnsi="宋体"/>
          <w:color w:val="auto"/>
          <w:sz w:val="24"/>
          <w:szCs w:val="24"/>
        </w:rPr>
      </w:pPr>
      <w:r>
        <w:rPr>
          <w:rFonts w:hAnsi="宋体"/>
          <w:color w:val="auto"/>
          <w:sz w:val="24"/>
          <w:szCs w:val="24"/>
        </w:rPr>
        <w:t>19.2</w:t>
      </w:r>
      <w:r>
        <w:rPr>
          <w:rFonts w:hint="eastAsia" w:hAnsi="宋体"/>
          <w:color w:val="auto"/>
          <w:sz w:val="24"/>
          <w:szCs w:val="24"/>
        </w:rPr>
        <w:t>本合同未尽事宜，遵照《合同法》有关条文执行。</w:t>
      </w:r>
    </w:p>
    <w:p>
      <w:pPr>
        <w:pStyle w:val="9"/>
        <w:adjustRightInd w:val="0"/>
        <w:snapToGrid w:val="0"/>
        <w:spacing w:before="120" w:after="120" w:line="360" w:lineRule="auto"/>
        <w:ind w:left="1" w:firstLine="658"/>
        <w:rPr>
          <w:rFonts w:hAnsi="宋体"/>
          <w:color w:val="auto"/>
          <w:sz w:val="24"/>
          <w:szCs w:val="24"/>
        </w:rPr>
      </w:pPr>
      <w:r>
        <w:rPr>
          <w:rFonts w:hAnsi="宋体"/>
          <w:color w:val="auto"/>
          <w:sz w:val="24"/>
          <w:szCs w:val="24"/>
        </w:rPr>
        <w:t xml:space="preserve">19.3 </w:t>
      </w:r>
      <w:r>
        <w:rPr>
          <w:rFonts w:hint="eastAsia" w:hAnsi="宋体"/>
          <w:color w:val="auto"/>
          <w:sz w:val="24"/>
          <w:szCs w:val="24"/>
        </w:rPr>
        <w:t>本合同正本一式四份，具有同等法律效力，甲方、乙方各执两份。</w:t>
      </w:r>
    </w:p>
    <w:p>
      <w:pPr>
        <w:pStyle w:val="9"/>
        <w:adjustRightInd w:val="0"/>
        <w:snapToGrid w:val="0"/>
        <w:spacing w:before="120" w:after="120" w:line="360" w:lineRule="auto"/>
        <w:ind w:left="420" w:leftChars="200" w:firstLine="240" w:firstLineChars="100"/>
        <w:rPr>
          <w:rFonts w:hAnsi="宋体"/>
          <w:color w:val="auto"/>
          <w:sz w:val="24"/>
          <w:szCs w:val="24"/>
        </w:rPr>
      </w:pPr>
      <w:r>
        <w:rPr>
          <w:rFonts w:hint="eastAsia" w:hAnsi="宋体"/>
          <w:color w:val="auto"/>
          <w:sz w:val="24"/>
          <w:szCs w:val="24"/>
        </w:rPr>
        <w:t>甲方：乙方：</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地址：地址：</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法定代表人或授权代表：</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项目负责人</w:t>
      </w:r>
      <w:r>
        <w:rPr>
          <w:rFonts w:hAnsi="宋体"/>
          <w:color w:val="auto"/>
          <w:sz w:val="24"/>
          <w:szCs w:val="24"/>
        </w:rPr>
        <w:t xml:space="preserve">:                              </w:t>
      </w:r>
      <w:r>
        <w:rPr>
          <w:rFonts w:hint="eastAsia" w:hAnsi="宋体"/>
          <w:color w:val="auto"/>
          <w:sz w:val="24"/>
          <w:szCs w:val="24"/>
        </w:rPr>
        <w:t>法定代表人或授权代表：</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项目联系人</w:t>
      </w:r>
      <w:r>
        <w:rPr>
          <w:rFonts w:hAnsi="宋体"/>
          <w:color w:val="auto"/>
          <w:sz w:val="24"/>
          <w:szCs w:val="24"/>
        </w:rPr>
        <w:t>:</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联系电话：联系电话：</w:t>
      </w:r>
    </w:p>
    <w:p>
      <w:pPr>
        <w:pStyle w:val="9"/>
        <w:adjustRightInd w:val="0"/>
        <w:snapToGrid w:val="0"/>
        <w:spacing w:before="120" w:after="120" w:line="360" w:lineRule="auto"/>
        <w:ind w:firstLine="767"/>
        <w:rPr>
          <w:rFonts w:cs="仿宋"/>
          <w:color w:val="auto"/>
          <w:sz w:val="24"/>
        </w:rPr>
      </w:pPr>
      <w:r>
        <w:rPr>
          <w:rFonts w:hint="eastAsia"/>
          <w:color w:val="auto"/>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20</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36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AF736E"/>
    <w:multiLevelType w:val="singleLevel"/>
    <w:tmpl w:val="CEAF736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46C"/>
    <w:rsid w:val="00466713"/>
    <w:rsid w:val="00467161"/>
    <w:rsid w:val="00467388"/>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18A4"/>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4B0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2FBE"/>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5D4"/>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693"/>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588F"/>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1333AE5"/>
    <w:rsid w:val="01943819"/>
    <w:rsid w:val="03AE5BD6"/>
    <w:rsid w:val="041067D7"/>
    <w:rsid w:val="05B517B2"/>
    <w:rsid w:val="05E42E62"/>
    <w:rsid w:val="06042B07"/>
    <w:rsid w:val="0A4547A7"/>
    <w:rsid w:val="0C4861BD"/>
    <w:rsid w:val="0E176B6B"/>
    <w:rsid w:val="0F1D7A61"/>
    <w:rsid w:val="10F05838"/>
    <w:rsid w:val="12162C3B"/>
    <w:rsid w:val="12535A8E"/>
    <w:rsid w:val="130F1D58"/>
    <w:rsid w:val="14896182"/>
    <w:rsid w:val="155010AB"/>
    <w:rsid w:val="156D2683"/>
    <w:rsid w:val="1C4A137C"/>
    <w:rsid w:val="1C4B74AD"/>
    <w:rsid w:val="219B1165"/>
    <w:rsid w:val="22413203"/>
    <w:rsid w:val="243943F8"/>
    <w:rsid w:val="24E05430"/>
    <w:rsid w:val="25A10C2E"/>
    <w:rsid w:val="26DA6BBF"/>
    <w:rsid w:val="27AD7C03"/>
    <w:rsid w:val="29432B36"/>
    <w:rsid w:val="2A183405"/>
    <w:rsid w:val="2C4A4C88"/>
    <w:rsid w:val="2CE81BAF"/>
    <w:rsid w:val="2EDD3794"/>
    <w:rsid w:val="3172033E"/>
    <w:rsid w:val="3227588C"/>
    <w:rsid w:val="34A77A7D"/>
    <w:rsid w:val="351529A9"/>
    <w:rsid w:val="38F33167"/>
    <w:rsid w:val="3B7071A8"/>
    <w:rsid w:val="3C8E6F2D"/>
    <w:rsid w:val="3E664633"/>
    <w:rsid w:val="41A17DE1"/>
    <w:rsid w:val="42643A73"/>
    <w:rsid w:val="42AA1012"/>
    <w:rsid w:val="44DC7F4B"/>
    <w:rsid w:val="46AA377D"/>
    <w:rsid w:val="488B482F"/>
    <w:rsid w:val="48E02EA1"/>
    <w:rsid w:val="49D6360C"/>
    <w:rsid w:val="4A4B48E3"/>
    <w:rsid w:val="4ADB5B84"/>
    <w:rsid w:val="4AE036A3"/>
    <w:rsid w:val="53CD4846"/>
    <w:rsid w:val="54B6223B"/>
    <w:rsid w:val="54E15A0F"/>
    <w:rsid w:val="55FE63BD"/>
    <w:rsid w:val="56AB3E40"/>
    <w:rsid w:val="5C0F2072"/>
    <w:rsid w:val="5D762E24"/>
    <w:rsid w:val="5E6C25B6"/>
    <w:rsid w:val="5E957100"/>
    <w:rsid w:val="5ED1574F"/>
    <w:rsid w:val="609C0B23"/>
    <w:rsid w:val="6233128F"/>
    <w:rsid w:val="63D7368B"/>
    <w:rsid w:val="646B2B70"/>
    <w:rsid w:val="65636499"/>
    <w:rsid w:val="675E071F"/>
    <w:rsid w:val="68B71E20"/>
    <w:rsid w:val="69E27B06"/>
    <w:rsid w:val="6AB76CFB"/>
    <w:rsid w:val="6BAC6DF5"/>
    <w:rsid w:val="6BC1702A"/>
    <w:rsid w:val="6C9F2D5C"/>
    <w:rsid w:val="6DE86594"/>
    <w:rsid w:val="6F3F0042"/>
    <w:rsid w:val="74A9768D"/>
    <w:rsid w:val="74B67BDB"/>
    <w:rsid w:val="75840A85"/>
    <w:rsid w:val="75BE6EB5"/>
    <w:rsid w:val="79983C94"/>
    <w:rsid w:val="7A9B1AB5"/>
    <w:rsid w:val="7AE40810"/>
    <w:rsid w:val="7BBB6C68"/>
    <w:rsid w:val="7C574749"/>
    <w:rsid w:val="7C8E2CF6"/>
    <w:rsid w:val="7CD015B7"/>
    <w:rsid w:val="7DDB24A4"/>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60" w:after="60" w:line="360" w:lineRule="auto"/>
      <w:jc w:val="center"/>
      <w:outlineLvl w:val="1"/>
    </w:pPr>
    <w:rPr>
      <w:rFonts w:ascii="宋体" w:hAnsi="宋体"/>
      <w:b/>
      <w:bCs/>
      <w:sz w:val="28"/>
      <w:szCs w:val="32"/>
      <w:lang w:val="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5">
    <w:name w:val="annotation text"/>
    <w:basedOn w:val="1"/>
    <w:link w:val="22"/>
    <w:qFormat/>
    <w:uiPriority w:val="99"/>
    <w:pPr>
      <w:jc w:val="left"/>
    </w:pPr>
    <w:rPr>
      <w:sz w:val="24"/>
      <w:szCs w:val="20"/>
    </w:rPr>
  </w:style>
  <w:style w:type="paragraph" w:styleId="6">
    <w:name w:val="Body Text"/>
    <w:basedOn w:val="1"/>
    <w:link w:val="41"/>
    <w:unhideWhenUsed/>
    <w:qFormat/>
    <w:locked/>
    <w:uiPriority w:val="99"/>
    <w:pPr>
      <w:spacing w:after="120"/>
    </w:pPr>
  </w:style>
  <w:style w:type="paragraph" w:styleId="7">
    <w:name w:val="Body Text Indent"/>
    <w:basedOn w:val="1"/>
    <w:link w:val="23"/>
    <w:qFormat/>
    <w:uiPriority w:val="99"/>
    <w:pPr>
      <w:ind w:firstLine="575" w:firstLineChars="274"/>
    </w:pPr>
    <w:rPr>
      <w:rFonts w:ascii="等线" w:eastAsia="等线"/>
      <w:sz w:val="22"/>
      <w:szCs w:val="20"/>
    </w:r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4"/>
    <w:qFormat/>
    <w:uiPriority w:val="0"/>
    <w:rPr>
      <w:rFonts w:ascii="宋体" w:hAnsi="Courier New"/>
      <w:szCs w:val="20"/>
    </w:rPr>
  </w:style>
  <w:style w:type="paragraph" w:styleId="10">
    <w:name w:val="Date"/>
    <w:basedOn w:val="1"/>
    <w:next w:val="1"/>
    <w:link w:val="25"/>
    <w:qFormat/>
    <w:uiPriority w:val="99"/>
    <w:pPr>
      <w:ind w:left="100" w:leftChars="2500"/>
    </w:pPr>
    <w:rPr>
      <w:sz w:val="24"/>
      <w:szCs w:val="20"/>
    </w:rPr>
  </w:style>
  <w:style w:type="paragraph" w:styleId="11">
    <w:name w:val="Balloon Text"/>
    <w:basedOn w:val="1"/>
    <w:link w:val="26"/>
    <w:semiHidden/>
    <w:qFormat/>
    <w:uiPriority w:val="99"/>
    <w:rPr>
      <w:kern w:val="0"/>
      <w:sz w:val="2"/>
      <w:szCs w:val="20"/>
    </w:rPr>
  </w:style>
  <w:style w:type="paragraph" w:styleId="12">
    <w:name w:val="footer"/>
    <w:basedOn w:val="1"/>
    <w:link w:val="27"/>
    <w:qFormat/>
    <w:uiPriority w:val="99"/>
    <w:pPr>
      <w:tabs>
        <w:tab w:val="center" w:pos="4153"/>
        <w:tab w:val="right" w:pos="8306"/>
      </w:tabs>
      <w:snapToGrid w:val="0"/>
      <w:jc w:val="left"/>
    </w:pPr>
    <w:rPr>
      <w:kern w:val="0"/>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29"/>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qFormat/>
    <w:uiPriority w:val="99"/>
    <w:rPr>
      <w:rFonts w:cs="Times New Roman"/>
      <w:color w:val="0563C1"/>
      <w:u w:val="single"/>
    </w:rPr>
  </w:style>
  <w:style w:type="character" w:styleId="20">
    <w:name w:val="annotation reference"/>
    <w:basedOn w:val="18"/>
    <w:qFormat/>
    <w:uiPriority w:val="99"/>
    <w:rPr>
      <w:rFonts w:cs="Times New Roman"/>
      <w:sz w:val="21"/>
    </w:rPr>
  </w:style>
  <w:style w:type="character" w:customStyle="1" w:styleId="21">
    <w:name w:val="标题 1 Char"/>
    <w:link w:val="3"/>
    <w:qFormat/>
    <w:locked/>
    <w:uiPriority w:val="99"/>
    <w:rPr>
      <w:rFonts w:cs="Times New Roman"/>
      <w:b/>
      <w:kern w:val="44"/>
      <w:sz w:val="44"/>
    </w:rPr>
  </w:style>
  <w:style w:type="character" w:customStyle="1" w:styleId="22">
    <w:name w:val="批注文字 Char"/>
    <w:link w:val="5"/>
    <w:qFormat/>
    <w:locked/>
    <w:uiPriority w:val="99"/>
    <w:rPr>
      <w:rFonts w:cs="Times New Roman"/>
      <w:kern w:val="2"/>
      <w:sz w:val="24"/>
    </w:rPr>
  </w:style>
  <w:style w:type="character" w:customStyle="1" w:styleId="23">
    <w:name w:val="正文文本缩进 Char"/>
    <w:link w:val="7"/>
    <w:qFormat/>
    <w:locked/>
    <w:uiPriority w:val="99"/>
    <w:rPr>
      <w:rFonts w:ascii="等线" w:eastAsia="等线" w:cs="Times New Roman"/>
      <w:kern w:val="2"/>
      <w:sz w:val="22"/>
    </w:rPr>
  </w:style>
  <w:style w:type="character" w:customStyle="1" w:styleId="24">
    <w:name w:val="纯文本 Char"/>
    <w:link w:val="9"/>
    <w:qFormat/>
    <w:locked/>
    <w:uiPriority w:val="0"/>
    <w:rPr>
      <w:rFonts w:ascii="宋体" w:hAnsi="Courier New" w:cs="Times New Roman"/>
      <w:kern w:val="2"/>
      <w:sz w:val="21"/>
    </w:rPr>
  </w:style>
  <w:style w:type="character" w:customStyle="1" w:styleId="25">
    <w:name w:val="日期 Char"/>
    <w:link w:val="10"/>
    <w:qFormat/>
    <w:locked/>
    <w:uiPriority w:val="99"/>
    <w:rPr>
      <w:rFonts w:cs="Times New Roman"/>
      <w:kern w:val="2"/>
      <w:sz w:val="24"/>
    </w:rPr>
  </w:style>
  <w:style w:type="character" w:customStyle="1" w:styleId="26">
    <w:name w:val="批注框文本 Char"/>
    <w:link w:val="11"/>
    <w:semiHidden/>
    <w:qFormat/>
    <w:locked/>
    <w:uiPriority w:val="99"/>
    <w:rPr>
      <w:rFonts w:cs="Times New Roman"/>
      <w:sz w:val="2"/>
    </w:rPr>
  </w:style>
  <w:style w:type="character" w:customStyle="1" w:styleId="27">
    <w:name w:val="页脚 Char"/>
    <w:link w:val="12"/>
    <w:semiHidden/>
    <w:qFormat/>
    <w:locked/>
    <w:uiPriority w:val="99"/>
    <w:rPr>
      <w:rFonts w:cs="Times New Roman"/>
      <w:sz w:val="18"/>
      <w:szCs w:val="18"/>
    </w:rPr>
  </w:style>
  <w:style w:type="character" w:customStyle="1" w:styleId="28">
    <w:name w:val="页眉 Char"/>
    <w:link w:val="13"/>
    <w:qFormat/>
    <w:locked/>
    <w:uiPriority w:val="99"/>
    <w:rPr>
      <w:rFonts w:cs="Times New Roman"/>
      <w:kern w:val="2"/>
      <w:sz w:val="18"/>
    </w:rPr>
  </w:style>
  <w:style w:type="character" w:customStyle="1" w:styleId="29">
    <w:name w:val="批注主题 Char"/>
    <w:link w:val="15"/>
    <w:qFormat/>
    <w:locked/>
    <w:uiPriority w:val="99"/>
    <w:rPr>
      <w:rFonts w:cs="Times New Roman"/>
      <w:b/>
      <w:kern w:val="2"/>
      <w:sz w:val="24"/>
    </w:rPr>
  </w:style>
  <w:style w:type="paragraph" w:customStyle="1" w:styleId="30">
    <w:name w:val="Char"/>
    <w:basedOn w:val="1"/>
    <w:qFormat/>
    <w:uiPriority w:val="99"/>
    <w:pPr>
      <w:tabs>
        <w:tab w:val="left" w:pos="360"/>
      </w:tabs>
    </w:pPr>
    <w:rPr>
      <w:sz w:val="24"/>
    </w:rPr>
  </w:style>
  <w:style w:type="character" w:customStyle="1" w:styleId="31">
    <w:name w:val="列出段落 Char"/>
    <w:link w:val="32"/>
    <w:qFormat/>
    <w:locked/>
    <w:uiPriority w:val="0"/>
  </w:style>
  <w:style w:type="paragraph" w:styleId="32">
    <w:name w:val="List Paragraph"/>
    <w:basedOn w:val="1"/>
    <w:link w:val="31"/>
    <w:qFormat/>
    <w:uiPriority w:val="34"/>
    <w:pPr>
      <w:widowControl/>
      <w:ind w:firstLine="420" w:firstLineChars="200"/>
      <w:jc w:val="left"/>
    </w:pPr>
    <w:rPr>
      <w:kern w:val="0"/>
      <w:sz w:val="20"/>
      <w:szCs w:val="20"/>
    </w:rPr>
  </w:style>
  <w:style w:type="table" w:customStyle="1" w:styleId="33">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laceholder Text"/>
    <w:semiHidden/>
    <w:qFormat/>
    <w:uiPriority w:val="99"/>
    <w:rPr>
      <w:rFonts w:cs="Times New Roman"/>
      <w:color w:val="808080"/>
    </w:rPr>
  </w:style>
  <w:style w:type="paragraph" w:customStyle="1" w:styleId="35">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6">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7">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列出段落2"/>
    <w:basedOn w:val="1"/>
    <w:qFormat/>
    <w:uiPriority w:val="99"/>
    <w:pPr>
      <w:ind w:firstLine="420" w:firstLineChars="200"/>
    </w:pPr>
    <w:rPr>
      <w:rFonts w:ascii="Calibri" w:hAnsi="Calibri"/>
      <w:szCs w:val="22"/>
    </w:rPr>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1">
    <w:name w:val="正文文本 Char"/>
    <w:link w:val="6"/>
    <w:qFormat/>
    <w:uiPriority w:val="99"/>
    <w:rPr>
      <w:kern w:val="2"/>
      <w:sz w:val="21"/>
      <w:szCs w:val="24"/>
    </w:rPr>
  </w:style>
  <w:style w:type="paragraph" w:customStyle="1" w:styleId="42">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3">
    <w:name w:val="正文2"/>
    <w:basedOn w:val="1"/>
    <w:qFormat/>
    <w:uiPriority w:val="0"/>
    <w:pPr>
      <w:spacing w:before="156" w:line="360" w:lineRule="auto"/>
      <w:ind w:firstLine="510" w:firstLineChars="200"/>
    </w:pPr>
    <w:rPr>
      <w:sz w:val="24"/>
    </w:rPr>
  </w:style>
  <w:style w:type="paragraph" w:customStyle="1" w:styleId="44">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5">
    <w:name w:val="A9"/>
    <w:qFormat/>
    <w:uiPriority w:val="0"/>
    <w:rPr>
      <w:rFonts w:cs="PSFEIH+StoneSans"/>
      <w:color w:val="262424"/>
      <w:sz w:val="20"/>
      <w:szCs w:val="20"/>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7">
    <w:name w:val="font212"/>
    <w:basedOn w:val="18"/>
    <w:qFormat/>
    <w:uiPriority w:val="0"/>
    <w:rPr>
      <w:rFonts w:hint="eastAsia" w:ascii="宋体" w:hAnsi="宋体" w:eastAsia="宋体" w:cs="宋体"/>
      <w:color w:val="000000"/>
      <w:sz w:val="18"/>
      <w:szCs w:val="18"/>
      <w:u w:val="none"/>
    </w:rPr>
  </w:style>
  <w:style w:type="character" w:customStyle="1" w:styleId="48">
    <w:name w:val="font231"/>
    <w:basedOn w:val="18"/>
    <w:qFormat/>
    <w:uiPriority w:val="0"/>
    <w:rPr>
      <w:rFonts w:hint="eastAsia" w:ascii="宋体" w:hAnsi="宋体" w:eastAsia="宋体" w:cs="宋体"/>
      <w:b/>
      <w:color w:val="FF0000"/>
      <w:sz w:val="18"/>
      <w:szCs w:val="18"/>
      <w:u w:val="none"/>
    </w:rPr>
  </w:style>
  <w:style w:type="paragraph" w:customStyle="1" w:styleId="49">
    <w:name w:val="表格样式"/>
    <w:basedOn w:val="1"/>
    <w:qFormat/>
    <w:uiPriority w:val="0"/>
    <w:pPr>
      <w:spacing w:beforeLines="30" w:afterLines="30"/>
      <w:jc w:val="left"/>
    </w:pPr>
    <w:rPr>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3A2CC-0481-4640-8BAC-81262E99137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4711</Words>
  <Characters>26854</Characters>
  <Lines>223</Lines>
  <Paragraphs>63</Paragraphs>
  <TotalTime>8</TotalTime>
  <ScaleCrop>false</ScaleCrop>
  <LinksUpToDate>false</LinksUpToDate>
  <CharactersWithSpaces>31502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2020-06-18T07:55:57Z</dcterms:modified>
  <dc:title>淮海工学院A8-10号楼学生宿舍家具招标书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