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b/>
          <w:sz w:val="44"/>
          <w:szCs w:val="44"/>
        </w:rPr>
      </w:pPr>
      <w:bookmarkStart w:id="0" w:name="OLE_LINK2"/>
      <w:bookmarkStart w:id="1" w:name="OLE_LINK1"/>
      <w:r>
        <w:rPr>
          <w:b/>
          <w:sz w:val="44"/>
          <w:szCs w:val="44"/>
        </w:rPr>
        <w:t>南京信息工程大</w:t>
      </w:r>
      <w:r>
        <w:rPr>
          <w:rFonts w:eastAsia="宋体"/>
          <w:b/>
          <w:sz w:val="44"/>
          <w:szCs w:val="44"/>
        </w:rPr>
        <w:t>学</w:t>
      </w:r>
      <w:bookmarkEnd w:id="0"/>
      <w:bookmarkEnd w:id="1"/>
      <w:r>
        <w:rPr>
          <w:rFonts w:hint="eastAsia" w:eastAsia="宋体"/>
          <w:b/>
          <w:sz w:val="44"/>
          <w:szCs w:val="44"/>
          <w:lang w:val="en-US" w:eastAsia="zh-CN"/>
        </w:rPr>
        <w:t>大气物理学院</w:t>
      </w:r>
      <w:r>
        <w:rPr>
          <w:rFonts w:hint="eastAsia" w:eastAsia="宋体"/>
          <w:b/>
          <w:sz w:val="44"/>
          <w:szCs w:val="44"/>
        </w:rPr>
        <w:t>服务器存储设备采购</w:t>
      </w:r>
      <w:r>
        <w:rPr>
          <w:rFonts w:hint="eastAsia" w:eastAsia="宋体"/>
          <w:b/>
          <w:sz w:val="44"/>
          <w:szCs w:val="44"/>
          <w:lang w:val="en-US" w:eastAsia="zh-CN"/>
        </w:rPr>
        <w:t>项目</w:t>
      </w:r>
      <w:r>
        <w:rPr>
          <w:rFonts w:eastAsia="宋体"/>
          <w:b/>
          <w:sz w:val="44"/>
          <w:szCs w:val="44"/>
        </w:rPr>
        <w:t>招标文件</w:t>
      </w:r>
    </w:p>
    <w:p>
      <w:pPr>
        <w:jc w:val="center"/>
        <w:rPr>
          <w:rFonts w:eastAsia="宋体"/>
          <w:b/>
          <w:sz w:val="44"/>
          <w:szCs w:val="44"/>
        </w:rPr>
      </w:pPr>
    </w:p>
    <w:p>
      <w:pPr>
        <w:adjustRightInd w:val="0"/>
        <w:snapToGrid w:val="0"/>
        <w:spacing w:line="360" w:lineRule="auto"/>
        <w:jc w:val="center"/>
        <w:rPr>
          <w:rFonts w:ascii="宋体" w:cs="仿宋"/>
          <w:sz w:val="28"/>
          <w:szCs w:val="28"/>
        </w:rPr>
      </w:pPr>
      <w:r>
        <w:rPr>
          <w:rFonts w:hint="eastAsia" w:ascii="宋体" w:hAnsi="宋体" w:cs="仿宋"/>
          <w:sz w:val="28"/>
          <w:szCs w:val="28"/>
        </w:rPr>
        <w:t>（招标编号：</w:t>
      </w:r>
      <w:r>
        <w:rPr>
          <w:rFonts w:ascii="宋体" w:hAnsi="宋体" w:cs="仿宋"/>
          <w:sz w:val="28"/>
          <w:szCs w:val="28"/>
          <w:u w:val="single"/>
        </w:rPr>
        <w:t>SBC20</w:t>
      </w:r>
      <w:r>
        <w:rPr>
          <w:rFonts w:hint="eastAsia" w:ascii="宋体" w:hAnsi="宋体" w:cs="仿宋"/>
          <w:sz w:val="28"/>
          <w:szCs w:val="28"/>
          <w:u w:val="single"/>
        </w:rPr>
        <w:t>200</w:t>
      </w:r>
      <w:r>
        <w:rPr>
          <w:rFonts w:hint="eastAsia" w:ascii="宋体" w:hAnsi="宋体" w:cs="仿宋"/>
          <w:sz w:val="28"/>
          <w:szCs w:val="28"/>
          <w:u w:val="single"/>
          <w:lang w:val="en-US" w:eastAsia="zh-CN"/>
        </w:rPr>
        <w:t>12-1a</w:t>
      </w:r>
      <w:r>
        <w:rPr>
          <w:rFonts w:hint="eastAsia" w:ascii="宋体" w:hAnsi="宋体" w:cs="仿宋"/>
          <w:sz w:val="28"/>
          <w:szCs w:val="28"/>
        </w:rPr>
        <w:t>）</w:t>
      </w:r>
      <w:bookmarkStart w:id="11" w:name="_GoBack"/>
      <w:bookmarkEnd w:id="11"/>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w:t>
      </w:r>
      <w:r>
        <w:rPr>
          <w:rFonts w:hint="eastAsia" w:ascii="宋体" w:hAnsi="宋体" w:cs="仿宋"/>
          <w:sz w:val="28"/>
          <w:szCs w:val="28"/>
          <w:u w:val="single"/>
          <w:lang w:val="en-US" w:eastAsia="zh-CN"/>
        </w:rPr>
        <w:t>5</w:t>
      </w:r>
      <w:r>
        <w:rPr>
          <w:rFonts w:hint="eastAsia" w:ascii="宋体" w:hAnsi="宋体" w:cs="仿宋"/>
          <w:sz w:val="28"/>
          <w:szCs w:val="28"/>
          <w:u w:val="single"/>
        </w:rPr>
        <w:t>月</w:t>
      </w:r>
      <w:r>
        <w:rPr>
          <w:rFonts w:hint="eastAsia" w:ascii="宋体" w:hAnsi="宋体" w:cs="仿宋"/>
          <w:sz w:val="28"/>
          <w:szCs w:val="28"/>
          <w:u w:val="single"/>
          <w:lang w:val="en-US" w:eastAsia="zh-CN"/>
        </w:rPr>
        <w:t>22</w:t>
      </w:r>
      <w:r>
        <w:rPr>
          <w:rFonts w:hint="eastAsia" w:ascii="宋体" w:hAnsi="宋体" w:cs="仿宋"/>
          <w:sz w:val="28"/>
          <w:szCs w:val="28"/>
          <w:u w:val="single"/>
        </w:rPr>
        <w:t>日</w:t>
      </w:r>
      <w:r>
        <w:rPr>
          <w:rFonts w:hint="eastAsia" w:ascii="宋体" w:hAnsi="宋体" w:cs="仿宋"/>
          <w:sz w:val="28"/>
          <w:szCs w:val="28"/>
          <w:u w:val="single"/>
          <w:lang w:val="en-US" w:eastAsia="zh-CN"/>
        </w:rPr>
        <w:t>10</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科研工作需要，受校实验室与设备管理处委托，就</w:t>
      </w:r>
      <w:r>
        <w:rPr>
          <w:rFonts w:hint="eastAsia" w:ascii="宋体" w:hAnsi="宋体"/>
          <w:sz w:val="28"/>
          <w:szCs w:val="28"/>
          <w:lang w:val="en-US" w:eastAsia="zh-CN"/>
        </w:rPr>
        <w:t>大气物理学院</w:t>
      </w:r>
      <w:r>
        <w:rPr>
          <w:rFonts w:hint="eastAsia" w:ascii="宋体" w:hAnsi="宋体" w:cs="宋体"/>
          <w:kern w:val="0"/>
          <w:sz w:val="28"/>
          <w:szCs w:val="28"/>
        </w:rPr>
        <w:t>服务器存储设备采购项目</w:t>
      </w:r>
      <w:r>
        <w:rPr>
          <w:rFonts w:hint="eastAsia" w:ascii="宋体" w:hAnsi="宋体" w:cs="宋体"/>
          <w:kern w:val="0"/>
          <w:sz w:val="28"/>
          <w:szCs w:val="28"/>
          <w:lang w:val="en-US" w:eastAsia="zh-CN"/>
        </w:rPr>
        <w:t>再次</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1"/>
        <w:spacing w:line="360" w:lineRule="auto"/>
        <w:ind w:firstLine="0" w:firstLineChars="0"/>
        <w:jc w:val="center"/>
        <w:rPr>
          <w:rFonts w:hint="eastAsia" w:ascii="宋体" w:hAnsi="宋体" w:eastAsia="宋体" w:cs="仿宋"/>
          <w:b/>
          <w:bCs/>
          <w:kern w:val="2"/>
          <w:sz w:val="28"/>
          <w:szCs w:val="28"/>
          <w:lang w:val="en-US" w:eastAsia="zh-CN" w:bidi="ar-SA"/>
        </w:rPr>
      </w:pPr>
      <w:r>
        <w:rPr>
          <w:rFonts w:hint="eastAsia" w:ascii="宋体" w:hAnsi="宋体" w:eastAsia="宋体" w:cs="仿宋"/>
          <w:b/>
          <w:bCs/>
          <w:kern w:val="2"/>
          <w:sz w:val="28"/>
          <w:szCs w:val="28"/>
          <w:lang w:val="en-US" w:eastAsia="zh-CN" w:bidi="ar-SA"/>
        </w:rPr>
        <w:t>一、招标项目名称及简要说明</w:t>
      </w:r>
    </w:p>
    <w:p>
      <w:pPr>
        <w:pStyle w:val="31"/>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kern w:val="2"/>
          <w:sz w:val="28"/>
          <w:szCs w:val="28"/>
          <w:lang w:val="en-US" w:eastAsia="zh-CN"/>
        </w:rPr>
        <w:t>大气物理学院</w:t>
      </w:r>
      <w:r>
        <w:rPr>
          <w:rFonts w:hint="eastAsia" w:ascii="宋体" w:hAnsi="宋体" w:cs="宋体"/>
          <w:kern w:val="0"/>
          <w:sz w:val="28"/>
          <w:szCs w:val="28"/>
        </w:rPr>
        <w:t>服务器存储设备采购项目</w:t>
      </w:r>
      <w:r>
        <w:rPr>
          <w:rFonts w:ascii="宋体" w:hAnsi="宋体"/>
          <w:kern w:val="2"/>
          <w:sz w:val="28"/>
          <w:szCs w:val="28"/>
        </w:rPr>
        <w:t>。</w:t>
      </w:r>
    </w:p>
    <w:p>
      <w:pPr>
        <w:spacing w:line="360" w:lineRule="auto"/>
        <w:ind w:firstLine="560" w:firstLineChars="200"/>
        <w:rPr>
          <w:rFonts w:ascii="宋体" w:hAnsi="宋体"/>
          <w:sz w:val="28"/>
          <w:szCs w:val="28"/>
        </w:rPr>
      </w:pPr>
      <w:r>
        <w:rPr>
          <w:rFonts w:ascii="宋体" w:hAnsi="宋体"/>
          <w:sz w:val="28"/>
          <w:szCs w:val="28"/>
        </w:rPr>
        <w:t>2. 项目简要说明：本次招标购置的设备主要用于学校</w:t>
      </w:r>
      <w:r>
        <w:rPr>
          <w:rFonts w:hint="eastAsia" w:ascii="宋体" w:hAnsi="宋体"/>
          <w:sz w:val="28"/>
          <w:szCs w:val="28"/>
        </w:rPr>
        <w:t>大气物理</w:t>
      </w:r>
      <w:r>
        <w:rPr>
          <w:rFonts w:hint="eastAsia" w:ascii="宋体" w:hAnsi="宋体" w:cs="宋体"/>
          <w:sz w:val="28"/>
          <w:szCs w:val="28"/>
        </w:rPr>
        <w:t>学院</w:t>
      </w:r>
      <w:r>
        <w:rPr>
          <w:rFonts w:hint="eastAsia" w:ascii="宋体" w:hAnsi="宋体"/>
          <w:sz w:val="28"/>
          <w:szCs w:val="28"/>
        </w:rPr>
        <w:t>相关实验</w:t>
      </w:r>
      <w:r>
        <w:rPr>
          <w:rFonts w:ascii="宋体" w:hAnsi="宋体"/>
          <w:sz w:val="28"/>
          <w:szCs w:val="28"/>
        </w:rPr>
        <w:t>研究。主要采购内容有：</w:t>
      </w:r>
      <w:r>
        <w:rPr>
          <w:rFonts w:hint="eastAsia" w:ascii="宋体" w:hAnsi="宋体"/>
          <w:sz w:val="28"/>
          <w:szCs w:val="28"/>
        </w:rPr>
        <w:t>服务器</w:t>
      </w:r>
      <w:r>
        <w:rPr>
          <w:rFonts w:ascii="宋体" w:hAnsi="宋体"/>
          <w:sz w:val="28"/>
          <w:szCs w:val="28"/>
        </w:rPr>
        <w:t>、存储、配件</w:t>
      </w:r>
      <w:r>
        <w:rPr>
          <w:rFonts w:hint="eastAsia" w:ascii="宋体" w:hAnsi="宋体"/>
          <w:sz w:val="28"/>
          <w:szCs w:val="28"/>
        </w:rPr>
        <w:t>。</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8"/>
          <w:b/>
          <w:color w:val="auto"/>
          <w:sz w:val="24"/>
        </w:rPr>
        <w:t>https://bulletin.nuist.edu.cn/779/lis</w:t>
      </w:r>
      <w:r>
        <w:rPr>
          <w:rStyle w:val="18"/>
          <w:color w:val="auto"/>
          <w:sz w:val="24"/>
        </w:rPr>
        <w:t>t.htm</w:t>
      </w:r>
      <w:r>
        <w:rPr>
          <w:rStyle w:val="18"/>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.招标文件由我校采购人、项目归口管理部门和财务处联合起草；经学校相关职能部门会审通过形成正式招标文件。同时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招标过程接受学校纪委办监督检查。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rPr>
      </w:pPr>
      <w:r>
        <w:rPr>
          <w:rFonts w:hint="eastAsia" w:ascii="宋体" w:hAnsi="宋体" w:cs="Arial"/>
          <w:sz w:val="28"/>
          <w:szCs w:val="28"/>
        </w:rPr>
        <w:t>（一）参加政府采购的供应商应当具备政府采购法</w:t>
      </w:r>
      <w:r>
        <w:rPr>
          <w:rFonts w:ascii="宋体" w:hAnsi="宋体" w:cs="Arial"/>
          <w:sz w:val="28"/>
          <w:szCs w:val="28"/>
        </w:rPr>
        <w:t>第二十二条</w:t>
      </w:r>
      <w:r>
        <w:rPr>
          <w:rFonts w:hint="eastAsia" w:ascii="宋体" w:hAnsi="宋体" w:cs="Arial"/>
          <w:sz w:val="28"/>
          <w:szCs w:val="28"/>
        </w:rPr>
        <w:t>第一款</w:t>
      </w:r>
      <w:r>
        <w:rPr>
          <w:rFonts w:ascii="宋体" w:hAnsi="宋体" w:cs="Arial"/>
          <w:sz w:val="28"/>
          <w:szCs w:val="28"/>
        </w:rPr>
        <w:t>规定</w:t>
      </w:r>
      <w:r>
        <w:rPr>
          <w:rFonts w:hint="eastAsia" w:ascii="宋体" w:hAnsi="宋体" w:cs="Arial"/>
          <w:sz w:val="28"/>
          <w:szCs w:val="28"/>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rPr>
      </w:pPr>
      <w:r>
        <w:rPr>
          <w:rFonts w:hint="eastAsia" w:ascii="宋体" w:hAnsi="宋体" w:cs="Arial"/>
          <w:sz w:val="28"/>
          <w:szCs w:val="28"/>
        </w:rPr>
        <w:t>1.具有独立承担民事责任的能力</w:t>
      </w:r>
      <w:r>
        <w:rPr>
          <w:rFonts w:hint="eastAsia" w:ascii="宋体" w:hAnsi="宋体"/>
          <w:sz w:val="28"/>
          <w:szCs w:val="28"/>
        </w:rPr>
        <w:t>：须为独立法人企业，需提供企业法人营业执照；</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2.具有良好的商业信誉和健全的财务会计制度</w:t>
      </w:r>
      <w:r>
        <w:rPr>
          <w:rFonts w:hint="eastAsia" w:ascii="宋体" w:hAnsi="宋体"/>
          <w:sz w:val="28"/>
          <w:szCs w:val="28"/>
        </w:rPr>
        <w:t>：需提供参加本次投标活动前近六个月内（2019年9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4.有依法缴纳税收和社会保障资金的良好记录</w:t>
      </w:r>
      <w:r>
        <w:rPr>
          <w:rFonts w:hint="eastAsia" w:ascii="宋体" w:hAnsi="宋体"/>
          <w:sz w:val="28"/>
          <w:szCs w:val="28"/>
        </w:rPr>
        <w:t>：提供参加本次投标活动前近六个月内（2019年9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rPr>
      </w:pPr>
      <w:r>
        <w:rPr>
          <w:rFonts w:hint="eastAsia" w:ascii="宋体" w:hAnsi="宋体" w:cs="宋体"/>
          <w:kern w:val="0"/>
          <w:sz w:val="28"/>
          <w:szCs w:val="28"/>
        </w:rPr>
        <w:t>5.参加政府采购活动前三年内，在经营活动中没有违法记录</w:t>
      </w:r>
      <w:r>
        <w:rPr>
          <w:rFonts w:hint="eastAsia" w:ascii="宋体" w:hAnsi="宋体"/>
          <w:sz w:val="28"/>
          <w:szCs w:val="28"/>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6.法律、行政法规规定的其他条件：无。</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（二）投标人不得存在下列情形之一</w:t>
      </w:r>
      <w:r>
        <w:rPr>
          <w:rFonts w:hint="eastAsia" w:ascii="宋体" w:hAnsi="宋体"/>
          <w:sz w:val="28"/>
          <w:szCs w:val="28"/>
        </w:rPr>
        <w:t>（</w:t>
      </w:r>
      <w:r>
        <w:rPr>
          <w:rFonts w:hint="eastAsia" w:ascii="宋体" w:hAnsi="宋体"/>
          <w:b/>
          <w:sz w:val="28"/>
          <w:szCs w:val="28"/>
        </w:rPr>
        <w:t>提供加盖投标人公章的承诺书）</w:t>
      </w:r>
      <w:r>
        <w:rPr>
          <w:rFonts w:hint="eastAsia" w:ascii="宋体" w:hAnsi="宋体" w:cs="宋体"/>
          <w:kern w:val="0"/>
          <w:sz w:val="28"/>
          <w:szCs w:val="28"/>
        </w:rPr>
        <w:t>：</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（1）为招标人不具有独立法人资格的附属机构（单位）；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（2）与招标人存在利害关系可能影响招标公正性的；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（3）单位负责人为同一人或者存在控股、管理关系的不同单位；</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（三）</w:t>
      </w:r>
      <w:r>
        <w:rPr>
          <w:rFonts w:hint="eastAsia" w:ascii="宋体" w:hAnsi="宋体" w:cs="宋体"/>
          <w:bCs/>
          <w:kern w:val="0"/>
          <w:sz w:val="28"/>
          <w:szCs w:val="28"/>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sz w:val="28"/>
          <w:szCs w:val="28"/>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rPr>
        <w:t>（提供本项目报名截止日后的网站截图并加盖单位公章）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Pr>
          <w:rFonts w:hint="eastAsia" w:ascii="宋体" w:hAnsi="宋体" w:cs="宋体"/>
          <w:sz w:val="28"/>
          <w:szCs w:val="28"/>
          <w:lang w:val="en-US" w:eastAsia="zh-CN"/>
        </w:rPr>
        <w:t>3</w:t>
      </w:r>
      <w:r>
        <w:rPr>
          <w:rFonts w:ascii="宋体" w:hAnsi="宋体" w:cs="宋体"/>
          <w:sz w:val="28"/>
          <w:szCs w:val="28"/>
        </w:rPr>
        <w:t>0</w:t>
      </w:r>
      <w:r>
        <w:rPr>
          <w:rFonts w:hint="eastAsia" w:ascii="宋体" w:hAnsi="宋体" w:cs="宋体"/>
          <w:sz w:val="28"/>
          <w:szCs w:val="28"/>
        </w:rPr>
        <w:t>天内完成设备运输（含上、下力）、安装调试等，所有费用由供方承担，安装调试完毕后需方用户负责试用并签收。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rPr>
      </w:pPr>
      <w:r>
        <w:rPr>
          <w:rFonts w:hint="eastAsia"/>
          <w:color w:val="auto"/>
          <w:kern w:val="2"/>
          <w:sz w:val="28"/>
          <w:szCs w:val="28"/>
        </w:rPr>
        <w:t>六、本项目预算价为</w:t>
      </w:r>
      <w:r>
        <w:rPr>
          <w:color w:val="auto"/>
          <w:kern w:val="2"/>
          <w:sz w:val="28"/>
          <w:szCs w:val="28"/>
        </w:rPr>
        <w:t>30</w:t>
      </w:r>
      <w:r>
        <w:rPr>
          <w:rFonts w:hint="eastAsia"/>
          <w:color w:val="auto"/>
          <w:kern w:val="2"/>
          <w:sz w:val="28"/>
          <w:szCs w:val="28"/>
        </w:rPr>
        <w:t>万元，本项目只接受人民币报价。</w:t>
      </w:r>
    </w:p>
    <w:p>
      <w:pPr>
        <w:spacing w:line="360" w:lineRule="auto"/>
        <w:ind w:firstLine="548" w:firstLineChars="196"/>
        <w:rPr>
          <w:rFonts w:ascii="宋体" w:cs="宋体"/>
          <w:sz w:val="28"/>
          <w:szCs w:val="28"/>
        </w:rPr>
      </w:pPr>
      <w:r>
        <w:rPr>
          <w:rFonts w:hint="eastAsia" w:ascii="宋体" w:hAnsi="宋体" w:cs="宋体"/>
          <w:sz w:val="28"/>
          <w:szCs w:val="28"/>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lang w:val="en-US" w:eastAsia="zh-CN"/>
        </w:rPr>
        <w:t xml:space="preserve"> </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宋体"/>
          <w:b/>
          <w:sz w:val="28"/>
          <w:szCs w:val="28"/>
        </w:rPr>
        <w:t>SBC20200</w:t>
      </w:r>
      <w:r>
        <w:rPr>
          <w:rFonts w:hint="eastAsia" w:ascii="宋体" w:hAnsi="宋体" w:cs="宋体"/>
          <w:b/>
          <w:sz w:val="28"/>
          <w:szCs w:val="28"/>
          <w:lang w:val="en-US" w:eastAsia="zh-CN"/>
        </w:rPr>
        <w:t>12-1a</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w:t>
      </w:r>
      <w:r>
        <w:rPr>
          <w:rFonts w:ascii="宋体" w:hAnsi="宋体" w:cs="宋体"/>
          <w:sz w:val="28"/>
          <w:szCs w:val="28"/>
        </w:rPr>
        <w:t>5000</w:t>
      </w:r>
      <w:r>
        <w:rPr>
          <w:rFonts w:hint="eastAsia" w:ascii="宋体" w:hAnsi="宋体" w:cs="宋体"/>
          <w:sz w:val="28"/>
          <w:szCs w:val="28"/>
        </w:rPr>
        <w:t>元履约保证金并前来我处领取的《中标通知书》（一式二份）。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）我处不接收现金或支付宝等方式交费。各投标人务必通过单位银行基本账户提前将资料费汇至我校以下账号：户名：南京信息工程大学；账号：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宋体"/>
          <w:b/>
          <w:sz w:val="28"/>
          <w:szCs w:val="28"/>
        </w:rPr>
        <w:t>SBC20200</w:t>
      </w:r>
      <w:r>
        <w:rPr>
          <w:rFonts w:hint="eastAsia" w:ascii="宋体" w:hAnsi="宋体" w:cs="宋体"/>
          <w:b/>
          <w:sz w:val="28"/>
          <w:szCs w:val="28"/>
          <w:lang w:val="en-US" w:eastAsia="zh-CN"/>
        </w:rPr>
        <w:t>12-1a</w:t>
      </w:r>
      <w:r>
        <w:rPr>
          <w:rFonts w:hint="eastAsia" w:ascii="宋体" w:hAnsi="宋体" w:cs="宋体"/>
          <w:b/>
          <w:sz w:val="28"/>
          <w:szCs w:val="28"/>
        </w:rPr>
        <w:t>资料费”</w:t>
      </w:r>
      <w:r>
        <w:rPr>
          <w:rFonts w:hint="eastAsia" w:ascii="宋体" w:hAnsi="宋体" w:cs="宋体"/>
          <w:sz w:val="28"/>
          <w:szCs w:val="28"/>
        </w:rPr>
        <w:t>字样，</w:t>
      </w:r>
      <w:r>
        <w:rPr>
          <w:rFonts w:hint="eastAsia" w:ascii="宋体" w:hAnsi="宋体" w:cs="宋体"/>
          <w:sz w:val="28"/>
          <w:szCs w:val="28"/>
          <w:highlight w:val="none"/>
        </w:rPr>
        <w:t>并尽量将投标单位的纳税识别号一并备注在转账留言栏中</w:t>
      </w:r>
      <w:r>
        <w:rPr>
          <w:rFonts w:hint="eastAsia" w:ascii="宋体" w:hAnsi="宋体" w:cs="宋体"/>
          <w:sz w:val="28"/>
          <w:szCs w:val="28"/>
          <w:highlight w:val="none"/>
          <w:lang w:eastAsia="zh-CN"/>
        </w:rPr>
        <w:t>，</w:t>
      </w:r>
      <w:r>
        <w:rPr>
          <w:rFonts w:hint="eastAsia" w:ascii="宋体" w:hAnsi="宋体" w:cs="宋体"/>
          <w:sz w:val="28"/>
          <w:szCs w:val="28"/>
          <w:highlight w:val="none"/>
        </w:rPr>
        <w:t>以便</w:t>
      </w:r>
      <w:r>
        <w:rPr>
          <w:rFonts w:hint="eastAsia" w:ascii="宋体" w:hAnsi="宋体" w:cs="宋体"/>
          <w:sz w:val="28"/>
          <w:szCs w:val="28"/>
          <w:highlight w:val="none"/>
          <w:lang w:val="en-US" w:eastAsia="zh-CN"/>
        </w:rPr>
        <w:t>开</w:t>
      </w:r>
      <w:r>
        <w:rPr>
          <w:rFonts w:hint="eastAsia" w:ascii="宋体" w:hAnsi="宋体" w:cs="宋体"/>
          <w:sz w:val="28"/>
          <w:szCs w:val="28"/>
          <w:highlight w:val="none"/>
        </w:rPr>
        <w:t>票和对账</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请各单位在报名时将</w:t>
      </w:r>
      <w:r>
        <w:rPr>
          <w:rFonts w:hint="eastAsia" w:ascii="宋体" w:hAnsi="宋体" w:cs="宋体"/>
          <w:sz w:val="28"/>
          <w:szCs w:val="28"/>
          <w:highlight w:val="none"/>
        </w:rPr>
        <w:t>转账回单复印件务必放入《投标文件》中（无此证明，一律作为无效标处理）。</w:t>
      </w:r>
    </w:p>
    <w:p>
      <w:pPr>
        <w:spacing w:line="360" w:lineRule="auto"/>
        <w:ind w:firstLine="548" w:firstLineChars="196"/>
        <w:rPr>
          <w:rFonts w:ascii="宋体" w:cs="宋体"/>
          <w:sz w:val="28"/>
          <w:szCs w:val="28"/>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lang w:val="en-US" w:eastAsia="zh-CN"/>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u w:val="single"/>
        </w:rPr>
        <w:t>5000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rPr>
        <w:t>5000</w:t>
      </w:r>
      <w:r>
        <w:rPr>
          <w:rFonts w:hint="eastAsia" w:ascii="宋体" w:hAnsi="宋体" w:cs="宋体"/>
          <w:sz w:val="28"/>
          <w:szCs w:val="28"/>
        </w:rPr>
        <w:t>元履约保证金交款账号同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）履约保证金交退咨询：财务处财务科（体育馆北面，南气宾馆东侧的大学生创业中心</w:t>
      </w:r>
      <w:r>
        <w:rPr>
          <w:rFonts w:ascii="宋体" w:hAnsi="宋体" w:cs="宋体"/>
          <w:sz w:val="28"/>
          <w:szCs w:val="28"/>
        </w:rPr>
        <w:t>3</w:t>
      </w:r>
      <w:r>
        <w:rPr>
          <w:rFonts w:hint="eastAsia" w:ascii="宋体" w:hAnsi="宋体" w:cs="宋体"/>
          <w:sz w:val="28"/>
          <w:szCs w:val="28"/>
        </w:rPr>
        <w:t>号楼二楼财务大厅）。</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）如中标单位有下列情况之一，不予退还履约保证金，我处将其列入招投标诚信“黑名单”，</w:t>
      </w:r>
      <w:r>
        <w:rPr>
          <w:rFonts w:ascii="宋体" w:hAnsi="宋体" w:cs="宋体"/>
          <w:sz w:val="28"/>
          <w:szCs w:val="28"/>
        </w:rPr>
        <w:t>3</w:t>
      </w:r>
      <w:r>
        <w:rPr>
          <w:rFonts w:hint="eastAsia" w:ascii="宋体" w:hAnsi="宋体" w:cs="宋体"/>
          <w:sz w:val="28"/>
          <w:szCs w:val="28"/>
        </w:rPr>
        <w:t>年内不得到我处从事任何投标活动。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w:t>
      </w:r>
      <w:r>
        <w:rPr>
          <w:rFonts w:hint="eastAsia" w:ascii="宋体" w:hAnsi="宋体"/>
          <w:b/>
          <w:sz w:val="28"/>
          <w:szCs w:val="28"/>
          <w:u w:val="single"/>
          <w:lang w:val="en-US" w:eastAsia="zh-CN"/>
        </w:rPr>
        <w:t>5</w:t>
      </w:r>
      <w:r>
        <w:rPr>
          <w:rFonts w:hint="eastAsia" w:ascii="宋体" w:hAnsi="宋体"/>
          <w:b/>
          <w:sz w:val="28"/>
          <w:szCs w:val="28"/>
          <w:u w:val="single"/>
        </w:rPr>
        <w:t>月</w:t>
      </w:r>
      <w:r>
        <w:rPr>
          <w:rFonts w:hint="eastAsia" w:ascii="宋体" w:hAnsi="宋体"/>
          <w:b/>
          <w:sz w:val="28"/>
          <w:szCs w:val="28"/>
          <w:u w:val="single"/>
          <w:lang w:val="en-US" w:eastAsia="zh-CN"/>
        </w:rPr>
        <w:t>28</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（因财务处招标科人手少，为减少所提问题的文字二次输入工作量，质疑函请勿以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（若后期有调整，将会将调整信息发送到各投标单位报名邮箱，请各投标单位在投标前密切关注报名邮箱）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11</w:t>
      </w:r>
      <w:r>
        <w:rPr>
          <w:rFonts w:hint="eastAsia" w:ascii="宋体" w:hAnsi="宋体"/>
          <w:sz w:val="28"/>
          <w:szCs w:val="28"/>
        </w:rPr>
        <w:t>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财务处招标科。联系人：马老师、罗老师、方老师；联系电话：025-58731441。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11</w:t>
      </w:r>
      <w:r>
        <w:rPr>
          <w:rFonts w:hint="eastAsia" w:ascii="宋体" w:hAnsi="宋体"/>
          <w:sz w:val="28"/>
          <w:szCs w:val="28"/>
        </w:rPr>
        <w:t>日09：</w:t>
      </w:r>
      <w:r>
        <w:rPr>
          <w:rFonts w:hint="eastAsia" w:ascii="宋体" w:hAnsi="宋体"/>
          <w:sz w:val="28"/>
          <w:szCs w:val="28"/>
          <w:lang w:val="en-US" w:eastAsia="zh-CN"/>
        </w:rPr>
        <w:t>0</w:t>
      </w:r>
      <w:r>
        <w:rPr>
          <w:rFonts w:hint="eastAsia" w:ascii="宋体" w:hAnsi="宋体"/>
          <w:sz w:val="28"/>
          <w:szCs w:val="28"/>
        </w:rPr>
        <w:t>0；(不安排公开开标、唱标，由财务处招标科工作人员在我校纪委办监督见证下进行，开标、唱标工作全程视频监控并录像)。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，联系人：马老师、罗老师、方老师；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w:t>
      </w:r>
      <w:r>
        <w:rPr>
          <w:rFonts w:hint="eastAsia" w:ascii="宋体" w:hAnsi="宋体"/>
          <w:sz w:val="28"/>
          <w:szCs w:val="28"/>
          <w:lang w:val="en-US" w:eastAsia="zh-CN"/>
        </w:rPr>
        <w:t>15851891106</w:t>
      </w:r>
      <w:r>
        <w:rPr>
          <w:rFonts w:hint="eastAsia" w:ascii="宋体" w:hAnsi="宋体"/>
          <w:sz w:val="28"/>
          <w:szCs w:val="28"/>
        </w:rPr>
        <w:t>，联系人：</w:t>
      </w:r>
      <w:r>
        <w:rPr>
          <w:rFonts w:hint="eastAsia" w:ascii="宋体" w:hAnsi="宋体"/>
          <w:sz w:val="28"/>
          <w:szCs w:val="28"/>
          <w:lang w:val="en-US" w:eastAsia="zh-CN"/>
        </w:rPr>
        <w:t>刘</w:t>
      </w:r>
      <w:r>
        <w:rPr>
          <w:rFonts w:hint="eastAsia" w:ascii="宋体" w:hAnsi="宋体"/>
          <w:sz w:val="28"/>
          <w:szCs w:val="28"/>
        </w:rPr>
        <w:t>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南京信息工程大学财务处</w:t>
      </w:r>
    </w:p>
    <w:p>
      <w:pPr>
        <w:pStyle w:val="9"/>
        <w:spacing w:line="360" w:lineRule="auto"/>
        <w:ind w:left="99" w:leftChars="47" w:firstLine="4919" w:firstLineChars="1750"/>
        <w:rPr>
          <w:rStyle w:val="38"/>
          <w:rFonts w:ascii="宋体" w:hAnsi="Times New Roman" w:eastAsia="宋体"/>
          <w:sz w:val="28"/>
          <w:szCs w:val="28"/>
        </w:rPr>
      </w:pPr>
      <w:r>
        <w:rPr>
          <w:rStyle w:val="38"/>
          <w:rFonts w:ascii="宋体" w:hAnsi="宋体" w:eastAsia="宋体"/>
          <w:sz w:val="28"/>
          <w:szCs w:val="28"/>
        </w:rPr>
        <w:t>20</w:t>
      </w:r>
      <w:r>
        <w:rPr>
          <w:rStyle w:val="38"/>
          <w:rFonts w:hint="eastAsia" w:ascii="宋体" w:hAnsi="宋体" w:eastAsia="宋体"/>
          <w:sz w:val="28"/>
          <w:szCs w:val="28"/>
        </w:rPr>
        <w:t>20年</w:t>
      </w:r>
      <w:r>
        <w:rPr>
          <w:rStyle w:val="38"/>
          <w:rFonts w:hint="eastAsia" w:ascii="宋体" w:hAnsi="宋体"/>
          <w:sz w:val="28"/>
          <w:szCs w:val="28"/>
          <w:lang w:val="en-US"/>
        </w:rPr>
        <w:t>05</w:t>
      </w:r>
      <w:r>
        <w:rPr>
          <w:rStyle w:val="38"/>
          <w:rFonts w:hint="eastAsia" w:ascii="宋体" w:hAnsi="宋体" w:eastAsia="宋体"/>
          <w:sz w:val="28"/>
          <w:szCs w:val="28"/>
        </w:rPr>
        <w:t>月</w:t>
      </w:r>
      <w:r>
        <w:rPr>
          <w:rStyle w:val="38"/>
          <w:rFonts w:hint="eastAsia" w:ascii="宋体" w:hAnsi="宋体"/>
          <w:sz w:val="28"/>
          <w:szCs w:val="28"/>
          <w:lang w:val="en-US"/>
        </w:rPr>
        <w:t>22</w:t>
      </w:r>
      <w:r>
        <w:rPr>
          <w:rStyle w:val="38"/>
          <w:rFonts w:hint="eastAsia" w:ascii="宋体" w:hAnsi="宋体" w:eastAsia="宋体"/>
          <w:sz w:val="28"/>
          <w:szCs w:val="28"/>
        </w:rPr>
        <w:t>日</w:t>
      </w:r>
    </w:p>
    <w:bookmarkEnd w:id="8"/>
    <w:p>
      <w:pPr>
        <w:pStyle w:val="8"/>
        <w:adjustRightInd w:val="0"/>
        <w:snapToGrid w:val="0"/>
        <w:spacing w:before="120" w:after="120" w:line="360" w:lineRule="auto"/>
        <w:rPr>
          <w:rFonts w:ascii="Times New Roman" w:hAnsi="Times New Roman"/>
          <w:sz w:val="24"/>
          <w:szCs w:val="24"/>
        </w:rPr>
      </w:pPr>
      <w:r>
        <w:rPr>
          <w:rStyle w:val="38"/>
          <w:rFonts w:ascii="宋体" w:hAnsi="Times New Roman" w:eastAsia="宋体"/>
          <w:b w:val="0"/>
          <w:sz w:val="28"/>
          <w:szCs w:val="28"/>
        </w:rPr>
        <w:br w:type="page"/>
      </w:r>
      <w:bookmarkStart w:id="9" w:name="_Toc462564147"/>
      <w:r>
        <w:rPr>
          <w:rFonts w:ascii="Times New Roman" w:hAnsi="Times New Roman"/>
          <w:sz w:val="24"/>
          <w:szCs w:val="24"/>
        </w:rPr>
        <w:t>附件1：</w:t>
      </w:r>
    </w:p>
    <w:p>
      <w:pPr>
        <w:spacing w:line="360" w:lineRule="auto"/>
        <w:ind w:left="180"/>
        <w:jc w:val="center"/>
        <w:rPr>
          <w:rFonts w:hint="eastAsia" w:hAnsi="宋体"/>
          <w:b/>
          <w:sz w:val="28"/>
          <w:szCs w:val="28"/>
        </w:rPr>
      </w:pPr>
      <w:r>
        <w:rPr>
          <w:rFonts w:hint="eastAsia" w:hAnsi="宋体"/>
          <w:b/>
          <w:sz w:val="28"/>
          <w:szCs w:val="28"/>
        </w:rPr>
        <w:t>招标项目设备名称、数量、主要技术要求及其他要求</w:t>
      </w:r>
    </w:p>
    <w:tbl>
      <w:tblPr>
        <w:tblStyle w:val="15"/>
        <w:tblW w:w="8790" w:type="dxa"/>
        <w:tblInd w:w="157" w:type="dxa"/>
        <w:tblLayout w:type="fixed"/>
        <w:tblCellMar>
          <w:top w:w="15" w:type="dxa"/>
          <w:left w:w="15" w:type="dxa"/>
          <w:bottom w:w="15" w:type="dxa"/>
          <w:right w:w="15" w:type="dxa"/>
        </w:tblCellMar>
      </w:tblPr>
      <w:tblGrid>
        <w:gridCol w:w="708"/>
        <w:gridCol w:w="1848"/>
        <w:gridCol w:w="1262"/>
        <w:gridCol w:w="1262"/>
        <w:gridCol w:w="721"/>
        <w:gridCol w:w="2989"/>
      </w:tblGrid>
      <w:tr>
        <w:tblPrEx>
          <w:tblCellMar>
            <w:top w:w="15" w:type="dxa"/>
            <w:left w:w="15" w:type="dxa"/>
            <w:bottom w:w="15" w:type="dxa"/>
            <w:right w:w="15" w:type="dxa"/>
          </w:tblCellMar>
        </w:tblPrEx>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分包</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仪器设备名称</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参考型号</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单位</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数量</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主要配置或技术参数</w:t>
            </w:r>
          </w:p>
        </w:tc>
      </w:tr>
      <w:tr>
        <w:tblPrEx>
          <w:tblCellMar>
            <w:top w:w="15" w:type="dxa"/>
            <w:left w:w="15" w:type="dxa"/>
            <w:bottom w:w="15" w:type="dxa"/>
            <w:right w:w="15" w:type="dxa"/>
          </w:tblCellMar>
        </w:tblPrEx>
        <w:tc>
          <w:tcPr>
            <w:tcW w:w="70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rPr>
              <w:t>1</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服务器</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rPr>
              <w:t>1</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sz w:val="24"/>
              </w:rPr>
              <w:t>详见表后内容</w:t>
            </w:r>
          </w:p>
        </w:tc>
      </w:tr>
      <w:tr>
        <w:tblPrEx>
          <w:tblCellMar>
            <w:top w:w="15" w:type="dxa"/>
            <w:left w:w="15" w:type="dxa"/>
            <w:bottom w:w="15" w:type="dxa"/>
            <w:right w:w="15" w:type="dxa"/>
          </w:tblCellMar>
        </w:tblPrEx>
        <w:tc>
          <w:tcPr>
            <w:tcW w:w="708"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存储</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1</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sz w:val="24"/>
              </w:rPr>
              <w:t>详见表后内容</w:t>
            </w:r>
          </w:p>
        </w:tc>
      </w:tr>
      <w:tr>
        <w:tblPrEx>
          <w:tblCellMar>
            <w:top w:w="15" w:type="dxa"/>
            <w:left w:w="15" w:type="dxa"/>
            <w:bottom w:w="15" w:type="dxa"/>
            <w:right w:w="15" w:type="dxa"/>
          </w:tblCellMar>
        </w:tblPrEx>
        <w:tc>
          <w:tcPr>
            <w:tcW w:w="708"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4"/>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配件</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p>
        </w:tc>
        <w:tc>
          <w:tcPr>
            <w:tcW w:w="1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24"/>
              </w:rPr>
            </w:pPr>
            <w:r>
              <w:rPr>
                <w:rFonts w:hint="eastAsia" w:ascii="宋体" w:hAnsi="宋体" w:cs="宋体"/>
                <w:sz w:val="24"/>
              </w:rPr>
              <w:t>批</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1</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sz w:val="24"/>
              </w:rPr>
            </w:pPr>
            <w:r>
              <w:rPr>
                <w:rFonts w:hint="eastAsia" w:ascii="宋体" w:hAnsi="宋体" w:cs="宋体"/>
                <w:sz w:val="24"/>
              </w:rPr>
              <w:t>详见表后内容</w:t>
            </w:r>
          </w:p>
        </w:tc>
      </w:tr>
    </w:tbl>
    <w:p>
      <w:pPr>
        <w:rPr>
          <w:rFonts w:hint="eastAsia"/>
          <w:b/>
        </w:rPr>
      </w:pPr>
      <w:r>
        <w:rPr>
          <w:rFonts w:hint="eastAsia"/>
          <w:b/>
        </w:rPr>
        <w:t>以上所有设备要求免费质保期三年。</w:t>
      </w:r>
    </w:p>
    <w:p>
      <w:pPr>
        <w:rPr>
          <w:rFonts w:hint="eastAsia"/>
          <w:b/>
        </w:rPr>
      </w:pPr>
    </w:p>
    <w:p>
      <w:pPr>
        <w:rPr>
          <w:b/>
        </w:rPr>
      </w:pPr>
      <w:r>
        <w:rPr>
          <w:rFonts w:hint="eastAsia" w:ascii="宋体" w:hAnsi="宋体" w:cs="宋体"/>
          <w:b/>
          <w:color w:val="000000"/>
          <w:kern w:val="0"/>
          <w:sz w:val="24"/>
        </w:rPr>
        <w:t>主要配置或技术参数</w:t>
      </w:r>
      <w:r>
        <w:rPr>
          <w:rFonts w:hint="eastAsia"/>
          <w:b/>
        </w:rPr>
        <w:t>：（标注“</w:t>
      </w:r>
      <w:r>
        <w:rPr>
          <w:rFonts w:hint="eastAsia" w:ascii="宋体" w:hAnsi="宋体" w:cs="宋体"/>
          <w:color w:val="000000"/>
          <w:kern w:val="0"/>
          <w:sz w:val="20"/>
          <w:szCs w:val="20"/>
        </w:rPr>
        <w:t>★</w:t>
      </w:r>
      <w:r>
        <w:rPr>
          <w:rFonts w:hint="eastAsia"/>
          <w:b/>
        </w:rPr>
        <w:t>”指标为必须满足项，不满足按废标处理。）</w:t>
      </w:r>
    </w:p>
    <w:p>
      <w:pPr>
        <w:numPr>
          <w:ilvl w:val="0"/>
          <w:numId w:val="1"/>
        </w:numPr>
        <w:snapToGrid w:val="0"/>
        <w:spacing w:before="120" w:beforeLines="50"/>
        <w:rPr>
          <w:b/>
          <w:sz w:val="24"/>
        </w:rPr>
      </w:pPr>
      <w:r>
        <w:rPr>
          <w:rFonts w:hint="eastAsia"/>
          <w:b/>
          <w:sz w:val="24"/>
        </w:rPr>
        <w:t>服务器</w:t>
      </w:r>
    </w:p>
    <w:tbl>
      <w:tblPr>
        <w:tblStyle w:val="1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pStyle w:val="46"/>
              <w:ind w:firstLine="0" w:firstLineChars="0"/>
              <w:jc w:val="both"/>
              <w:rPr>
                <w:bCs/>
                <w:sz w:val="21"/>
                <w:szCs w:val="21"/>
              </w:rPr>
            </w:pPr>
            <w:r>
              <w:rPr>
                <w:rFonts w:hint="eastAsia"/>
                <w:bCs/>
                <w:sz w:val="21"/>
                <w:szCs w:val="21"/>
              </w:rPr>
              <w:t>技术指标</w:t>
            </w:r>
          </w:p>
        </w:tc>
        <w:tc>
          <w:tcPr>
            <w:tcW w:w="6946" w:type="dxa"/>
            <w:shd w:val="clear" w:color="auto" w:fill="auto"/>
            <w:noWrap w:val="0"/>
            <w:vAlign w:val="top"/>
          </w:tcPr>
          <w:p>
            <w:pPr>
              <w:pStyle w:val="46"/>
              <w:ind w:left="360"/>
              <w:rPr>
                <w:bCs/>
                <w:sz w:val="21"/>
                <w:szCs w:val="21"/>
              </w:rPr>
            </w:pPr>
            <w:r>
              <w:rPr>
                <w:rFonts w:hint="eastAsia"/>
                <w:bCs/>
                <w:sz w:val="21"/>
                <w:szCs w:val="21"/>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形态</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机架式服务器，非刀片或高密度服务器产品，高度不超过4U，机箱长不超过800mm，CPU主板与GPU主板分离式设计，支持CPU主板和GPU主板独立升级。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处理器</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配置≥2颗Intel Xeon处理器，每处理器主频≥2.2GHz，核数≥12，支持Intel SkyLake与Cascade最新架构处理器。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内存</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4</w:t>
            </w:r>
            <w:r>
              <w:rPr>
                <w:rFonts w:hint="eastAsia"/>
                <w:sz w:val="21"/>
                <w:szCs w:val="21"/>
              </w:rPr>
              <w:t>根32GB ECC DDR4 内存，最大支持扩展≥16个内存插槽，满足未来扩展性需求。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ign w:val="center"/>
          </w:tcPr>
          <w:p>
            <w:pPr>
              <w:rPr>
                <w:bCs/>
                <w:szCs w:val="21"/>
              </w:rPr>
            </w:pPr>
            <w:r>
              <w:rPr>
                <w:rFonts w:hint="eastAsia"/>
                <w:bCs/>
                <w:szCs w:val="21"/>
              </w:rPr>
              <w:t>硬盘</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配置≥2块300G 2.5吋10K 12Gb SAS企业级机械硬盘。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rFonts w:hint="eastAsia"/>
                <w:bCs/>
                <w:szCs w:val="21"/>
              </w:rPr>
            </w:pPr>
            <w:r>
              <w:rPr>
                <w:rFonts w:hint="eastAsia"/>
                <w:bCs/>
                <w:szCs w:val="21"/>
              </w:rPr>
              <w:t>高速网络</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配置1块56Gb单端口PCI-E Infiniband高速卡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PCIe扩展</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提供至少11个标准PCIe插槽，其中不少于10个PCIe 3.0 x16全高全长插槽，1个PCIe 3.0 x8全高全长卡插槽，提供设备原厂商加盖公章的技术</w:t>
            </w:r>
            <w:r>
              <w:rPr>
                <w:sz w:val="21"/>
                <w:szCs w:val="21"/>
              </w:rPr>
              <w:t>证明文件</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43" w:type="dxa"/>
            <w:shd w:val="clear" w:color="auto" w:fill="auto"/>
            <w:noWrap/>
            <w:vAlign w:val="center"/>
          </w:tcPr>
          <w:p>
            <w:pPr>
              <w:rPr>
                <w:bCs/>
                <w:szCs w:val="21"/>
              </w:rPr>
            </w:pPr>
            <w:r>
              <w:rPr>
                <w:rFonts w:hint="eastAsia"/>
                <w:bCs/>
                <w:szCs w:val="21"/>
              </w:rPr>
              <w:t>GPU卡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1</w:t>
            </w:r>
            <w:r>
              <w:rPr>
                <w:rFonts w:hint="eastAsia"/>
                <w:sz w:val="21"/>
                <w:szCs w:val="21"/>
              </w:rPr>
              <w:t>块NVIDIA Tesla P40 24GB GDDR5 GPU卡，最大可支持4块双宽或8块单宽GPU加速卡，全部GPU卡必须安装在同一个服务器GPU主板（非多计算节点堆叠方式）。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ign w:val="center"/>
          </w:tcPr>
          <w:p>
            <w:pPr>
              <w:rPr>
                <w:bCs/>
                <w:szCs w:val="21"/>
              </w:rPr>
            </w:pPr>
            <w:r>
              <w:rPr>
                <w:rFonts w:hint="eastAsia"/>
                <w:bCs/>
                <w:szCs w:val="21"/>
              </w:rPr>
              <w:t>电源</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满配冗电单电功率不低于1600W的认证铂金级电源，1+1冗余。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ign w:val="center"/>
          </w:tcPr>
          <w:p>
            <w:pPr>
              <w:rPr>
                <w:bCs/>
                <w:szCs w:val="21"/>
              </w:rPr>
            </w:pPr>
            <w:r>
              <w:rPr>
                <w:rFonts w:hint="eastAsia"/>
                <w:bCs/>
                <w:szCs w:val="21"/>
              </w:rPr>
              <w:t>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售后服务：提供</w:t>
            </w:r>
            <w:r>
              <w:rPr>
                <w:sz w:val="21"/>
                <w:szCs w:val="21"/>
              </w:rPr>
              <w:t>3</w:t>
            </w:r>
            <w:r>
              <w:rPr>
                <w:rFonts w:hint="eastAsia"/>
                <w:sz w:val="21"/>
                <w:szCs w:val="21"/>
              </w:rPr>
              <w:t>年</w:t>
            </w:r>
            <w:r>
              <w:rPr>
                <w:sz w:val="21"/>
                <w:szCs w:val="21"/>
              </w:rPr>
              <w:t>7*24</w:t>
            </w:r>
            <w:r>
              <w:rPr>
                <w:rFonts w:hint="eastAsia"/>
                <w:sz w:val="21"/>
                <w:szCs w:val="21"/>
              </w:rPr>
              <w:t>小时原厂免费上门服务，投标时提供原厂授权承诺函</w:t>
            </w:r>
          </w:p>
        </w:tc>
      </w:tr>
    </w:tbl>
    <w:p>
      <w:pPr>
        <w:rPr>
          <w:rFonts w:hint="eastAsia"/>
          <w:szCs w:val="21"/>
        </w:rPr>
      </w:pPr>
    </w:p>
    <w:p>
      <w:pPr>
        <w:numPr>
          <w:ilvl w:val="0"/>
          <w:numId w:val="1"/>
        </w:numPr>
        <w:snapToGrid w:val="0"/>
        <w:spacing w:before="120" w:beforeLines="50"/>
        <w:rPr>
          <w:b/>
          <w:sz w:val="24"/>
        </w:rPr>
      </w:pPr>
      <w:r>
        <w:rPr>
          <w:rFonts w:hint="eastAsia"/>
          <w:b/>
          <w:sz w:val="24"/>
        </w:rPr>
        <w:t>存储（磁盘阵列）</w:t>
      </w:r>
    </w:p>
    <w:tbl>
      <w:tblPr>
        <w:tblStyle w:val="1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top"/>
          </w:tcPr>
          <w:p>
            <w:pPr>
              <w:jc w:val="left"/>
              <w:rPr>
                <w:bCs/>
                <w:szCs w:val="21"/>
              </w:rPr>
            </w:pPr>
            <w:r>
              <w:rPr>
                <w:rFonts w:hint="eastAsia"/>
                <w:bCs/>
                <w:szCs w:val="21"/>
              </w:rPr>
              <w:t>技术指标</w:t>
            </w:r>
          </w:p>
        </w:tc>
        <w:tc>
          <w:tcPr>
            <w:tcW w:w="6946" w:type="dxa"/>
            <w:shd w:val="clear" w:color="auto" w:fill="auto"/>
            <w:noWrap w:val="0"/>
            <w:vAlign w:val="top"/>
          </w:tcPr>
          <w:p>
            <w:pPr>
              <w:pStyle w:val="46"/>
              <w:ind w:left="360"/>
              <w:rPr>
                <w:bCs/>
                <w:sz w:val="21"/>
                <w:szCs w:val="21"/>
              </w:rPr>
            </w:pPr>
            <w:r>
              <w:rPr>
                <w:rFonts w:hint="eastAsia"/>
                <w:bCs/>
                <w:sz w:val="21"/>
                <w:szCs w:val="21"/>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体系结构</w:t>
            </w:r>
          </w:p>
        </w:tc>
        <w:tc>
          <w:tcPr>
            <w:tcW w:w="6946" w:type="dxa"/>
            <w:shd w:val="clear" w:color="auto" w:fill="auto"/>
            <w:noWrap w:val="0"/>
            <w:vAlign w:val="center"/>
          </w:tcPr>
          <w:p>
            <w:pPr>
              <w:pStyle w:val="46"/>
              <w:ind w:firstLine="0" w:firstLineChars="0"/>
              <w:jc w:val="both"/>
              <w:rPr>
                <w:rFonts w:hint="eastAsia"/>
                <w:sz w:val="21"/>
                <w:szCs w:val="21"/>
              </w:rPr>
            </w:pPr>
            <w:r>
              <w:rPr>
                <w:rFonts w:hint="eastAsia"/>
                <w:sz w:val="21"/>
                <w:szCs w:val="21"/>
              </w:rPr>
              <w:t>3U16盘位，模块化设计，</w:t>
            </w:r>
            <w:r>
              <w:rPr>
                <w:sz w:val="21"/>
                <w:szCs w:val="21"/>
              </w:rPr>
              <w:t>必须与服务器为同一</w:t>
            </w:r>
            <w:r>
              <w:rPr>
                <w:rFonts w:hint="eastAsia"/>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存储架构</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设备同时支持</w:t>
            </w:r>
            <w:r>
              <w:rPr>
                <w:sz w:val="21"/>
                <w:szCs w:val="21"/>
              </w:rPr>
              <w:t>FC SAN/NAS/iSCSI/HTTP/FTP</w:t>
            </w:r>
            <w:r>
              <w:rPr>
                <w:rFonts w:hint="eastAsia"/>
                <w:sz w:val="21"/>
                <w:szCs w:val="21"/>
              </w:rPr>
              <w:t>等多种协议，产品采用统一存储架构设计，非</w:t>
            </w:r>
            <w:r>
              <w:rPr>
                <w:sz w:val="21"/>
                <w:szCs w:val="21"/>
              </w:rPr>
              <w:t>NAS</w:t>
            </w:r>
            <w:r>
              <w:rPr>
                <w:rFonts w:hint="eastAsia"/>
                <w:sz w:val="21"/>
                <w:szCs w:val="21"/>
              </w:rPr>
              <w:t>网关方式实现，并且配置全协议访问许可，要求采用非</w:t>
            </w:r>
            <w:r>
              <w:rPr>
                <w:sz w:val="21"/>
                <w:szCs w:val="21"/>
              </w:rPr>
              <w:t>X86</w:t>
            </w:r>
            <w:r>
              <w:rPr>
                <w:rFonts w:hint="eastAsia"/>
                <w:sz w:val="21"/>
                <w:szCs w:val="21"/>
              </w:rPr>
              <w:t>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★存储控制器</w:t>
            </w:r>
          </w:p>
        </w:tc>
        <w:tc>
          <w:tcPr>
            <w:tcW w:w="6946" w:type="dxa"/>
            <w:shd w:val="clear" w:color="auto" w:fill="auto"/>
            <w:noWrap w:val="0"/>
            <w:vAlign w:val="center"/>
          </w:tcPr>
          <w:p>
            <w:pPr>
              <w:pStyle w:val="46"/>
              <w:ind w:firstLine="0" w:firstLineChars="0"/>
              <w:jc w:val="both"/>
              <w:rPr>
                <w:rFonts w:hint="eastAsia"/>
                <w:sz w:val="21"/>
                <w:szCs w:val="21"/>
              </w:rPr>
            </w:pPr>
            <w:r>
              <w:rPr>
                <w:sz w:val="21"/>
                <w:szCs w:val="21"/>
              </w:rPr>
              <w:t>最大支持八个存储控制器</w:t>
            </w:r>
            <w:r>
              <w:rPr>
                <w:rFonts w:hint="eastAsia"/>
                <w:sz w:val="21"/>
                <w:szCs w:val="21"/>
              </w:rPr>
              <w:t>，</w:t>
            </w:r>
            <w:r>
              <w:rPr>
                <w:sz w:val="21"/>
                <w:szCs w:val="21"/>
              </w:rPr>
              <w:t>本次</w:t>
            </w:r>
            <w:r>
              <w:rPr>
                <w:rFonts w:hint="eastAsia"/>
                <w:sz w:val="21"/>
                <w:szCs w:val="21"/>
              </w:rPr>
              <w:t>配置两个存储控制器，控制器冗余设计，支持在线更换控制器，每一控制器可以独立控制所有的磁盘，</w:t>
            </w:r>
            <w:r>
              <w:rPr>
                <w:sz w:val="21"/>
                <w:szCs w:val="21"/>
              </w:rPr>
              <w:t>RAID</w:t>
            </w:r>
            <w:r>
              <w:rPr>
                <w:rFonts w:hint="eastAsia"/>
                <w:sz w:val="21"/>
                <w:szCs w:val="21"/>
              </w:rPr>
              <w:t>算法采用硬件</w:t>
            </w:r>
            <w:r>
              <w:rPr>
                <w:sz w:val="21"/>
                <w:szCs w:val="21"/>
              </w:rPr>
              <w:t>XOR</w:t>
            </w:r>
            <w:r>
              <w:rPr>
                <w:rFonts w:hint="eastAsia"/>
                <w:sz w:val="21"/>
                <w:szCs w:val="21"/>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★缓存</w:t>
            </w:r>
          </w:p>
        </w:tc>
        <w:tc>
          <w:tcPr>
            <w:tcW w:w="6946" w:type="dxa"/>
            <w:shd w:val="clear" w:color="auto" w:fill="auto"/>
            <w:noWrap w:val="0"/>
            <w:vAlign w:val="center"/>
          </w:tcPr>
          <w:p>
            <w:pPr>
              <w:pStyle w:val="46"/>
              <w:ind w:firstLine="0" w:firstLineChars="0"/>
              <w:jc w:val="both"/>
              <w:rPr>
                <w:sz w:val="21"/>
                <w:szCs w:val="21"/>
              </w:rPr>
            </w:pPr>
            <w:r>
              <w:rPr>
                <w:sz w:val="21"/>
                <w:szCs w:val="21"/>
              </w:rPr>
              <w:t>最大支持</w:t>
            </w:r>
            <w:r>
              <w:rPr>
                <w:rFonts w:hint="eastAsia"/>
                <w:sz w:val="21"/>
                <w:szCs w:val="21"/>
              </w:rPr>
              <w:t>256</w:t>
            </w:r>
            <w:r>
              <w:rPr>
                <w:sz w:val="21"/>
                <w:szCs w:val="21"/>
              </w:rPr>
              <w:t>GB Cache</w:t>
            </w:r>
            <w:r>
              <w:rPr>
                <w:rFonts w:hint="eastAsia"/>
                <w:sz w:val="21"/>
                <w:szCs w:val="21"/>
              </w:rPr>
              <w:t>，本次配置</w:t>
            </w:r>
            <w:r>
              <w:rPr>
                <w:sz w:val="21"/>
                <w:szCs w:val="21"/>
              </w:rPr>
              <w:t>32GB Cache</w:t>
            </w:r>
            <w:r>
              <w:rPr>
                <w:rFonts w:hint="eastAsia"/>
                <w:sz w:val="21"/>
                <w:szCs w:val="21"/>
              </w:rPr>
              <w:t>（非</w:t>
            </w:r>
            <w:r>
              <w:rPr>
                <w:sz w:val="21"/>
                <w:szCs w:val="21"/>
              </w:rPr>
              <w:t>SSD</w:t>
            </w:r>
            <w:r>
              <w:rPr>
                <w:rFonts w:hint="eastAsia"/>
                <w:sz w:val="21"/>
                <w:szCs w:val="21"/>
              </w:rPr>
              <w:t>或者高速</w:t>
            </w:r>
            <w:r>
              <w:rPr>
                <w:sz w:val="21"/>
                <w:szCs w:val="21"/>
              </w:rPr>
              <w:t xml:space="preserve">Flash </w:t>
            </w:r>
            <w:r>
              <w:rPr>
                <w:rFonts w:hint="eastAsia"/>
                <w:sz w:val="21"/>
                <w:szCs w:val="21"/>
              </w:rPr>
              <w:t>充当缓存）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缓存保护</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 xml:space="preserve"> BBU </w:t>
            </w:r>
            <w:r>
              <w:rPr>
                <w:rFonts w:hint="eastAsia"/>
                <w:sz w:val="21"/>
                <w:szCs w:val="21"/>
              </w:rPr>
              <w:t>电池保护，配置基于</w:t>
            </w:r>
            <w:r>
              <w:rPr>
                <w:sz w:val="21"/>
                <w:szCs w:val="21"/>
              </w:rPr>
              <w:t xml:space="preserve"> Flash </w:t>
            </w:r>
            <w:r>
              <w:rPr>
                <w:rFonts w:hint="eastAsia"/>
                <w:sz w:val="21"/>
                <w:szCs w:val="21"/>
              </w:rPr>
              <w:t>的永久保护模组，不存在断电时间限制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主机接口</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≥12</w:t>
            </w:r>
            <w:r>
              <w:rPr>
                <w:rFonts w:hint="eastAsia"/>
                <w:sz w:val="21"/>
                <w:szCs w:val="21"/>
              </w:rPr>
              <w:t>个主机接口</w:t>
            </w:r>
            <w:r>
              <w:rPr>
                <w:sz w:val="21"/>
                <w:szCs w:val="21"/>
              </w:rPr>
              <w:t>,</w:t>
            </w:r>
            <w:r>
              <w:rPr>
                <w:rFonts w:hint="eastAsia"/>
                <w:sz w:val="21"/>
                <w:szCs w:val="21"/>
              </w:rPr>
              <w:t>其中包含</w:t>
            </w:r>
            <w:r>
              <w:rPr>
                <w:sz w:val="21"/>
                <w:szCs w:val="21"/>
              </w:rPr>
              <w:t>≥8</w:t>
            </w:r>
            <w:r>
              <w:rPr>
                <w:rFonts w:hint="eastAsia"/>
                <w:sz w:val="21"/>
                <w:szCs w:val="21"/>
              </w:rPr>
              <w:t>个</w:t>
            </w:r>
            <w:r>
              <w:rPr>
                <w:sz w:val="21"/>
                <w:szCs w:val="21"/>
              </w:rPr>
              <w:t xml:space="preserve">1Gb ISCSI </w:t>
            </w:r>
            <w:r>
              <w:rPr>
                <w:rFonts w:hint="eastAsia"/>
                <w:sz w:val="21"/>
                <w:szCs w:val="21"/>
              </w:rPr>
              <w:t>主机接口</w:t>
            </w:r>
            <w:r>
              <w:rPr>
                <w:sz w:val="21"/>
                <w:szCs w:val="21"/>
              </w:rPr>
              <w:t>+4</w:t>
            </w:r>
            <w:r>
              <w:rPr>
                <w:rFonts w:hint="eastAsia"/>
                <w:sz w:val="21"/>
                <w:szCs w:val="21"/>
              </w:rPr>
              <w:t>个16</w:t>
            </w:r>
            <w:r>
              <w:rPr>
                <w:sz w:val="21"/>
                <w:szCs w:val="21"/>
              </w:rPr>
              <w:t>Gb FC</w:t>
            </w:r>
            <w:r>
              <w:rPr>
                <w:rFonts w:hint="eastAsia"/>
                <w:sz w:val="21"/>
                <w:szCs w:val="21"/>
              </w:rPr>
              <w:t>主机接口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实配容量</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配置</w:t>
            </w:r>
            <w:r>
              <w:rPr>
                <w:sz w:val="21"/>
                <w:szCs w:val="21"/>
              </w:rPr>
              <w:t>≥</w:t>
            </w:r>
            <w:r>
              <w:rPr>
                <w:rFonts w:hint="eastAsia"/>
                <w:sz w:val="21"/>
                <w:szCs w:val="21"/>
              </w:rPr>
              <w:t>6块8T 3.5吋12Gb SAS盘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szCs w:val="21"/>
              </w:rPr>
            </w:pPr>
            <w:r>
              <w:rPr>
                <w:rFonts w:hint="eastAsia"/>
                <w:szCs w:val="21"/>
              </w:rPr>
              <w:t>★数据安全服务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该部分硬盘因涉及关键数据，为确保数据安全性，要求投标人提供“数据保”数据恢复服务（投标时需出具由国家信息中心相关部门出具的服务承诺函）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rFonts w:hint="eastAsia"/>
                <w:szCs w:val="21"/>
              </w:rPr>
            </w:pPr>
            <w:r>
              <w:rPr>
                <w:rFonts w:hint="eastAsia"/>
                <w:szCs w:val="21"/>
              </w:rPr>
              <w:t>★软件功能</w:t>
            </w:r>
          </w:p>
        </w:tc>
        <w:tc>
          <w:tcPr>
            <w:tcW w:w="6946" w:type="dxa"/>
            <w:shd w:val="clear" w:color="auto" w:fill="auto"/>
            <w:noWrap w:val="0"/>
            <w:vAlign w:val="center"/>
          </w:tcPr>
          <w:p>
            <w:pPr>
              <w:pStyle w:val="46"/>
              <w:ind w:firstLine="0" w:firstLineChars="0"/>
              <w:jc w:val="both"/>
              <w:rPr>
                <w:rFonts w:hint="eastAsia"/>
                <w:sz w:val="21"/>
                <w:szCs w:val="21"/>
              </w:rPr>
            </w:pPr>
            <w:r>
              <w:rPr>
                <w:sz w:val="21"/>
                <w:szCs w:val="21"/>
              </w:rPr>
              <w:t>提供完整的存储系统管理软件，支持集中式 GUI 管理，配置快照、卷拷贝、自动精简配置功能，支持远程卷镜像功能，可实现与原有存储之间的数据复制，实现远距离容灾，支持性能监控功能，可监控数据LUN或FC端口的IOPS、带宽及延时数据，可查看实时性能数据与历史统计数据，支持原有存储平台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vMerge w:val="restart"/>
            <w:shd w:val="clear" w:color="auto" w:fill="auto"/>
            <w:noWrap w:val="0"/>
            <w:vAlign w:val="center"/>
          </w:tcPr>
          <w:p>
            <w:pPr>
              <w:rPr>
                <w:szCs w:val="21"/>
              </w:rPr>
            </w:pPr>
            <w:r>
              <w:rPr>
                <w:rFonts w:hint="eastAsia"/>
                <w:szCs w:val="21"/>
              </w:rPr>
              <w:t>磁盘驱动器</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支持在同一个磁盘阵列柜子中混合使用不同类型，不同容量的硬盘；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vMerge w:val="continue"/>
            <w:shd w:val="clear" w:color="auto" w:fill="auto"/>
            <w:noWrap w:val="0"/>
            <w:vAlign w:val="center"/>
          </w:tcPr>
          <w:p>
            <w:pPr>
              <w:pStyle w:val="46"/>
              <w:ind w:left="360"/>
              <w:jc w:val="both"/>
              <w:rPr>
                <w:sz w:val="21"/>
                <w:szCs w:val="21"/>
              </w:rPr>
            </w:pP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w:t>
            </w:r>
            <w:r>
              <w:rPr>
                <w:sz w:val="21"/>
                <w:szCs w:val="21"/>
              </w:rPr>
              <w:t xml:space="preserve"> SAS\SATA\SSD</w:t>
            </w:r>
            <w:r>
              <w:rPr>
                <w:rFonts w:hint="eastAsia"/>
                <w:sz w:val="21"/>
                <w:szCs w:val="21"/>
              </w:rPr>
              <w:t>不同规格的硬盘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szCs w:val="21"/>
              </w:rPr>
              <w:t xml:space="preserve">RAID </w:t>
            </w:r>
            <w:r>
              <w:rPr>
                <w:rFonts w:hint="eastAsia"/>
                <w:szCs w:val="21"/>
              </w:rPr>
              <w:t>级别</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w:t>
            </w:r>
            <w:r>
              <w:rPr>
                <w:sz w:val="21"/>
                <w:szCs w:val="21"/>
              </w:rPr>
              <w:t>RAID 0</w:t>
            </w:r>
            <w:r>
              <w:rPr>
                <w:rFonts w:hint="eastAsia"/>
                <w:sz w:val="21"/>
                <w:szCs w:val="21"/>
              </w:rPr>
              <w:t>、</w:t>
            </w:r>
            <w:r>
              <w:rPr>
                <w:sz w:val="21"/>
                <w:szCs w:val="21"/>
              </w:rPr>
              <w:t>1</w:t>
            </w:r>
            <w:r>
              <w:rPr>
                <w:rFonts w:hint="eastAsia"/>
                <w:sz w:val="21"/>
                <w:szCs w:val="21"/>
              </w:rPr>
              <w:t>、</w:t>
            </w:r>
            <w:r>
              <w:rPr>
                <w:sz w:val="21"/>
                <w:szCs w:val="21"/>
              </w:rPr>
              <w:t>10</w:t>
            </w:r>
            <w:r>
              <w:rPr>
                <w:rFonts w:hint="eastAsia"/>
                <w:sz w:val="21"/>
                <w:szCs w:val="21"/>
              </w:rPr>
              <w:t>、</w:t>
            </w:r>
            <w:r>
              <w:rPr>
                <w:sz w:val="21"/>
                <w:szCs w:val="21"/>
              </w:rPr>
              <w:t>5</w:t>
            </w:r>
            <w:r>
              <w:rPr>
                <w:rFonts w:hint="eastAsia"/>
                <w:sz w:val="21"/>
                <w:szCs w:val="21"/>
              </w:rPr>
              <w:t>等；支持</w:t>
            </w:r>
            <w:r>
              <w:rPr>
                <w:sz w:val="21"/>
                <w:szCs w:val="21"/>
              </w:rPr>
              <w:t>RAID2.0</w:t>
            </w:r>
            <w:r>
              <w:rPr>
                <w:rFonts w:hint="eastAsia"/>
                <w:sz w:val="21"/>
                <w:szCs w:val="21"/>
              </w:rPr>
              <w:t>，相对传统</w:t>
            </w:r>
            <w:r>
              <w:rPr>
                <w:sz w:val="21"/>
                <w:szCs w:val="21"/>
              </w:rPr>
              <w:t>RAID</w:t>
            </w:r>
            <w:r>
              <w:rPr>
                <w:rFonts w:hint="eastAsia"/>
                <w:sz w:val="21"/>
                <w:szCs w:val="21"/>
              </w:rPr>
              <w:t>能使硬盘灾难平均重建时间缩短</w:t>
            </w:r>
            <w:r>
              <w:rPr>
                <w:sz w:val="21"/>
                <w:szCs w:val="21"/>
              </w:rPr>
              <w:t>5</w:t>
            </w:r>
            <w:r>
              <w:rPr>
                <w:rFonts w:hint="eastAsia"/>
                <w:sz w:val="21"/>
                <w:szCs w:val="21"/>
              </w:rPr>
              <w:t>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szCs w:val="21"/>
              </w:rPr>
            </w:pPr>
            <w:r>
              <w:rPr>
                <w:rFonts w:hint="eastAsia"/>
                <w:szCs w:val="21"/>
              </w:rPr>
              <w:t>分层存储模块</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支持分层存储软件模块，在线实现数据分层，通过分层实现热点数据管理，实现存储应用加速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系统管理软件</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提供完整的存储系统管理软件，支持集中式</w:t>
            </w:r>
            <w:r>
              <w:rPr>
                <w:sz w:val="21"/>
                <w:szCs w:val="21"/>
              </w:rPr>
              <w:t xml:space="preserve"> GUI </w:t>
            </w:r>
            <w:r>
              <w:rPr>
                <w:rFonts w:hint="eastAsia"/>
                <w:sz w:val="21"/>
                <w:szCs w:val="21"/>
              </w:rPr>
              <w:t>管理，在同一管理界面实现监控，提供冗余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43" w:type="dxa"/>
            <w:shd w:val="clear" w:color="auto" w:fill="auto"/>
            <w:noWrap w:val="0"/>
            <w:vAlign w:val="center"/>
          </w:tcPr>
          <w:p>
            <w:pPr>
              <w:rPr>
                <w:szCs w:val="21"/>
              </w:rPr>
            </w:pPr>
            <w:r>
              <w:rPr>
                <w:rFonts w:hint="eastAsia"/>
                <w:szCs w:val="21"/>
              </w:rPr>
              <w:t>系统兼容性</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支持</w:t>
            </w:r>
            <w:r>
              <w:rPr>
                <w:sz w:val="21"/>
                <w:szCs w:val="21"/>
              </w:rPr>
              <w:t xml:space="preserve"> WinNT,Win2000,Win2003,Win2008,Solaris, AIX, HPUX, NetWare, Red Hat Linux ……</w:t>
            </w:r>
            <w:r>
              <w:rPr>
                <w:rFonts w:hint="eastAsia"/>
                <w:sz w:val="21"/>
                <w:szCs w:val="21"/>
              </w:rPr>
              <w:t>等主流操作系统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43" w:type="dxa"/>
            <w:shd w:val="clear" w:color="auto" w:fill="auto"/>
            <w:noWrap w:val="0"/>
            <w:vAlign w:val="center"/>
          </w:tcPr>
          <w:p>
            <w:pPr>
              <w:rPr>
                <w:szCs w:val="21"/>
              </w:rPr>
            </w:pPr>
            <w:r>
              <w:rPr>
                <w:rFonts w:hint="eastAsia"/>
                <w:szCs w:val="21"/>
              </w:rPr>
              <w:t>系统扩充性</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模块化结构，具有完全在线、无需停机的扩充能力，包括系统微码升级、系统处理能力的扩充、存储容量的扩充和</w:t>
            </w:r>
            <w:r>
              <w:rPr>
                <w:sz w:val="21"/>
                <w:szCs w:val="21"/>
              </w:rPr>
              <w:t xml:space="preserve"> IO </w:t>
            </w:r>
            <w:r>
              <w:rPr>
                <w:rFonts w:hint="eastAsia"/>
                <w:sz w:val="21"/>
                <w:szCs w:val="21"/>
              </w:rPr>
              <w:t>能力的扩充等，并支持系统的平滑扩充</w:t>
            </w:r>
            <w:r>
              <w:rPr>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电源风扇</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冗余电源，冗余散热风扇设计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43" w:type="dxa"/>
            <w:shd w:val="clear" w:color="auto" w:fill="auto"/>
            <w:noWrap w:val="0"/>
            <w:vAlign w:val="center"/>
          </w:tcPr>
          <w:p>
            <w:pPr>
              <w:rPr>
                <w:szCs w:val="21"/>
              </w:rPr>
            </w:pPr>
            <w:r>
              <w:rPr>
                <w:rFonts w:hint="eastAsia"/>
                <w:szCs w:val="21"/>
              </w:rPr>
              <w:t>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售后服务：提供</w:t>
            </w:r>
            <w:r>
              <w:rPr>
                <w:sz w:val="21"/>
                <w:szCs w:val="21"/>
              </w:rPr>
              <w:t>3</w:t>
            </w:r>
            <w:r>
              <w:rPr>
                <w:rFonts w:hint="eastAsia"/>
                <w:sz w:val="21"/>
                <w:szCs w:val="21"/>
              </w:rPr>
              <w:t>年</w:t>
            </w:r>
            <w:r>
              <w:rPr>
                <w:sz w:val="21"/>
                <w:szCs w:val="21"/>
              </w:rPr>
              <w:t>7*24</w:t>
            </w:r>
            <w:r>
              <w:rPr>
                <w:rFonts w:hint="eastAsia"/>
                <w:sz w:val="21"/>
                <w:szCs w:val="21"/>
              </w:rPr>
              <w:t>小时原厂免费上门服务，投标时提供原厂授权承诺函</w:t>
            </w:r>
          </w:p>
        </w:tc>
      </w:tr>
    </w:tbl>
    <w:p>
      <w:pPr>
        <w:pStyle w:val="46"/>
        <w:ind w:left="360" w:firstLine="0" w:firstLineChars="0"/>
        <w:rPr>
          <w:sz w:val="21"/>
          <w:szCs w:val="21"/>
        </w:rPr>
      </w:pPr>
    </w:p>
    <w:p>
      <w:pPr>
        <w:numPr>
          <w:ilvl w:val="0"/>
          <w:numId w:val="1"/>
        </w:numPr>
        <w:snapToGrid w:val="0"/>
        <w:spacing w:before="120" w:beforeLines="50"/>
        <w:rPr>
          <w:b/>
          <w:sz w:val="24"/>
        </w:rPr>
      </w:pPr>
      <w:r>
        <w:rPr>
          <w:rFonts w:hint="eastAsia"/>
          <w:b/>
          <w:sz w:val="24"/>
        </w:rPr>
        <w:t>配件</w:t>
      </w:r>
    </w:p>
    <w:tbl>
      <w:tblPr>
        <w:tblStyle w:val="15"/>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top"/>
          </w:tcPr>
          <w:p>
            <w:pPr>
              <w:jc w:val="left"/>
              <w:rPr>
                <w:bCs/>
                <w:szCs w:val="21"/>
              </w:rPr>
            </w:pPr>
            <w:r>
              <w:rPr>
                <w:rFonts w:hint="eastAsia"/>
                <w:bCs/>
                <w:szCs w:val="21"/>
              </w:rPr>
              <w:t>技术指标</w:t>
            </w:r>
          </w:p>
        </w:tc>
        <w:tc>
          <w:tcPr>
            <w:tcW w:w="6946" w:type="dxa"/>
            <w:shd w:val="clear" w:color="auto" w:fill="auto"/>
            <w:noWrap w:val="0"/>
            <w:vAlign w:val="top"/>
          </w:tcPr>
          <w:p>
            <w:pPr>
              <w:pStyle w:val="46"/>
              <w:ind w:left="360"/>
              <w:rPr>
                <w:bCs/>
                <w:sz w:val="21"/>
                <w:szCs w:val="21"/>
              </w:rPr>
            </w:pPr>
            <w:r>
              <w:rPr>
                <w:rFonts w:hint="eastAsia"/>
                <w:bCs/>
                <w:sz w:val="21"/>
                <w:szCs w:val="21"/>
              </w:rPr>
              <w:t>招标参数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szCs w:val="21"/>
              </w:rPr>
            </w:pPr>
            <w:r>
              <w:rPr>
                <w:rFonts w:hint="eastAsia"/>
                <w:szCs w:val="21"/>
              </w:rPr>
              <w:t>HBA卡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提供1块PCI-E 光纤双口16Gb HBA卡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bCs/>
                <w:szCs w:val="21"/>
              </w:rPr>
            </w:pPr>
            <w:r>
              <w:rPr>
                <w:rFonts w:hint="eastAsia"/>
                <w:bCs/>
                <w:szCs w:val="21"/>
              </w:rPr>
              <w:t>GPU卡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w:t>
            </w:r>
            <w:r>
              <w:rPr>
                <w:sz w:val="21"/>
                <w:szCs w:val="21"/>
              </w:rPr>
              <w:t>1</w:t>
            </w:r>
            <w:r>
              <w:rPr>
                <w:rFonts w:hint="eastAsia"/>
                <w:sz w:val="21"/>
                <w:szCs w:val="21"/>
              </w:rPr>
              <w:t>块NVIDIA Tesla P40 24GB GDDR5 GPU卡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szCs w:val="21"/>
              </w:rPr>
            </w:pPr>
            <w:r>
              <w:rPr>
                <w:rFonts w:hint="eastAsia"/>
                <w:szCs w:val="21"/>
              </w:rPr>
              <w:t>硬盘</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提供</w:t>
            </w:r>
            <w:r>
              <w:rPr>
                <w:sz w:val="21"/>
                <w:szCs w:val="21"/>
              </w:rPr>
              <w:t>10</w:t>
            </w:r>
            <w:r>
              <w:rPr>
                <w:rFonts w:hint="eastAsia"/>
                <w:sz w:val="21"/>
                <w:szCs w:val="21"/>
              </w:rPr>
              <w:t>块8T 3.5吋12Gb SAS盘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rFonts w:ascii="宋体" w:hAnsi="宋体" w:cs="宋体"/>
                <w:kern w:val="0"/>
                <w:szCs w:val="21"/>
              </w:rPr>
            </w:pPr>
            <w:r>
              <w:rPr>
                <w:rFonts w:hint="eastAsia"/>
                <w:szCs w:val="21"/>
              </w:rPr>
              <w:t>内存</w:t>
            </w:r>
          </w:p>
        </w:tc>
        <w:tc>
          <w:tcPr>
            <w:tcW w:w="6946" w:type="dxa"/>
            <w:shd w:val="clear" w:color="auto" w:fill="auto"/>
            <w:noWrap w:val="0"/>
            <w:vAlign w:val="center"/>
          </w:tcPr>
          <w:p>
            <w:pPr>
              <w:widowControl/>
              <w:rPr>
                <w:kern w:val="0"/>
                <w:szCs w:val="21"/>
              </w:rPr>
            </w:pPr>
            <w:r>
              <w:rPr>
                <w:rFonts w:hint="eastAsia"/>
                <w:kern w:val="0"/>
                <w:szCs w:val="21"/>
              </w:rPr>
              <w:t>提供</w:t>
            </w:r>
            <w:r>
              <w:rPr>
                <w:kern w:val="0"/>
                <w:szCs w:val="21"/>
              </w:rPr>
              <w:t>4</w:t>
            </w:r>
            <w:r>
              <w:rPr>
                <w:rFonts w:hint="eastAsia"/>
                <w:kern w:val="0"/>
                <w:szCs w:val="21"/>
              </w:rPr>
              <w:t>根</w:t>
            </w:r>
            <w:r>
              <w:rPr>
                <w:kern w:val="0"/>
                <w:szCs w:val="21"/>
              </w:rPr>
              <w:t>32</w:t>
            </w:r>
            <w:r>
              <w:rPr>
                <w:rFonts w:hint="eastAsia"/>
                <w:kern w:val="0"/>
                <w:szCs w:val="21"/>
              </w:rPr>
              <w:t>G 2666 REG DDR4 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43" w:type="dxa"/>
            <w:shd w:val="clear" w:color="auto" w:fill="auto"/>
            <w:noWrap w:val="0"/>
            <w:vAlign w:val="center"/>
          </w:tcPr>
          <w:p>
            <w:pPr>
              <w:rPr>
                <w:szCs w:val="21"/>
              </w:rPr>
            </w:pPr>
            <w:r>
              <w:rPr>
                <w:rFonts w:hint="eastAsia"/>
                <w:szCs w:val="21"/>
              </w:rPr>
              <w:t>服务</w:t>
            </w:r>
          </w:p>
        </w:tc>
        <w:tc>
          <w:tcPr>
            <w:tcW w:w="6946" w:type="dxa"/>
            <w:shd w:val="clear" w:color="auto" w:fill="auto"/>
            <w:noWrap w:val="0"/>
            <w:vAlign w:val="center"/>
          </w:tcPr>
          <w:p>
            <w:pPr>
              <w:pStyle w:val="46"/>
              <w:ind w:firstLine="0" w:firstLineChars="0"/>
              <w:jc w:val="both"/>
              <w:rPr>
                <w:sz w:val="21"/>
                <w:szCs w:val="21"/>
              </w:rPr>
            </w:pPr>
            <w:r>
              <w:rPr>
                <w:rFonts w:hint="eastAsia"/>
                <w:sz w:val="21"/>
                <w:szCs w:val="21"/>
              </w:rPr>
              <w:t>售后服务：以上</w:t>
            </w:r>
            <w:r>
              <w:rPr>
                <w:sz w:val="21"/>
                <w:szCs w:val="21"/>
              </w:rPr>
              <w:t>配件需与服务器和存储为</w:t>
            </w:r>
            <w:r>
              <w:rPr>
                <w:rFonts w:hint="eastAsia"/>
                <w:sz w:val="21"/>
                <w:szCs w:val="21"/>
              </w:rPr>
              <w:t>同一厂家</w:t>
            </w:r>
            <w:r>
              <w:rPr>
                <w:sz w:val="21"/>
                <w:szCs w:val="21"/>
              </w:rPr>
              <w:t>，并</w:t>
            </w:r>
            <w:r>
              <w:rPr>
                <w:rFonts w:hint="eastAsia"/>
                <w:sz w:val="21"/>
                <w:szCs w:val="21"/>
              </w:rPr>
              <w:t>提供</w:t>
            </w:r>
            <w:r>
              <w:rPr>
                <w:sz w:val="21"/>
                <w:szCs w:val="21"/>
              </w:rPr>
              <w:t>3</w:t>
            </w:r>
            <w:r>
              <w:rPr>
                <w:rFonts w:hint="eastAsia"/>
                <w:sz w:val="21"/>
                <w:szCs w:val="21"/>
              </w:rPr>
              <w:t>年</w:t>
            </w:r>
            <w:r>
              <w:rPr>
                <w:sz w:val="21"/>
                <w:szCs w:val="21"/>
              </w:rPr>
              <w:t>7*24</w:t>
            </w:r>
            <w:r>
              <w:rPr>
                <w:rFonts w:hint="eastAsia"/>
                <w:sz w:val="21"/>
                <w:szCs w:val="21"/>
              </w:rPr>
              <w:t>小时原厂免费上门服务，投标时提供原厂授权承诺函</w:t>
            </w:r>
          </w:p>
        </w:tc>
      </w:tr>
    </w:tbl>
    <w:p>
      <w:pPr>
        <w:spacing w:line="460" w:lineRule="exact"/>
        <w:rPr>
          <w:rFonts w:ascii="宋体" w:hAnsi="宋体"/>
          <w:szCs w:val="21"/>
        </w:rPr>
      </w:pPr>
    </w:p>
    <w:p>
      <w:pPr>
        <w:widowControl/>
        <w:jc w:val="left"/>
        <w:rPr>
          <w:rFonts w:hint="eastAsia" w:hAnsi="宋体"/>
          <w:b/>
          <w:bCs/>
          <w:sz w:val="24"/>
          <w:szCs w:val="24"/>
        </w:rPr>
      </w:pPr>
      <w:r>
        <w:rPr>
          <w:rFonts w:ascii="宋体" w:hAnsi="宋体" w:eastAsia="宋体" w:cs="宋体"/>
          <w:b/>
          <w:bCs/>
          <w:sz w:val="24"/>
          <w:szCs w:val="24"/>
        </w:rPr>
        <w:t>注：报价时必须注明或说明品牌中具体投标品牌，否则投标无效。</w:t>
      </w:r>
      <w:r>
        <w:rPr>
          <w:rFonts w:ascii="宋体" w:hAnsi="宋体" w:eastAsia="宋体" w:cs="宋体"/>
          <w:b/>
          <w:bCs/>
          <w:sz w:val="24"/>
          <w:szCs w:val="24"/>
        </w:rPr>
        <w:br w:type="textWrapping"/>
      </w:r>
      <w:r>
        <w:rPr>
          <w:rFonts w:ascii="宋体" w:hAnsi="宋体" w:eastAsia="宋体" w:cs="宋体"/>
          <w:b/>
          <w:bCs/>
          <w:sz w:val="24"/>
          <w:szCs w:val="24"/>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int="eastAsia" w:hAnsi="宋体"/>
          <w:b/>
          <w:bCs/>
          <w:sz w:val="28"/>
          <w:szCs w:val="28"/>
        </w:rPr>
      </w:pPr>
    </w:p>
    <w:p>
      <w:pPr>
        <w:widowControl/>
        <w:jc w:val="left"/>
        <w:rPr>
          <w:rFonts w:hint="eastAsia" w:hAnsi="宋体"/>
          <w:b/>
          <w:sz w:val="28"/>
          <w:szCs w:val="28"/>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p>
      <w:pPr>
        <w:widowControl/>
        <w:spacing w:line="360" w:lineRule="auto"/>
        <w:ind w:firstLine="482" w:firstLineChars="200"/>
        <w:textAlignment w:val="center"/>
        <w:rPr>
          <w:rFonts w:ascii="宋体" w:hAnsi="宋体"/>
          <w:b/>
          <w:sz w:val="28"/>
          <w:szCs w:val="28"/>
        </w:rPr>
      </w:pPr>
      <w:r>
        <w:rPr>
          <w:rFonts w:hint="eastAsia" w:ascii="宋体" w:hAnsi="宋体"/>
          <w:b/>
          <w:sz w:val="24"/>
        </w:rPr>
        <w:t>附件4：</w:t>
      </w:r>
      <w:r>
        <w:rPr>
          <w:rFonts w:hint="eastAsia" w:ascii="宋体" w:hAnsi="宋体"/>
          <w:b/>
          <w:sz w:val="28"/>
          <w:szCs w:val="28"/>
        </w:rPr>
        <w:t>服务要求</w:t>
      </w:r>
    </w:p>
    <w:bookmarkEnd w:id="9"/>
    <w:bookmarkEnd w:id="10"/>
    <w:p>
      <w:pPr>
        <w:widowControl/>
        <w:spacing w:line="360" w:lineRule="auto"/>
        <w:ind w:firstLine="480" w:firstLineChars="200"/>
        <w:textAlignment w:val="center"/>
        <w:rPr>
          <w:rFonts w:ascii="宋体" w:hAnsi="宋体"/>
          <w:bCs/>
          <w:sz w:val="24"/>
        </w:rPr>
      </w:pPr>
      <w:r>
        <w:rPr>
          <w:rFonts w:ascii="宋体" w:hAnsi="宋体"/>
          <w:bCs/>
          <w:sz w:val="24"/>
        </w:rPr>
        <w:t>1</w:t>
      </w:r>
      <w:r>
        <w:rPr>
          <w:rFonts w:hint="eastAsia" w:ascii="宋体" w:hAnsi="宋体"/>
          <w:bCs/>
          <w:sz w:val="24"/>
        </w:rPr>
        <w:t>、★质保期：提供三年</w:t>
      </w:r>
      <w:r>
        <w:rPr>
          <w:rFonts w:ascii="宋体" w:hAnsi="宋体"/>
          <w:bCs/>
          <w:sz w:val="24"/>
        </w:rPr>
        <w:t>原厂免费质保期（设备质保自现场验收合格之日算起，开始进入质保期）</w:t>
      </w:r>
      <w:r>
        <w:rPr>
          <w:rFonts w:hint="eastAsia" w:ascii="宋体" w:hAnsi="宋体"/>
          <w:bCs/>
          <w:sz w:val="24"/>
        </w:rPr>
        <w:t>，</w:t>
      </w:r>
      <w:r>
        <w:rPr>
          <w:rFonts w:ascii="宋体" w:hAnsi="宋体"/>
          <w:bCs/>
          <w:sz w:val="24"/>
        </w:rPr>
        <w:t>并能够对原有设备进行</w:t>
      </w:r>
      <w:r>
        <w:rPr>
          <w:rFonts w:hint="eastAsia" w:ascii="宋体" w:hAnsi="宋体"/>
          <w:bCs/>
          <w:sz w:val="24"/>
        </w:rPr>
        <w:t>兼容对接，实现资源</w:t>
      </w:r>
      <w:r>
        <w:rPr>
          <w:rFonts w:ascii="宋体" w:hAnsi="宋体"/>
          <w:bCs/>
          <w:sz w:val="24"/>
        </w:rPr>
        <w:t>的有效利用。</w:t>
      </w:r>
    </w:p>
    <w:p>
      <w:pPr>
        <w:widowControl/>
        <w:spacing w:line="360" w:lineRule="auto"/>
        <w:ind w:firstLine="480" w:firstLineChars="200"/>
        <w:textAlignment w:val="center"/>
        <w:rPr>
          <w:rFonts w:ascii="宋体" w:hAnsi="宋体"/>
          <w:bCs/>
          <w:sz w:val="24"/>
        </w:rPr>
      </w:pPr>
      <w:r>
        <w:rPr>
          <w:rFonts w:hint="eastAsia" w:ascii="宋体" w:hAnsi="宋体"/>
          <w:bCs/>
          <w:sz w:val="24"/>
        </w:rPr>
        <w:t>2、交货时间：签订合同后三十个日历日内完成供货、安装及相关调试，通过验收，交付使用。</w:t>
      </w:r>
    </w:p>
    <w:p>
      <w:pPr>
        <w:widowControl/>
        <w:spacing w:line="360" w:lineRule="auto"/>
        <w:ind w:firstLine="480" w:firstLineChars="200"/>
        <w:textAlignment w:val="center"/>
        <w:rPr>
          <w:rFonts w:ascii="宋体" w:hAnsi="宋体"/>
          <w:bCs/>
          <w:sz w:val="24"/>
        </w:rPr>
      </w:pPr>
      <w:r>
        <w:rPr>
          <w:rFonts w:hint="eastAsia" w:ascii="宋体" w:hAnsi="宋体"/>
          <w:bCs/>
          <w:sz w:val="24"/>
        </w:rPr>
        <w:t>3、培训要求：供应商应提供免费培训服务，时间和地点与用户协商，保证培训完成后用户可以独立使用设备及完成简单故障的诊断与处理。</w:t>
      </w:r>
    </w:p>
    <w:p>
      <w:pPr>
        <w:widowControl/>
        <w:spacing w:line="360" w:lineRule="auto"/>
        <w:ind w:firstLine="480" w:firstLineChars="200"/>
        <w:textAlignment w:val="center"/>
        <w:rPr>
          <w:rFonts w:ascii="宋体" w:hAnsi="宋体"/>
          <w:bCs/>
          <w:sz w:val="24"/>
        </w:rPr>
      </w:pPr>
      <w:r>
        <w:rPr>
          <w:rFonts w:ascii="宋体" w:hAnsi="宋体"/>
          <w:bCs/>
          <w:sz w:val="24"/>
        </w:rPr>
        <w:t>4</w:t>
      </w:r>
      <w:r>
        <w:rPr>
          <w:rFonts w:hint="eastAsia" w:ascii="宋体" w:hAnsi="宋体"/>
          <w:bCs/>
          <w:sz w:val="24"/>
        </w:rPr>
        <w:t>、售后服务响应要求：在保修期内每季度回访，有问题做到及时处理，出现质量问题或故障时，响应时间为4小时，遇到紧急突发事件远程无法解决，工程师应在8小时内到达现场并排除故障。</w:t>
      </w:r>
    </w:p>
    <w:p>
      <w:pPr>
        <w:widowControl/>
        <w:spacing w:line="360" w:lineRule="auto"/>
        <w:ind w:firstLine="480" w:firstLineChars="200"/>
        <w:textAlignment w:val="center"/>
        <w:rPr>
          <w:rFonts w:ascii="宋体" w:hAnsi="宋体"/>
          <w:bCs/>
          <w:sz w:val="24"/>
        </w:rPr>
      </w:pPr>
      <w:r>
        <w:rPr>
          <w:rFonts w:hint="eastAsia" w:ascii="宋体" w:hAnsi="宋体"/>
          <w:bCs/>
          <w:sz w:val="24"/>
        </w:rPr>
        <w:t>5、实施要求：整个项目为交钥匙工程，供应商要在提供完整、可靠设备的同时，为整个系统提供规范、达标的项目安装工作。安装所需的必要仪器和专用工具由供应商自备。项目完工后，通过供应商提供的设备和安装服务，能满足采购人的要求。供应商应充分考虑配电，机房，布线等各方面的需求，根据本次提供的主要硬件清单在投标文件中自行编制能符合主流的整体架构方案，如因缺少部分硬件设备、接插件、模块、链路等重要因素导致系统无法联调或可能影响整体业务系统正常运行的，供应商必须在投标文件中明示提出并将清单完善补足，费用包含在项目投标总价中，否则视为供应商完全理解项目需求和内容，如实施过程中发现上述问题则由中标供应商免费解决，完整配置保证系统能正常运行的内容不仅包括业务系统及硬件设备，还应包含相关软件安装调试、硬件及配件、线缆、人力、保险、运输、不可预计费用等，并安装调试完成直至正常运行。</w:t>
      </w: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pStyle w:val="2"/>
        <w:ind w:left="0" w:leftChars="0" w:right="1470"/>
      </w:pPr>
    </w:p>
    <w:p>
      <w:pPr>
        <w:adjustRightInd w:val="0"/>
        <w:snapToGrid w:val="0"/>
        <w:spacing w:line="360" w:lineRule="auto"/>
        <w:rPr>
          <w:rFonts w:asci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2" w:firstLineChars="200"/>
        <w:rPr>
          <w:rFonts w:ascii="宋体" w:hAnsi="宋体"/>
          <w:b/>
          <w:bCs/>
          <w:sz w:val="24"/>
        </w:rPr>
      </w:pPr>
      <w:r>
        <w:rPr>
          <w:rFonts w:hint="eastAsia" w:ascii="宋体" w:hAnsi="宋体"/>
          <w:b/>
          <w:bCs/>
          <w:sz w:val="24"/>
        </w:rPr>
        <w:t>本项目采用综合评分法，总分为：</w:t>
      </w:r>
      <w:r>
        <w:rPr>
          <w:rFonts w:ascii="宋体" w:hAnsi="宋体"/>
          <w:b/>
          <w:bCs/>
          <w:sz w:val="24"/>
        </w:rPr>
        <w:t>100</w:t>
      </w:r>
      <w:r>
        <w:rPr>
          <w:rFonts w:hint="eastAsia" w:ascii="宋体" w:hAnsi="宋体"/>
          <w:b/>
          <w:bCs/>
          <w:sz w:val="24"/>
        </w:rPr>
        <w:t>分。</w:t>
      </w:r>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350"/>
        <w:gridCol w:w="539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b/>
                <w:szCs w:val="21"/>
              </w:rPr>
            </w:pPr>
            <w:r>
              <w:rPr>
                <w:rFonts w:hint="eastAsia" w:ascii="宋体" w:hAnsi="宋体"/>
                <w:b/>
                <w:szCs w:val="21"/>
              </w:rPr>
              <w:t>序号</w:t>
            </w:r>
          </w:p>
        </w:tc>
        <w:tc>
          <w:tcPr>
            <w:tcW w:w="1350" w:type="dxa"/>
            <w:noWrap w:val="0"/>
            <w:vAlign w:val="center"/>
          </w:tcPr>
          <w:p>
            <w:pPr>
              <w:jc w:val="center"/>
              <w:rPr>
                <w:rFonts w:ascii="宋体" w:hAnsi="宋体"/>
                <w:b/>
                <w:szCs w:val="21"/>
              </w:rPr>
            </w:pPr>
            <w:r>
              <w:rPr>
                <w:rFonts w:hint="eastAsia" w:ascii="宋体" w:hAnsi="宋体"/>
                <w:b/>
                <w:szCs w:val="21"/>
              </w:rPr>
              <w:t>评审因素</w:t>
            </w:r>
          </w:p>
        </w:tc>
        <w:tc>
          <w:tcPr>
            <w:tcW w:w="5394" w:type="dxa"/>
            <w:noWrap w:val="0"/>
            <w:vAlign w:val="center"/>
          </w:tcPr>
          <w:p>
            <w:pPr>
              <w:jc w:val="center"/>
              <w:rPr>
                <w:rFonts w:ascii="宋体" w:hAnsi="宋体"/>
                <w:b/>
                <w:szCs w:val="21"/>
              </w:rPr>
            </w:pPr>
            <w:r>
              <w:rPr>
                <w:rFonts w:hint="eastAsia" w:ascii="宋体" w:hAnsi="宋体"/>
                <w:b/>
                <w:szCs w:val="21"/>
              </w:rPr>
              <w:t>评审细则</w:t>
            </w:r>
          </w:p>
        </w:tc>
        <w:tc>
          <w:tcPr>
            <w:tcW w:w="1096" w:type="dxa"/>
            <w:noWrap w:val="0"/>
            <w:vAlign w:val="center"/>
          </w:tcPr>
          <w:p>
            <w:pPr>
              <w:jc w:val="center"/>
              <w:rPr>
                <w:rFonts w:ascii="宋体" w:hAnsi="宋体"/>
                <w:b/>
                <w:szCs w:val="21"/>
              </w:rPr>
            </w:pPr>
            <w:r>
              <w:rPr>
                <w:rFonts w:hint="eastAsia" w:ascii="宋体" w:hAnsi="宋体"/>
                <w:b/>
                <w:szCs w:val="21"/>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1.1</w:t>
            </w:r>
          </w:p>
        </w:tc>
        <w:tc>
          <w:tcPr>
            <w:tcW w:w="1350" w:type="dxa"/>
            <w:noWrap w:val="0"/>
            <w:vAlign w:val="center"/>
          </w:tcPr>
          <w:p>
            <w:pPr>
              <w:jc w:val="center"/>
              <w:rPr>
                <w:rFonts w:ascii="宋体" w:hAnsi="宋体"/>
                <w:szCs w:val="21"/>
              </w:rPr>
            </w:pPr>
            <w:r>
              <w:rPr>
                <w:rFonts w:hint="eastAsia" w:ascii="宋体" w:hAnsi="宋体"/>
                <w:szCs w:val="21"/>
              </w:rPr>
              <w:t>价格</w:t>
            </w:r>
          </w:p>
        </w:tc>
        <w:tc>
          <w:tcPr>
            <w:tcW w:w="5394" w:type="dxa"/>
            <w:noWrap w:val="0"/>
            <w:vAlign w:val="center"/>
          </w:tcPr>
          <w:p>
            <w:pPr>
              <w:rPr>
                <w:rFonts w:ascii="宋体" w:hAnsi="宋体"/>
                <w:szCs w:val="21"/>
              </w:rPr>
            </w:pPr>
            <w:r>
              <w:rPr>
                <w:rFonts w:hint="eastAsia" w:ascii="宋体" w:hAnsi="宋体"/>
                <w:szCs w:val="21"/>
              </w:rPr>
              <w:t>采用低价优先法计算，即满足招标文件要求且投标价格最</w:t>
            </w:r>
            <w:r>
              <w:rPr>
                <w:rFonts w:ascii="宋体" w:hAnsi="宋体"/>
                <w:szCs w:val="21"/>
              </w:rPr>
              <w:t xml:space="preserve"> </w:t>
            </w:r>
            <w:r>
              <w:rPr>
                <w:rFonts w:hint="eastAsia" w:ascii="宋体" w:hAnsi="宋体"/>
                <w:szCs w:val="21"/>
              </w:rPr>
              <w:t>低的投标报价为评标基准价，其价格分为满分。其他投标人的价格分统一按照下列公式计算：投标报价得分</w:t>
            </w:r>
            <w:r>
              <w:rPr>
                <w:rFonts w:ascii="宋体" w:hAnsi="宋体"/>
                <w:szCs w:val="21"/>
              </w:rPr>
              <w:t>=(</w:t>
            </w:r>
            <w:r>
              <w:rPr>
                <w:rFonts w:hint="eastAsia" w:ascii="宋体" w:hAnsi="宋体"/>
                <w:szCs w:val="21"/>
              </w:rPr>
              <w:t>评标基准价</w:t>
            </w:r>
            <w:r>
              <w:rPr>
                <w:rFonts w:ascii="宋体" w:hAnsi="宋体"/>
                <w:szCs w:val="21"/>
              </w:rPr>
              <w:t>/</w:t>
            </w:r>
            <w:r>
              <w:rPr>
                <w:rFonts w:hint="eastAsia" w:ascii="宋体" w:hAnsi="宋体"/>
                <w:szCs w:val="21"/>
              </w:rPr>
              <w:t>投标报价</w:t>
            </w:r>
            <w:r>
              <w:rPr>
                <w:rFonts w:ascii="宋体" w:hAnsi="宋体"/>
                <w:szCs w:val="21"/>
              </w:rPr>
              <w:t>)</w:t>
            </w:r>
            <w:r>
              <w:rPr>
                <w:rFonts w:hint="eastAsia" w:ascii="宋体" w:hAnsi="宋体"/>
                <w:szCs w:val="21"/>
              </w:rPr>
              <w:t>×</w:t>
            </w:r>
            <w:r>
              <w:rPr>
                <w:rFonts w:ascii="宋体" w:hAnsi="宋体"/>
                <w:szCs w:val="21"/>
              </w:rPr>
              <w:t>35.00</w:t>
            </w:r>
          </w:p>
        </w:tc>
        <w:tc>
          <w:tcPr>
            <w:tcW w:w="1096" w:type="dxa"/>
            <w:noWrap w:val="0"/>
            <w:vAlign w:val="center"/>
          </w:tcPr>
          <w:p>
            <w:pPr>
              <w:jc w:val="center"/>
              <w:rPr>
                <w:rFonts w:ascii="宋体" w:hAnsi="宋体"/>
                <w:szCs w:val="21"/>
              </w:rPr>
            </w:pPr>
            <w:r>
              <w:rPr>
                <w:rFonts w:ascii="宋体" w:hAnsi="宋体"/>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2.1</w:t>
            </w:r>
          </w:p>
        </w:tc>
        <w:tc>
          <w:tcPr>
            <w:tcW w:w="1350" w:type="dxa"/>
            <w:noWrap w:val="0"/>
            <w:vAlign w:val="center"/>
          </w:tcPr>
          <w:p>
            <w:pPr>
              <w:jc w:val="center"/>
              <w:rPr>
                <w:rFonts w:ascii="宋体" w:hAnsi="宋体"/>
                <w:szCs w:val="21"/>
              </w:rPr>
            </w:pPr>
            <w:r>
              <w:rPr>
                <w:rFonts w:hint="eastAsia" w:ascii="宋体" w:hAnsi="宋体"/>
                <w:szCs w:val="21"/>
              </w:rPr>
              <w:t>技术性能指标响应程度</w:t>
            </w:r>
          </w:p>
        </w:tc>
        <w:tc>
          <w:tcPr>
            <w:tcW w:w="5394" w:type="dxa"/>
            <w:noWrap w:val="0"/>
            <w:vAlign w:val="center"/>
          </w:tcPr>
          <w:p>
            <w:pPr>
              <w:rPr>
                <w:rFonts w:ascii="宋体" w:hAnsi="宋体"/>
                <w:szCs w:val="21"/>
              </w:rPr>
            </w:pPr>
            <w:r>
              <w:rPr>
                <w:rFonts w:hint="eastAsia" w:ascii="宋体" w:hAnsi="宋体"/>
                <w:szCs w:val="21"/>
              </w:rPr>
              <w:t>投标文件中所投产品的技术参数全部满足招标文件的得</w:t>
            </w:r>
            <w:r>
              <w:rPr>
                <w:rFonts w:ascii="宋体" w:hAnsi="宋体"/>
                <w:szCs w:val="21"/>
              </w:rPr>
              <w:t xml:space="preserve">40 </w:t>
            </w:r>
            <w:r>
              <w:rPr>
                <w:rFonts w:hint="eastAsia" w:ascii="宋体" w:hAnsi="宋体"/>
                <w:szCs w:val="21"/>
              </w:rPr>
              <w:t>分；打★号指标为必须满足项，如有负偏离将作为无效投标；非打★号指标，有一项负偏离扣</w:t>
            </w:r>
            <w:r>
              <w:rPr>
                <w:rFonts w:ascii="宋体" w:hAnsi="宋体"/>
                <w:szCs w:val="21"/>
              </w:rPr>
              <w:t>5</w:t>
            </w:r>
            <w:r>
              <w:rPr>
                <w:rFonts w:hint="eastAsia" w:ascii="宋体" w:hAnsi="宋体"/>
                <w:szCs w:val="21"/>
              </w:rPr>
              <w:t>分，扣完为止。严重负偏离经评标委员会认定影响整个系统正常运行，则该投标方案无效。</w:t>
            </w:r>
          </w:p>
        </w:tc>
        <w:tc>
          <w:tcPr>
            <w:tcW w:w="1096" w:type="dxa"/>
            <w:noWrap w:val="0"/>
            <w:vAlign w:val="center"/>
          </w:tcPr>
          <w:p>
            <w:pPr>
              <w:jc w:val="center"/>
              <w:rPr>
                <w:rFonts w:ascii="宋体" w:hAnsi="宋体"/>
                <w:szCs w:val="21"/>
              </w:rPr>
            </w:pPr>
            <w:r>
              <w:rPr>
                <w:rFonts w:ascii="宋体" w:hAnsi="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jc w:val="left"/>
              <w:rPr>
                <w:rFonts w:hint="eastAsia" w:ascii="宋体" w:hAnsi="宋体"/>
                <w:szCs w:val="21"/>
              </w:rPr>
            </w:pPr>
            <w:r>
              <w:rPr>
                <w:rFonts w:hint="eastAsia" w:ascii="宋体" w:hAnsi="宋体"/>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3.1</w:t>
            </w:r>
          </w:p>
        </w:tc>
        <w:tc>
          <w:tcPr>
            <w:tcW w:w="1350" w:type="dxa"/>
            <w:noWrap w:val="0"/>
            <w:vAlign w:val="center"/>
          </w:tcPr>
          <w:p>
            <w:pPr>
              <w:jc w:val="center"/>
              <w:rPr>
                <w:rFonts w:hint="eastAsia" w:ascii="宋体" w:hAnsi="宋体" w:cs="宋体"/>
                <w:kern w:val="0"/>
                <w:szCs w:val="21"/>
              </w:rPr>
            </w:pPr>
            <w:r>
              <w:rPr>
                <w:rFonts w:hint="eastAsia" w:ascii="宋体" w:hAnsi="宋体" w:cs="宋体"/>
                <w:kern w:val="0"/>
                <w:szCs w:val="21"/>
              </w:rPr>
              <w:t>售后服务综合评价</w:t>
            </w:r>
          </w:p>
        </w:tc>
        <w:tc>
          <w:tcPr>
            <w:tcW w:w="5394" w:type="dxa"/>
            <w:noWrap w:val="0"/>
            <w:vAlign w:val="center"/>
          </w:tcPr>
          <w:p>
            <w:pPr>
              <w:jc w:val="left"/>
              <w:rPr>
                <w:rFonts w:hint="eastAsia" w:ascii="宋体" w:hAnsi="宋体"/>
                <w:szCs w:val="21"/>
              </w:rPr>
            </w:pPr>
            <w:r>
              <w:rPr>
                <w:rFonts w:hint="eastAsia" w:ascii="宋体" w:hAnsi="宋体"/>
                <w:szCs w:val="21"/>
              </w:rPr>
              <w:t>评委根据投标人提供的项目实施方案、安装调试计划，安装调试人员配置、服务内容、专业技术人员保障及服务电话、用户培训方案等综合评分, 优秀的得</w:t>
            </w:r>
            <w:r>
              <w:rPr>
                <w:rFonts w:ascii="宋体" w:hAnsi="宋体"/>
                <w:szCs w:val="21"/>
              </w:rPr>
              <w:t>9</w:t>
            </w:r>
            <w:r>
              <w:rPr>
                <w:rFonts w:hint="eastAsia" w:ascii="宋体" w:hAnsi="宋体"/>
                <w:szCs w:val="21"/>
              </w:rPr>
              <w:t>-1</w:t>
            </w:r>
            <w:r>
              <w:rPr>
                <w:rFonts w:ascii="宋体" w:hAnsi="宋体"/>
                <w:szCs w:val="21"/>
              </w:rPr>
              <w:t>2</w:t>
            </w:r>
            <w:r>
              <w:rPr>
                <w:rFonts w:hint="eastAsia" w:ascii="宋体" w:hAnsi="宋体"/>
                <w:szCs w:val="21"/>
              </w:rPr>
              <w:t>分，良好的得</w:t>
            </w:r>
            <w:r>
              <w:rPr>
                <w:rFonts w:ascii="宋体" w:hAnsi="宋体"/>
                <w:szCs w:val="21"/>
              </w:rPr>
              <w:t>5</w:t>
            </w:r>
            <w:r>
              <w:rPr>
                <w:rFonts w:hint="eastAsia" w:ascii="宋体" w:hAnsi="宋体"/>
                <w:szCs w:val="21"/>
              </w:rPr>
              <w:t>-</w:t>
            </w:r>
            <w:r>
              <w:rPr>
                <w:rFonts w:ascii="宋体" w:hAnsi="宋体"/>
                <w:szCs w:val="21"/>
              </w:rPr>
              <w:t>8</w:t>
            </w:r>
            <w:r>
              <w:rPr>
                <w:rFonts w:hint="eastAsia" w:ascii="宋体" w:hAnsi="宋体"/>
                <w:szCs w:val="21"/>
              </w:rPr>
              <w:t>分，一般的得1-</w:t>
            </w:r>
            <w:r>
              <w:rPr>
                <w:rFonts w:ascii="宋体" w:hAnsi="宋体"/>
                <w:szCs w:val="21"/>
              </w:rPr>
              <w:t>4</w:t>
            </w:r>
            <w:r>
              <w:rPr>
                <w:rFonts w:hint="eastAsia" w:ascii="宋体" w:hAnsi="宋体"/>
                <w:szCs w:val="21"/>
              </w:rPr>
              <w:t>分。不提供不得分。</w:t>
            </w:r>
          </w:p>
        </w:tc>
        <w:tc>
          <w:tcPr>
            <w:tcW w:w="1096" w:type="dxa"/>
            <w:noWrap w:val="0"/>
            <w:vAlign w:val="center"/>
          </w:tcPr>
          <w:p>
            <w:pPr>
              <w:jc w:val="center"/>
              <w:rPr>
                <w:rFonts w:hint="eastAsia" w:ascii="宋体" w:hAnsi="宋体"/>
                <w:szCs w:val="21"/>
              </w:rPr>
            </w:pPr>
            <w:r>
              <w:rPr>
                <w:rFonts w:hint="eastAsia" w:ascii="宋体" w:hAnsi="宋体"/>
                <w:szCs w:val="21"/>
              </w:rPr>
              <w:t>1</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4.1</w:t>
            </w:r>
          </w:p>
        </w:tc>
        <w:tc>
          <w:tcPr>
            <w:tcW w:w="1350" w:type="dxa"/>
            <w:noWrap w:val="0"/>
            <w:vAlign w:val="center"/>
          </w:tcPr>
          <w:p>
            <w:pPr>
              <w:jc w:val="center"/>
              <w:rPr>
                <w:rFonts w:ascii="宋体" w:hAnsi="宋体"/>
                <w:szCs w:val="21"/>
              </w:rPr>
            </w:pPr>
            <w:r>
              <w:rPr>
                <w:rFonts w:hint="eastAsia" w:ascii="宋体" w:hAnsi="宋体"/>
                <w:szCs w:val="21"/>
              </w:rPr>
              <w:t>业绩</w:t>
            </w:r>
          </w:p>
        </w:tc>
        <w:tc>
          <w:tcPr>
            <w:tcW w:w="5394" w:type="dxa"/>
            <w:noWrap w:val="0"/>
            <w:vAlign w:val="center"/>
          </w:tcPr>
          <w:p>
            <w:pPr>
              <w:rPr>
                <w:rFonts w:ascii="宋体" w:hAnsi="宋体"/>
                <w:szCs w:val="21"/>
              </w:rPr>
            </w:pPr>
            <w:r>
              <w:rPr>
                <w:rFonts w:hint="eastAsia" w:ascii="宋体" w:hAnsi="宋体"/>
                <w:szCs w:val="21"/>
              </w:rPr>
              <w:t>供应商提供自</w:t>
            </w:r>
            <w:r>
              <w:rPr>
                <w:rFonts w:ascii="宋体" w:hAnsi="宋体"/>
                <w:szCs w:val="21"/>
              </w:rPr>
              <w:t>2018年1月1日以来类似</w:t>
            </w:r>
            <w:r>
              <w:rPr>
                <w:rFonts w:hint="eastAsia" w:ascii="宋体" w:hAnsi="宋体"/>
                <w:szCs w:val="21"/>
              </w:rPr>
              <w:t>项目案例的，每个得</w:t>
            </w:r>
            <w:r>
              <w:rPr>
                <w:rFonts w:ascii="宋体" w:hAnsi="宋体"/>
                <w:szCs w:val="21"/>
              </w:rPr>
              <w:t>1</w:t>
            </w:r>
            <w:r>
              <w:rPr>
                <w:rFonts w:hint="eastAsia" w:ascii="宋体" w:hAnsi="宋体"/>
                <w:szCs w:val="21"/>
              </w:rPr>
              <w:t>分，最高得6分；需提供加盖公章</w:t>
            </w:r>
            <w:r>
              <w:rPr>
                <w:rFonts w:ascii="宋体" w:hAnsi="宋体"/>
                <w:szCs w:val="21"/>
              </w:rPr>
              <w:t>的</w:t>
            </w:r>
            <w:r>
              <w:rPr>
                <w:rFonts w:hint="eastAsia" w:ascii="宋体" w:hAnsi="宋体"/>
                <w:szCs w:val="21"/>
              </w:rPr>
              <w:t>合同复印件，原件备查。</w:t>
            </w:r>
          </w:p>
        </w:tc>
        <w:tc>
          <w:tcPr>
            <w:tcW w:w="1096" w:type="dxa"/>
            <w:noWrap w:val="0"/>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rPr>
                <w:rFonts w:ascii="宋体" w:hAnsi="宋体"/>
                <w:szCs w:val="21"/>
              </w:rPr>
            </w:pPr>
            <w:r>
              <w:rPr>
                <w:rFonts w:hint="eastAsia" w:ascii="宋体" w:hAnsi="宋体"/>
                <w:szCs w:val="21"/>
              </w:rPr>
              <w:t>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5</w:t>
            </w:r>
            <w:r>
              <w:rPr>
                <w:rFonts w:hint="eastAsia" w:ascii="宋体" w:hAnsi="宋体"/>
                <w:szCs w:val="21"/>
              </w:rPr>
              <w:t>.</w:t>
            </w:r>
            <w:r>
              <w:rPr>
                <w:rFonts w:ascii="宋体" w:hAnsi="宋体"/>
                <w:szCs w:val="21"/>
              </w:rPr>
              <w:t>1</w:t>
            </w:r>
          </w:p>
        </w:tc>
        <w:tc>
          <w:tcPr>
            <w:tcW w:w="1350" w:type="dxa"/>
            <w:noWrap w:val="0"/>
            <w:vAlign w:val="center"/>
          </w:tcPr>
          <w:p>
            <w:pPr>
              <w:jc w:val="center"/>
              <w:rPr>
                <w:rFonts w:ascii="宋体" w:hAnsi="宋体"/>
                <w:szCs w:val="21"/>
              </w:rPr>
            </w:pPr>
            <w:r>
              <w:rPr>
                <w:rFonts w:ascii="宋体" w:hAnsi="宋体"/>
                <w:szCs w:val="21"/>
              </w:rPr>
              <w:t>信誉</w:t>
            </w:r>
          </w:p>
        </w:tc>
        <w:tc>
          <w:tcPr>
            <w:tcW w:w="5394" w:type="dxa"/>
            <w:noWrap w:val="0"/>
            <w:vAlign w:val="center"/>
          </w:tcPr>
          <w:p>
            <w:pPr>
              <w:autoSpaceDE w:val="0"/>
              <w:autoSpaceDN w:val="0"/>
              <w:adjustRightInd w:val="0"/>
              <w:jc w:val="left"/>
              <w:rPr>
                <w:rFonts w:ascii="宋体" w:hAnsi="宋体"/>
                <w:szCs w:val="21"/>
              </w:rPr>
            </w:pPr>
            <w:r>
              <w:rPr>
                <w:rFonts w:ascii="宋体" w:hAnsi="宋体"/>
                <w:szCs w:val="21"/>
              </w:rPr>
              <w:t>投标人提供信用评级机构出具的信用评级报告为AAA级的 得</w:t>
            </w:r>
            <w:r>
              <w:rPr>
                <w:rFonts w:hint="eastAsia" w:ascii="宋体" w:hAnsi="宋体"/>
                <w:szCs w:val="21"/>
              </w:rPr>
              <w:t>3</w:t>
            </w:r>
            <w:r>
              <w:rPr>
                <w:rFonts w:ascii="宋体" w:hAnsi="宋体"/>
                <w:szCs w:val="21"/>
              </w:rPr>
              <w:t>分，AA级的得</w:t>
            </w:r>
            <w:r>
              <w:rPr>
                <w:rFonts w:hint="eastAsia" w:ascii="宋体" w:hAnsi="宋体"/>
                <w:szCs w:val="21"/>
              </w:rPr>
              <w:t>2</w:t>
            </w:r>
            <w:r>
              <w:rPr>
                <w:rFonts w:ascii="宋体" w:hAnsi="宋体"/>
                <w:szCs w:val="21"/>
              </w:rPr>
              <w:t>分，A级</w:t>
            </w:r>
            <w:r>
              <w:rPr>
                <w:rFonts w:hint="eastAsia" w:ascii="宋体" w:hAnsi="宋体"/>
                <w:szCs w:val="21"/>
              </w:rPr>
              <w:t>得1分</w:t>
            </w:r>
            <w:r>
              <w:rPr>
                <w:rFonts w:ascii="宋体" w:hAnsi="宋体"/>
                <w:szCs w:val="21"/>
              </w:rPr>
              <w:t>。（</w:t>
            </w:r>
            <w:r>
              <w:t>提供证书复印件</w:t>
            </w:r>
            <w:r>
              <w:rPr>
                <w:rFonts w:ascii="宋体" w:hAnsi="宋体"/>
                <w:szCs w:val="21"/>
              </w:rPr>
              <w:t>）。</w:t>
            </w:r>
          </w:p>
        </w:tc>
        <w:tc>
          <w:tcPr>
            <w:tcW w:w="1096" w:type="dxa"/>
            <w:noWrap w:val="0"/>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ascii="宋体" w:hAnsi="宋体"/>
                <w:szCs w:val="21"/>
              </w:rPr>
              <w:t>5</w:t>
            </w:r>
            <w:r>
              <w:rPr>
                <w:rFonts w:hint="eastAsia" w:ascii="宋体" w:hAnsi="宋体"/>
                <w:szCs w:val="21"/>
              </w:rPr>
              <w:t>.</w:t>
            </w:r>
            <w:r>
              <w:rPr>
                <w:rFonts w:ascii="宋体" w:hAnsi="宋体"/>
                <w:szCs w:val="21"/>
              </w:rPr>
              <w:t>2</w:t>
            </w:r>
          </w:p>
        </w:tc>
        <w:tc>
          <w:tcPr>
            <w:tcW w:w="1350" w:type="dxa"/>
            <w:noWrap w:val="0"/>
            <w:vAlign w:val="center"/>
          </w:tcPr>
          <w:p>
            <w:pPr>
              <w:jc w:val="center"/>
              <w:rPr>
                <w:rFonts w:ascii="宋体" w:hAnsi="宋体"/>
                <w:szCs w:val="21"/>
              </w:rPr>
            </w:pPr>
            <w:r>
              <w:rPr>
                <w:rFonts w:hint="eastAsia" w:ascii="宋体" w:hAnsi="宋体"/>
                <w:szCs w:val="21"/>
              </w:rPr>
              <w:t>履约能力</w:t>
            </w:r>
          </w:p>
        </w:tc>
        <w:tc>
          <w:tcPr>
            <w:tcW w:w="5394" w:type="dxa"/>
            <w:noWrap w:val="0"/>
            <w:vAlign w:val="center"/>
          </w:tcPr>
          <w:p>
            <w:pPr>
              <w:autoSpaceDE w:val="0"/>
              <w:autoSpaceDN w:val="0"/>
              <w:adjustRightInd w:val="0"/>
              <w:jc w:val="left"/>
              <w:rPr>
                <w:rFonts w:ascii="宋体" w:hAnsi="宋体"/>
                <w:szCs w:val="21"/>
              </w:rPr>
            </w:pPr>
            <w:r>
              <w:rPr>
                <w:rFonts w:hint="eastAsia" w:ascii="宋体" w:hAnsi="宋体"/>
                <w:szCs w:val="21"/>
              </w:rPr>
              <w:t>供应商提供原厂针对</w:t>
            </w:r>
            <w:r>
              <w:rPr>
                <w:rFonts w:ascii="宋体" w:hAnsi="宋体"/>
                <w:szCs w:val="21"/>
              </w:rPr>
              <w:t>本项目的</w:t>
            </w:r>
            <w:r>
              <w:rPr>
                <w:rFonts w:hint="eastAsia" w:ascii="宋体" w:hAnsi="宋体"/>
                <w:szCs w:val="21"/>
              </w:rPr>
              <w:t>售后服务承诺得2分。</w:t>
            </w:r>
          </w:p>
        </w:tc>
        <w:tc>
          <w:tcPr>
            <w:tcW w:w="1096" w:type="dxa"/>
            <w:noWrap w:val="0"/>
            <w:vAlign w:val="center"/>
          </w:tcPr>
          <w:p>
            <w:pPr>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noWrap w:val="0"/>
            <w:vAlign w:val="center"/>
          </w:tcPr>
          <w:p>
            <w:pPr>
              <w:jc w:val="left"/>
              <w:rPr>
                <w:rFonts w:ascii="宋体" w:hAnsi="宋体"/>
                <w:szCs w:val="21"/>
              </w:rPr>
            </w:pPr>
            <w:r>
              <w:rPr>
                <w:rFonts w:hint="eastAsia" w:ascii="宋体" w:hAnsi="宋体"/>
                <w:szCs w:val="21"/>
              </w:rPr>
              <w:t>投标文件制作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noWrap w:val="0"/>
            <w:vAlign w:val="center"/>
          </w:tcPr>
          <w:p>
            <w:pPr>
              <w:jc w:val="center"/>
              <w:rPr>
                <w:rFonts w:ascii="宋体" w:hAnsi="宋体"/>
                <w:szCs w:val="21"/>
              </w:rPr>
            </w:pPr>
            <w:r>
              <w:rPr>
                <w:rFonts w:hint="eastAsia" w:ascii="宋体" w:hAnsi="宋体"/>
                <w:szCs w:val="21"/>
              </w:rPr>
              <w:t>6.1</w:t>
            </w:r>
          </w:p>
        </w:tc>
        <w:tc>
          <w:tcPr>
            <w:tcW w:w="1350" w:type="dxa"/>
            <w:noWrap w:val="0"/>
            <w:vAlign w:val="center"/>
          </w:tcPr>
          <w:p>
            <w:pPr>
              <w:jc w:val="center"/>
              <w:rPr>
                <w:rFonts w:ascii="宋体" w:hAnsi="宋体"/>
                <w:szCs w:val="21"/>
              </w:rPr>
            </w:pPr>
            <w:r>
              <w:rPr>
                <w:rFonts w:hint="eastAsia" w:ascii="宋体" w:hAnsi="宋体"/>
                <w:szCs w:val="21"/>
              </w:rPr>
              <w:t>投标文件便于评审</w:t>
            </w:r>
          </w:p>
        </w:tc>
        <w:tc>
          <w:tcPr>
            <w:tcW w:w="5394" w:type="dxa"/>
            <w:noWrap w:val="0"/>
            <w:vAlign w:val="center"/>
          </w:tcPr>
          <w:p>
            <w:pPr>
              <w:spacing w:line="360" w:lineRule="auto"/>
              <w:rPr>
                <w:rFonts w:ascii="宋体" w:hAnsi="宋体"/>
                <w:szCs w:val="21"/>
              </w:rPr>
            </w:pPr>
            <w:r>
              <w:rPr>
                <w:rFonts w:hint="eastAsia" w:ascii="宋体" w:hAnsi="宋体"/>
                <w:szCs w:val="21"/>
              </w:rPr>
              <w:t>投标文件目录、页码齐全得1分；目录与页码能准确对应得1分。</w:t>
            </w:r>
          </w:p>
        </w:tc>
        <w:tc>
          <w:tcPr>
            <w:tcW w:w="1096" w:type="dxa"/>
            <w:noWrap w:val="0"/>
            <w:vAlign w:val="center"/>
          </w:tcPr>
          <w:p>
            <w:pPr>
              <w:jc w:val="center"/>
              <w:rPr>
                <w:rFonts w:ascii="宋体" w:hAnsi="宋体"/>
                <w:szCs w:val="21"/>
              </w:rPr>
            </w:pPr>
            <w:r>
              <w:rPr>
                <w:rFonts w:hint="eastAsia" w:ascii="宋体" w:hAnsi="宋体"/>
                <w:szCs w:val="21"/>
              </w:rPr>
              <w:t>2</w:t>
            </w:r>
          </w:p>
        </w:tc>
      </w:tr>
    </w:tbl>
    <w:p>
      <w:pPr>
        <w:widowControl/>
        <w:jc w:val="left"/>
        <w:rPr>
          <w:rFonts w:ascii="宋体" w:cs="仿宋"/>
          <w:sz w:val="28"/>
          <w:szCs w:val="28"/>
        </w:rPr>
      </w:pPr>
    </w:p>
    <w:p>
      <w:pPr>
        <w:pStyle w:val="2"/>
        <w:rPr>
          <w:rFonts w:ascii="宋体" w:cs="仿宋"/>
          <w:sz w:val="28"/>
          <w:szCs w:val="28"/>
        </w:rPr>
      </w:pPr>
    </w:p>
    <w:p>
      <w:pPr>
        <w:pStyle w:val="2"/>
        <w:rPr>
          <w:rFonts w:ascii="宋体" w:cs="仿宋"/>
          <w:sz w:val="28"/>
          <w:szCs w:val="28"/>
        </w:rPr>
      </w:pPr>
    </w:p>
    <w:p>
      <w:pPr>
        <w:pStyle w:val="2"/>
        <w:rPr>
          <w:rFonts w:ascii="宋体" w:cs="仿宋"/>
          <w:sz w:val="28"/>
          <w:szCs w:val="28"/>
        </w:rPr>
      </w:pPr>
    </w:p>
    <w:p>
      <w:pPr>
        <w:pStyle w:val="2"/>
        <w:rPr>
          <w:rFonts w:ascii="宋体" w:cs="仿宋"/>
          <w:sz w:val="28"/>
          <w:szCs w:val="28"/>
        </w:rPr>
      </w:pPr>
    </w:p>
    <w:p>
      <w:pPr>
        <w:pStyle w:val="2"/>
        <w:rPr>
          <w:rFonts w:ascii="宋体" w:cs="仿宋"/>
          <w:sz w:val="28"/>
          <w:szCs w:val="28"/>
        </w:rPr>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Lines="50"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8"/>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8"/>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8"/>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8"/>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8"/>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Lines="50"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8"/>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质保期1年。（自交货验收合格之日起计）</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8"/>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w:t>
      </w:r>
      <w:r>
        <w:rPr>
          <w:rFonts w:hAnsi="宋体"/>
          <w:sz w:val="24"/>
          <w:szCs w:val="24"/>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rPr>
        <w:t>，质保期满后</w:t>
      </w:r>
      <w:r>
        <w:rPr>
          <w:rFonts w:hAnsi="宋体"/>
          <w:sz w:val="24"/>
          <w:szCs w:val="24"/>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8"/>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8"/>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Ansi="宋体"/>
          <w:sz w:val="24"/>
          <w:szCs w:val="24"/>
        </w:rPr>
        <w:t>________</w:t>
      </w:r>
      <w:r>
        <w:rPr>
          <w:rFonts w:hint="eastAsia" w:hAnsi="宋体"/>
          <w:sz w:val="24"/>
          <w:szCs w:val="24"/>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8"/>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8"/>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8"/>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rPr>
      </w:pPr>
      <w:r>
        <w:rPr>
          <w:rFonts w:hint="eastAsia" w:hAnsi="宋体"/>
          <w:b/>
          <w:sz w:val="24"/>
          <w:szCs w:val="24"/>
        </w:rPr>
        <w:t>十九、合同生效及其它</w:t>
      </w:r>
    </w:p>
    <w:p>
      <w:pPr>
        <w:pStyle w:val="8"/>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8"/>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8"/>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8"/>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8"/>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8"/>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8"/>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F6BA3"/>
    <w:multiLevelType w:val="multilevel"/>
    <w:tmpl w:val="46AF6BA3"/>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2700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67D088E"/>
    <w:rsid w:val="1FE825AC"/>
    <w:rsid w:val="2323069F"/>
    <w:rsid w:val="285A3E40"/>
    <w:rsid w:val="2CE81BAF"/>
    <w:rsid w:val="38F33167"/>
    <w:rsid w:val="44DC7F4B"/>
    <w:rsid w:val="49BE519F"/>
    <w:rsid w:val="4DAC43C0"/>
    <w:rsid w:val="533E0F74"/>
    <w:rsid w:val="567513AB"/>
    <w:rsid w:val="59FD2F58"/>
    <w:rsid w:val="6BC1702A"/>
    <w:rsid w:val="701B5E39"/>
    <w:rsid w:val="74C46B2C"/>
    <w:rsid w:val="75BE6EB5"/>
    <w:rsid w:val="75DA2107"/>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6">
    <w:name w:val="列出段落"/>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2</TotalTime>
  <ScaleCrop>false</ScaleCrop>
  <LinksUpToDate>false</LinksUpToDate>
  <CharactersWithSpaces>13592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2020-05-22T01:55:17Z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