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b/>
          <w:sz w:val="44"/>
          <w:szCs w:val="44"/>
          <w:highlight w:val="none"/>
        </w:rPr>
      </w:pPr>
      <w:bookmarkStart w:id="0" w:name="OLE_LINK1"/>
      <w:bookmarkStart w:id="1" w:name="OLE_LINK2"/>
      <w:r>
        <w:rPr>
          <w:b/>
          <w:sz w:val="44"/>
          <w:szCs w:val="44"/>
          <w:highlight w:val="none"/>
        </w:rPr>
        <w:t>南京信息工程大学</w:t>
      </w:r>
      <w:bookmarkEnd w:id="0"/>
      <w:bookmarkEnd w:id="1"/>
      <w:bookmarkStart w:id="2" w:name="_Hlk45017470"/>
      <w:r>
        <w:rPr>
          <w:rFonts w:hint="eastAsia"/>
          <w:b/>
          <w:sz w:val="44"/>
          <w:szCs w:val="44"/>
          <w:highlight w:val="none"/>
        </w:rPr>
        <w:t>积云宏微观物理过程</w:t>
      </w:r>
      <w:r>
        <w:rPr>
          <w:rFonts w:hint="eastAsia"/>
          <w:b/>
          <w:color w:val="000000" w:themeColor="text1"/>
          <w:sz w:val="44"/>
          <w:szCs w:val="44"/>
          <w:highlight w:val="none"/>
          <w14:textFill>
            <w14:solidFill>
              <w14:schemeClr w14:val="tx1"/>
            </w14:solidFill>
          </w14:textFill>
        </w:rPr>
        <w:t>等</w:t>
      </w:r>
      <w:r>
        <w:rPr>
          <w:rFonts w:hint="eastAsia"/>
          <w:b/>
          <w:sz w:val="44"/>
          <w:szCs w:val="44"/>
          <w:highlight w:val="none"/>
        </w:rPr>
        <w:t>虚拟仿真</w:t>
      </w:r>
      <w:bookmarkEnd w:id="2"/>
      <w:r>
        <w:rPr>
          <w:rFonts w:hint="eastAsia"/>
          <w:b/>
          <w:sz w:val="44"/>
          <w:szCs w:val="44"/>
          <w:highlight w:val="none"/>
        </w:rPr>
        <w:t>实验教学平台软件定制项目</w:t>
      </w:r>
      <w:r>
        <w:rPr>
          <w:b/>
          <w:sz w:val="44"/>
          <w:szCs w:val="44"/>
          <w:highlight w:val="none"/>
        </w:rPr>
        <w:t>招标文件</w:t>
      </w:r>
    </w:p>
    <w:p>
      <w:pPr>
        <w:pStyle w:val="7"/>
        <w:ind w:left="1470" w:right="1470"/>
        <w:rPr>
          <w:highlight w:val="none"/>
        </w:rPr>
      </w:pPr>
    </w:p>
    <w:p>
      <w:pPr>
        <w:adjustRightInd w:val="0"/>
        <w:snapToGrid w:val="0"/>
        <w:spacing w:line="360" w:lineRule="auto"/>
        <w:jc w:val="center"/>
        <w:rPr>
          <w:rFonts w:ascii="宋体" w:hAnsi="宋体" w:cs="仿宋"/>
          <w:sz w:val="28"/>
          <w:szCs w:val="28"/>
          <w:highlight w:val="none"/>
        </w:rPr>
      </w:pPr>
      <w:r>
        <w:rPr>
          <w:rFonts w:hint="eastAsia" w:ascii="宋体" w:hAnsi="宋体" w:cs="仿宋"/>
          <w:sz w:val="28"/>
          <w:szCs w:val="28"/>
          <w:highlight w:val="none"/>
        </w:rPr>
        <w:t>（招标编号：SBC2020055）</w:t>
      </w:r>
    </w:p>
    <w:p>
      <w:pPr>
        <w:adjustRightInd w:val="0"/>
        <w:snapToGrid w:val="0"/>
        <w:spacing w:line="360" w:lineRule="auto"/>
        <w:jc w:val="center"/>
        <w:rPr>
          <w:rFonts w:ascii="宋体" w:cs="仿宋"/>
          <w:sz w:val="28"/>
          <w:szCs w:val="28"/>
          <w:highlight w:val="none"/>
        </w:rPr>
      </w:pPr>
    </w:p>
    <w:p>
      <w:pPr>
        <w:adjustRightInd w:val="0"/>
        <w:snapToGrid w:val="0"/>
        <w:spacing w:line="360" w:lineRule="auto"/>
        <w:jc w:val="center"/>
        <w:rPr>
          <w:rFonts w:ascii="宋体" w:cs="仿宋"/>
          <w:sz w:val="28"/>
          <w:szCs w:val="28"/>
          <w:highlight w:val="none"/>
        </w:rPr>
      </w:pPr>
      <w:r>
        <w:rPr>
          <w:rFonts w:ascii="宋体" w:hAnsi="宋体" w:cs="仿宋"/>
          <w:sz w:val="28"/>
          <w:szCs w:val="28"/>
          <w:highlight w:val="none"/>
        </w:rPr>
        <w:t>(</w:t>
      </w:r>
      <w:r>
        <w:rPr>
          <w:rFonts w:ascii="宋体" w:hAnsi="宋体" w:cs="仿宋"/>
          <w:sz w:val="28"/>
          <w:szCs w:val="28"/>
          <w:highlight w:val="none"/>
          <w:u w:val="single"/>
        </w:rPr>
        <w:t>20</w:t>
      </w:r>
      <w:r>
        <w:rPr>
          <w:rFonts w:hint="eastAsia" w:ascii="宋体" w:hAnsi="宋体" w:cs="仿宋"/>
          <w:sz w:val="28"/>
          <w:szCs w:val="28"/>
          <w:highlight w:val="none"/>
          <w:u w:val="single"/>
        </w:rPr>
        <w:t>20年07月</w:t>
      </w:r>
      <w:r>
        <w:rPr>
          <w:rFonts w:hint="eastAsia" w:ascii="宋体" w:hAnsi="宋体" w:cs="仿宋"/>
          <w:sz w:val="28"/>
          <w:szCs w:val="28"/>
          <w:highlight w:val="none"/>
          <w:u w:val="single"/>
          <w:lang w:val="en-US" w:eastAsia="zh-CN"/>
        </w:rPr>
        <w:t>17</w:t>
      </w:r>
      <w:r>
        <w:rPr>
          <w:rFonts w:hint="eastAsia" w:ascii="宋体" w:hAnsi="宋体" w:cs="仿宋"/>
          <w:sz w:val="28"/>
          <w:szCs w:val="28"/>
          <w:highlight w:val="none"/>
          <w:u w:val="single"/>
        </w:rPr>
        <w:t>日</w:t>
      </w:r>
      <w:r>
        <w:rPr>
          <w:rFonts w:hint="eastAsia" w:ascii="宋体" w:hAnsi="宋体" w:cs="仿宋"/>
          <w:sz w:val="28"/>
          <w:szCs w:val="28"/>
          <w:highlight w:val="none"/>
          <w:u w:val="single"/>
          <w:lang w:val="en-US" w:eastAsia="zh-CN"/>
        </w:rPr>
        <w:t>22</w:t>
      </w:r>
      <w:r>
        <w:rPr>
          <w:rFonts w:hint="eastAsia" w:ascii="宋体" w:hAnsi="宋体" w:cs="仿宋"/>
          <w:sz w:val="28"/>
          <w:szCs w:val="28"/>
          <w:highlight w:val="none"/>
          <w:u w:val="single"/>
        </w:rPr>
        <w:t>：</w:t>
      </w:r>
      <w:r>
        <w:rPr>
          <w:rFonts w:ascii="宋体" w:cs="仿宋"/>
          <w:sz w:val="28"/>
          <w:szCs w:val="28"/>
          <w:highlight w:val="none"/>
          <w:u w:val="single"/>
        </w:rPr>
        <w:t>00</w:t>
      </w:r>
      <w:r>
        <w:rPr>
          <w:rFonts w:hint="eastAsia" w:ascii="宋体" w:hAnsi="宋体" w:cs="仿宋"/>
          <w:sz w:val="28"/>
          <w:szCs w:val="28"/>
          <w:highlight w:val="none"/>
          <w:u w:val="single"/>
        </w:rPr>
        <w:t>定标发标版</w:t>
      </w:r>
      <w:r>
        <w:rPr>
          <w:rFonts w:ascii="宋体" w:hAnsi="宋体" w:cs="仿宋"/>
          <w:sz w:val="28"/>
          <w:szCs w:val="28"/>
          <w:highlight w:val="none"/>
        </w:rPr>
        <w:t>)</w:t>
      </w:r>
    </w:p>
    <w:p>
      <w:pPr>
        <w:jc w:val="center"/>
        <w:rPr>
          <w:b/>
          <w:sz w:val="28"/>
          <w:szCs w:val="28"/>
          <w:highlight w:val="none"/>
        </w:rPr>
      </w:pPr>
    </w:p>
    <w:p>
      <w:pPr>
        <w:spacing w:line="360" w:lineRule="auto"/>
        <w:ind w:firstLine="560" w:firstLineChars="200"/>
        <w:rPr>
          <w:rFonts w:ascii="宋体" w:hAnsi="宋体"/>
          <w:sz w:val="28"/>
          <w:szCs w:val="28"/>
          <w:highlight w:val="none"/>
        </w:rPr>
      </w:pPr>
      <w:r>
        <w:rPr>
          <w:rFonts w:ascii="宋体" w:hAnsi="宋体"/>
          <w:sz w:val="28"/>
          <w:szCs w:val="28"/>
          <w:highlight w:val="none"/>
        </w:rPr>
        <w:t>为满足学校相关</w:t>
      </w:r>
      <w:r>
        <w:rPr>
          <w:rFonts w:hint="eastAsia" w:ascii="宋体" w:hAnsi="宋体"/>
          <w:sz w:val="28"/>
          <w:szCs w:val="28"/>
          <w:highlight w:val="none"/>
        </w:rPr>
        <w:t>教学</w:t>
      </w:r>
      <w:r>
        <w:rPr>
          <w:rFonts w:ascii="宋体" w:hAnsi="宋体"/>
          <w:sz w:val="28"/>
          <w:szCs w:val="28"/>
          <w:highlight w:val="none"/>
        </w:rPr>
        <w:t>科研工作需要，受校实验室与设备管理处委托，就</w:t>
      </w:r>
      <w:r>
        <w:rPr>
          <w:rFonts w:hint="eastAsia" w:ascii="宋体" w:hAnsi="宋体"/>
          <w:sz w:val="28"/>
          <w:szCs w:val="28"/>
          <w:highlight w:val="none"/>
        </w:rPr>
        <w:t>积云宏微观物理过程等虚拟仿真实验教学平台软件定制项目</w:t>
      </w:r>
      <w:r>
        <w:rPr>
          <w:rFonts w:ascii="宋体" w:hAnsi="宋体"/>
          <w:sz w:val="28"/>
          <w:szCs w:val="28"/>
          <w:highlight w:val="none"/>
        </w:rPr>
        <w:t>进行公开招标，欢迎符合条件的供应商报名投标，现将有关情况说明如下：</w:t>
      </w:r>
    </w:p>
    <w:p>
      <w:pPr>
        <w:spacing w:line="360" w:lineRule="auto"/>
        <w:ind w:firstLine="480" w:firstLineChars="200"/>
        <w:rPr>
          <w:sz w:val="24"/>
          <w:highlight w:val="none"/>
        </w:rPr>
      </w:pPr>
    </w:p>
    <w:p>
      <w:pPr>
        <w:pStyle w:val="32"/>
        <w:spacing w:line="360" w:lineRule="auto"/>
        <w:ind w:firstLine="0" w:firstLineChars="0"/>
        <w:jc w:val="center"/>
        <w:rPr>
          <w:rFonts w:ascii="宋体" w:hAnsi="宋体" w:cs="仿宋"/>
          <w:b/>
          <w:bCs/>
          <w:kern w:val="2"/>
          <w:sz w:val="28"/>
          <w:szCs w:val="28"/>
          <w:highlight w:val="none"/>
        </w:rPr>
      </w:pPr>
      <w:r>
        <w:rPr>
          <w:rFonts w:hint="eastAsia" w:ascii="宋体" w:hAnsi="宋体" w:cs="仿宋"/>
          <w:b/>
          <w:bCs/>
          <w:kern w:val="2"/>
          <w:sz w:val="28"/>
          <w:szCs w:val="28"/>
          <w:highlight w:val="none"/>
        </w:rPr>
        <w:t>一、招标项目名称及简要说明</w:t>
      </w:r>
    </w:p>
    <w:p>
      <w:pPr>
        <w:pStyle w:val="32"/>
        <w:spacing w:line="360" w:lineRule="auto"/>
        <w:ind w:firstLine="560"/>
        <w:rPr>
          <w:rFonts w:ascii="宋体" w:hAnsi="宋体"/>
          <w:kern w:val="2"/>
          <w:sz w:val="28"/>
          <w:szCs w:val="28"/>
          <w:highlight w:val="none"/>
        </w:rPr>
      </w:pPr>
      <w:r>
        <w:rPr>
          <w:rFonts w:ascii="宋体" w:hAnsi="宋体"/>
          <w:kern w:val="2"/>
          <w:sz w:val="28"/>
          <w:szCs w:val="28"/>
          <w:highlight w:val="none"/>
        </w:rPr>
        <w:t>1. 项目名称：南京信息工程大学</w:t>
      </w:r>
      <w:r>
        <w:rPr>
          <w:rFonts w:hint="eastAsia" w:ascii="宋体" w:hAnsi="宋体"/>
          <w:sz w:val="28"/>
          <w:szCs w:val="28"/>
          <w:highlight w:val="none"/>
        </w:rPr>
        <w:t>积云宏微观物理过程等虚拟仿真实验教学平台软件定制项目</w:t>
      </w:r>
      <w:r>
        <w:rPr>
          <w:rFonts w:ascii="宋体" w:hAnsi="宋体"/>
          <w:kern w:val="2"/>
          <w:sz w:val="28"/>
          <w:szCs w:val="28"/>
          <w:highlight w:val="none"/>
        </w:rPr>
        <w:t>。</w:t>
      </w:r>
    </w:p>
    <w:p>
      <w:pPr>
        <w:spacing w:line="300" w:lineRule="auto"/>
        <w:ind w:firstLine="560" w:firstLineChars="200"/>
        <w:rPr>
          <w:rFonts w:ascii="宋体" w:hAnsi="宋体"/>
          <w:sz w:val="28"/>
          <w:szCs w:val="28"/>
          <w:highlight w:val="none"/>
        </w:rPr>
      </w:pPr>
      <w:r>
        <w:rPr>
          <w:rFonts w:ascii="宋体" w:hAnsi="宋体"/>
          <w:sz w:val="28"/>
          <w:szCs w:val="28"/>
          <w:highlight w:val="none"/>
        </w:rPr>
        <w:t xml:space="preserve">2. </w:t>
      </w:r>
      <w:r>
        <w:rPr>
          <w:rFonts w:hint="eastAsia" w:ascii="宋体" w:hAnsi="宋体" w:cs="仿宋"/>
          <w:sz w:val="28"/>
          <w:szCs w:val="28"/>
          <w:highlight w:val="none"/>
        </w:rPr>
        <w:t>项目说明：</w:t>
      </w:r>
      <w:r>
        <w:rPr>
          <w:rFonts w:hint="eastAsia" w:ascii="宋体" w:hAnsi="宋体"/>
          <w:sz w:val="28"/>
          <w:szCs w:val="28"/>
          <w:highlight w:val="none"/>
        </w:rPr>
        <w:t>南京信息工程大学校内，本次招标</w:t>
      </w:r>
      <w:r>
        <w:rPr>
          <w:rFonts w:hint="eastAsia" w:ascii="宋体" w:hAnsi="宋体" w:cs="仿宋"/>
          <w:sz w:val="28"/>
          <w:szCs w:val="28"/>
          <w:highlight w:val="none"/>
        </w:rPr>
        <w:t>项目必须由中标单位自行完成，严禁转包和擅自分包。否则我校有权单方面终止本合同的执行，并且中标人支付按合同价款20%的违约金，由此所造成的一切后果和经济损失均由中标人自行负责和承担。</w:t>
      </w:r>
    </w:p>
    <w:p>
      <w:pPr>
        <w:spacing w:line="360" w:lineRule="auto"/>
        <w:ind w:firstLine="570"/>
        <w:jc w:val="left"/>
        <w:rPr>
          <w:rFonts w:ascii="宋体"/>
          <w:sz w:val="28"/>
          <w:szCs w:val="28"/>
          <w:highlight w:val="none"/>
        </w:rPr>
      </w:pPr>
      <w:r>
        <w:rPr>
          <w:rFonts w:ascii="宋体" w:hAnsi="宋体"/>
          <w:sz w:val="28"/>
          <w:szCs w:val="28"/>
          <w:highlight w:val="none"/>
        </w:rPr>
        <w:t>3</w:t>
      </w:r>
      <w:bookmarkStart w:id="3" w:name="_Hlk9865971"/>
      <w:r>
        <w:rPr>
          <w:rFonts w:hint="eastAsia" w:ascii="宋体" w:hAnsi="宋体"/>
          <w:sz w:val="28"/>
          <w:szCs w:val="28"/>
          <w:highlight w:val="none"/>
        </w:rPr>
        <w:t>.本次招标采取公开招标方式，不承诺最低价（最高价）中标。招标公告和中标公示信息均在</w:t>
      </w:r>
      <w:r>
        <w:rPr>
          <w:highlight w:val="none"/>
        </w:rPr>
        <w:fldChar w:fldCharType="begin"/>
      </w:r>
      <w:r>
        <w:rPr>
          <w:highlight w:val="none"/>
        </w:rPr>
        <w:instrText xml:space="preserve"> HYPERLINK "https://bulletin.nuist.edu.cn/779/list.htm" </w:instrText>
      </w:r>
      <w:r>
        <w:rPr>
          <w:highlight w:val="none"/>
        </w:rPr>
        <w:fldChar w:fldCharType="separate"/>
      </w:r>
      <w:r>
        <w:rPr>
          <w:rStyle w:val="19"/>
          <w:b/>
          <w:color w:val="auto"/>
          <w:sz w:val="24"/>
          <w:highlight w:val="none"/>
        </w:rPr>
        <w:t>https://bulletin.nuist.edu.cn/779/lis</w:t>
      </w:r>
      <w:r>
        <w:rPr>
          <w:rStyle w:val="19"/>
          <w:color w:val="auto"/>
          <w:sz w:val="24"/>
          <w:highlight w:val="none"/>
        </w:rPr>
        <w:t>t.htm</w:t>
      </w:r>
      <w:r>
        <w:rPr>
          <w:rStyle w:val="19"/>
          <w:color w:val="auto"/>
          <w:sz w:val="24"/>
          <w:highlight w:val="none"/>
        </w:rPr>
        <w:fldChar w:fldCharType="end"/>
      </w:r>
      <w:r>
        <w:rPr>
          <w:rFonts w:hint="eastAsia" w:ascii="宋体" w:hAnsi="宋体"/>
          <w:sz w:val="28"/>
          <w:szCs w:val="28"/>
          <w:highlight w:val="none"/>
        </w:rPr>
        <w:t>和</w:t>
      </w:r>
      <w:r>
        <w:rPr>
          <w:highlight w:val="none"/>
        </w:rPr>
        <w:fldChar w:fldCharType="begin"/>
      </w:r>
      <w:r>
        <w:rPr>
          <w:highlight w:val="none"/>
        </w:rPr>
        <w:instrText xml:space="preserve"> HYPERLINK "http://zbc.nuist.edu.cn" </w:instrText>
      </w:r>
      <w:r>
        <w:rPr>
          <w:highlight w:val="none"/>
        </w:rPr>
        <w:fldChar w:fldCharType="separate"/>
      </w:r>
      <w:r>
        <w:rPr>
          <w:rFonts w:ascii="宋体" w:hAnsi="宋体"/>
          <w:b/>
          <w:sz w:val="24"/>
          <w:szCs w:val="28"/>
          <w:highlight w:val="none"/>
        </w:rPr>
        <w:t>zbc.nuist.edu.cn</w:t>
      </w:r>
      <w:r>
        <w:rPr>
          <w:rFonts w:ascii="宋体" w:hAnsi="宋体"/>
          <w:b/>
          <w:sz w:val="24"/>
          <w:szCs w:val="28"/>
          <w:highlight w:val="none"/>
        </w:rPr>
        <w:fldChar w:fldCharType="end"/>
      </w:r>
      <w:r>
        <w:rPr>
          <w:rFonts w:hint="eastAsia" w:ascii="宋体" w:hAnsi="宋体"/>
          <w:sz w:val="28"/>
          <w:szCs w:val="28"/>
          <w:highlight w:val="none"/>
        </w:rPr>
        <w:t>网页上公开发布</w:t>
      </w:r>
      <w:r>
        <w:rPr>
          <w:rFonts w:ascii="宋体"/>
          <w:sz w:val="28"/>
          <w:szCs w:val="28"/>
          <w:highlight w:val="none"/>
        </w:rPr>
        <w:t>,</w:t>
      </w:r>
      <w:r>
        <w:rPr>
          <w:rFonts w:hint="eastAsia" w:ascii="宋体" w:hAnsi="宋体"/>
          <w:sz w:val="28"/>
          <w:szCs w:val="28"/>
          <w:highlight w:val="none"/>
        </w:rPr>
        <w:t>接受监督。欢迎社会招标机构和网站转载，转载信息与我校网站信息不一致时，以我校网站为准。</w:t>
      </w:r>
    </w:p>
    <w:bookmarkEnd w:id="3"/>
    <w:p>
      <w:pPr>
        <w:spacing w:line="360" w:lineRule="auto"/>
        <w:ind w:firstLine="570"/>
        <w:jc w:val="left"/>
        <w:rPr>
          <w:rFonts w:ascii="宋体" w:cs="宋体"/>
          <w:sz w:val="28"/>
          <w:szCs w:val="28"/>
          <w:highlight w:val="none"/>
        </w:rPr>
      </w:pPr>
      <w:bookmarkStart w:id="4" w:name="_Hlk9866054"/>
      <w:r>
        <w:rPr>
          <w:rFonts w:ascii="宋体" w:hAnsi="宋体"/>
          <w:color w:val="auto"/>
          <w:sz w:val="28"/>
          <w:szCs w:val="28"/>
          <w:highlight w:val="none"/>
        </w:rPr>
        <w:t>4</w:t>
      </w:r>
      <w:r>
        <w:rPr>
          <w:rFonts w:hint="eastAsia" w:ascii="宋体" w:hAnsi="宋体"/>
          <w:color w:val="auto"/>
          <w:sz w:val="28"/>
          <w:szCs w:val="28"/>
          <w:highlight w:val="none"/>
        </w:rPr>
        <w:t>.招标文件由我校采购人、项目归口管理部门和</w:t>
      </w:r>
      <w:r>
        <w:rPr>
          <w:rFonts w:hint="eastAsia" w:ascii="宋体" w:hAnsi="宋体"/>
          <w:color w:val="auto"/>
          <w:sz w:val="28"/>
          <w:szCs w:val="28"/>
          <w:highlight w:val="none"/>
          <w:lang w:val="en-US" w:eastAsia="zh-CN"/>
        </w:rPr>
        <w:t>招标办</w:t>
      </w:r>
      <w:r>
        <w:rPr>
          <w:rFonts w:hint="eastAsia" w:ascii="宋体" w:hAnsi="宋体"/>
          <w:color w:val="auto"/>
          <w:sz w:val="28"/>
          <w:szCs w:val="28"/>
          <w:highlight w:val="none"/>
        </w:rPr>
        <w:t>联合起草；经学校相关职能部门会审通过形成正式招标文件。同时</w:t>
      </w:r>
      <w:r>
        <w:rPr>
          <w:rFonts w:hint="eastAsia" w:ascii="宋体" w:hAnsi="宋体" w:cs="宋体"/>
          <w:color w:val="auto"/>
          <w:sz w:val="28"/>
          <w:szCs w:val="28"/>
          <w:highlight w:val="none"/>
        </w:rPr>
        <w:t>打印</w:t>
      </w:r>
      <w:r>
        <w:rPr>
          <w:rFonts w:ascii="宋体" w:hAnsi="宋体" w:cs="宋体"/>
          <w:color w:val="auto"/>
          <w:sz w:val="28"/>
          <w:szCs w:val="28"/>
          <w:highlight w:val="none"/>
        </w:rPr>
        <w:t>3</w:t>
      </w:r>
      <w:r>
        <w:rPr>
          <w:rFonts w:hint="eastAsia" w:ascii="宋体" w:hAnsi="宋体" w:cs="宋体"/>
          <w:color w:val="auto"/>
          <w:sz w:val="28"/>
          <w:szCs w:val="28"/>
          <w:highlight w:val="none"/>
        </w:rPr>
        <w:t>份纸质的正式招标文件，由</w:t>
      </w:r>
      <w:r>
        <w:rPr>
          <w:rFonts w:hint="eastAsia" w:ascii="宋体" w:hAnsi="宋体" w:cs="宋体"/>
          <w:color w:val="auto"/>
          <w:sz w:val="28"/>
          <w:szCs w:val="28"/>
          <w:highlight w:val="none"/>
          <w:lang w:val="en-US" w:eastAsia="zh-CN"/>
        </w:rPr>
        <w:t>招标办</w:t>
      </w:r>
      <w:r>
        <w:rPr>
          <w:rFonts w:hint="eastAsia" w:ascii="宋体" w:hAnsi="宋体" w:cs="宋体"/>
          <w:color w:val="auto"/>
          <w:sz w:val="28"/>
          <w:szCs w:val="28"/>
          <w:highlight w:val="none"/>
        </w:rPr>
        <w:t>负责人和招标办工作人员同时签字并加盖财务处骑缝章后，分别交招标办、项目归口管理部门（或采购人）、审计处各</w:t>
      </w:r>
      <w:r>
        <w:rPr>
          <w:rFonts w:ascii="宋体" w:hAnsi="宋体" w:cs="宋体"/>
          <w:color w:val="auto"/>
          <w:sz w:val="28"/>
          <w:szCs w:val="28"/>
          <w:highlight w:val="none"/>
        </w:rPr>
        <w:t>1</w:t>
      </w:r>
      <w:r>
        <w:rPr>
          <w:rFonts w:hint="eastAsia" w:ascii="宋体" w:hAnsi="宋体" w:cs="宋体"/>
          <w:color w:val="auto"/>
          <w:sz w:val="28"/>
          <w:szCs w:val="28"/>
          <w:highlight w:val="none"/>
        </w:rPr>
        <w:t>份，作为相关部门存档、合同签订、项目竣工验收和决（结）算审计，以及处理纠纷等的依据。</w:t>
      </w:r>
    </w:p>
    <w:bookmarkEnd w:id="4"/>
    <w:p>
      <w:pPr>
        <w:spacing w:line="360" w:lineRule="auto"/>
        <w:ind w:firstLine="570"/>
        <w:jc w:val="left"/>
        <w:rPr>
          <w:rFonts w:ascii="宋体" w:hAnsi="宋体"/>
          <w:sz w:val="28"/>
          <w:szCs w:val="28"/>
          <w:highlight w:val="none"/>
        </w:rPr>
      </w:pPr>
      <w:r>
        <w:rPr>
          <w:rFonts w:ascii="宋体" w:hAnsi="宋体"/>
          <w:sz w:val="28"/>
          <w:szCs w:val="28"/>
          <w:highlight w:val="none"/>
        </w:rPr>
        <w:t>5.</w:t>
      </w:r>
      <w:r>
        <w:rPr>
          <w:rFonts w:hint="eastAsia" w:ascii="宋体" w:hAnsi="宋体"/>
          <w:sz w:val="28"/>
          <w:szCs w:val="28"/>
          <w:highlight w:val="none"/>
        </w:rPr>
        <w:t>正式的答疑回复文件也按上述方式处理留存。</w:t>
      </w:r>
    </w:p>
    <w:p>
      <w:pPr>
        <w:pStyle w:val="40"/>
        <w:adjustRightInd w:val="0"/>
        <w:snapToGrid w:val="0"/>
        <w:spacing w:before="0" w:beforeAutospacing="0" w:after="0" w:afterAutospacing="0" w:line="360" w:lineRule="auto"/>
        <w:ind w:firstLine="560" w:firstLineChars="200"/>
        <w:rPr>
          <w:rFonts w:cs="Times New Roman"/>
          <w:color w:val="auto"/>
          <w:kern w:val="2"/>
          <w:sz w:val="28"/>
          <w:szCs w:val="28"/>
          <w:highlight w:val="none"/>
        </w:rPr>
      </w:pPr>
      <w:r>
        <w:rPr>
          <w:rFonts w:cs="Times New Roman"/>
          <w:color w:val="auto"/>
          <w:kern w:val="2"/>
          <w:sz w:val="28"/>
          <w:szCs w:val="28"/>
          <w:highlight w:val="none"/>
        </w:rPr>
        <w:t>6.</w:t>
      </w:r>
      <w:r>
        <w:rPr>
          <w:rFonts w:hint="eastAsia" w:cs="Times New Roman"/>
          <w:color w:val="auto"/>
          <w:kern w:val="2"/>
          <w:sz w:val="28"/>
          <w:szCs w:val="28"/>
          <w:highlight w:val="none"/>
        </w:rPr>
        <w:t>投标有效期：自开标之日起90天内投标有效。</w:t>
      </w:r>
    </w:p>
    <w:p>
      <w:pPr>
        <w:pStyle w:val="40"/>
        <w:adjustRightInd w:val="0"/>
        <w:snapToGrid w:val="0"/>
        <w:spacing w:before="0" w:beforeAutospacing="0" w:after="0" w:afterAutospacing="0" w:line="360" w:lineRule="auto"/>
        <w:ind w:firstLine="560" w:firstLineChars="200"/>
        <w:rPr>
          <w:rFonts w:cs="Times New Roman"/>
          <w:color w:val="auto"/>
          <w:sz w:val="28"/>
          <w:szCs w:val="28"/>
          <w:highlight w:val="none"/>
        </w:rPr>
      </w:pPr>
      <w:r>
        <w:rPr>
          <w:rFonts w:hint="eastAsia" w:cs="Times New Roman"/>
          <w:color w:val="auto"/>
          <w:kern w:val="2"/>
          <w:sz w:val="28"/>
          <w:szCs w:val="28"/>
          <w:highlight w:val="none"/>
        </w:rPr>
        <w:t>7.</w:t>
      </w:r>
      <w:r>
        <w:rPr>
          <w:rFonts w:hint="eastAsia" w:cs="Times New Roman"/>
          <w:color w:val="auto"/>
          <w:sz w:val="28"/>
          <w:szCs w:val="28"/>
          <w:highlight w:val="none"/>
        </w:rPr>
        <w:t>招标过程接受学校纪检监察部门监督检查。</w:t>
      </w:r>
    </w:p>
    <w:p>
      <w:pPr>
        <w:adjustRightInd w:val="0"/>
        <w:snapToGrid w:val="0"/>
        <w:spacing w:before="312" w:beforeLines="100" w:after="312" w:afterLines="100" w:line="360" w:lineRule="auto"/>
        <w:jc w:val="center"/>
        <w:rPr>
          <w:rFonts w:ascii="宋体" w:cs="仿宋"/>
          <w:b/>
          <w:bCs/>
          <w:sz w:val="28"/>
          <w:szCs w:val="28"/>
          <w:highlight w:val="none"/>
        </w:rPr>
      </w:pPr>
      <w:r>
        <w:rPr>
          <w:rFonts w:hint="eastAsia" w:ascii="宋体" w:hAnsi="宋体" w:cs="仿宋"/>
          <w:b/>
          <w:bCs/>
          <w:sz w:val="28"/>
          <w:szCs w:val="28"/>
          <w:highlight w:val="none"/>
        </w:rPr>
        <w:t>二、对投标人及投标报价的要求</w:t>
      </w:r>
    </w:p>
    <w:p>
      <w:pPr>
        <w:snapToGrid w:val="0"/>
        <w:spacing w:line="360" w:lineRule="auto"/>
        <w:ind w:firstLine="540" w:firstLineChars="192"/>
        <w:rPr>
          <w:rFonts w:ascii="宋体" w:hAnsi="宋体"/>
          <w:b/>
          <w:kern w:val="0"/>
          <w:sz w:val="28"/>
          <w:szCs w:val="28"/>
          <w:highlight w:val="none"/>
        </w:rPr>
      </w:pPr>
      <w:r>
        <w:rPr>
          <w:rFonts w:hint="eastAsia" w:ascii="宋体" w:hAnsi="宋体"/>
          <w:b/>
          <w:kern w:val="0"/>
          <w:sz w:val="28"/>
          <w:szCs w:val="28"/>
          <w:highlight w:val="none"/>
        </w:rPr>
        <w:t>一、投标人必须符合以下能力、信誉和资质要求：</w:t>
      </w:r>
    </w:p>
    <w:p>
      <w:pPr>
        <w:widowControl/>
        <w:snapToGrid w:val="0"/>
        <w:spacing w:line="360" w:lineRule="auto"/>
        <w:ind w:firstLine="560" w:firstLineChars="200"/>
        <w:jc w:val="left"/>
        <w:rPr>
          <w:rFonts w:ascii="宋体" w:hAnsi="宋体" w:cs="宋体"/>
          <w:b/>
          <w:bCs/>
          <w:i/>
          <w:iCs/>
          <w:kern w:val="0"/>
          <w:sz w:val="28"/>
          <w:szCs w:val="28"/>
          <w:highlight w:val="none"/>
          <w:u w:val="single"/>
        </w:rPr>
      </w:pPr>
      <w:r>
        <w:rPr>
          <w:rFonts w:hint="eastAsia" w:ascii="宋体" w:hAnsi="宋体" w:cs="Arial"/>
          <w:i/>
          <w:iCs/>
          <w:sz w:val="28"/>
          <w:szCs w:val="28"/>
          <w:highlight w:val="none"/>
          <w:u w:val="single"/>
        </w:rPr>
        <w:t>（一）参加政府采购的供应商应当具备政府采购法</w:t>
      </w:r>
      <w:r>
        <w:rPr>
          <w:rFonts w:ascii="宋体" w:hAnsi="宋体" w:cs="Arial"/>
          <w:i/>
          <w:iCs/>
          <w:sz w:val="28"/>
          <w:szCs w:val="28"/>
          <w:highlight w:val="none"/>
          <w:u w:val="single"/>
        </w:rPr>
        <w:t>第二十二条</w:t>
      </w:r>
      <w:r>
        <w:rPr>
          <w:rFonts w:hint="eastAsia" w:ascii="宋体" w:hAnsi="宋体" w:cs="Arial"/>
          <w:i/>
          <w:iCs/>
          <w:sz w:val="28"/>
          <w:szCs w:val="28"/>
          <w:highlight w:val="none"/>
          <w:u w:val="single"/>
        </w:rPr>
        <w:t>第一款</w:t>
      </w:r>
      <w:r>
        <w:rPr>
          <w:rFonts w:ascii="宋体" w:hAnsi="宋体" w:cs="Arial"/>
          <w:i/>
          <w:iCs/>
          <w:sz w:val="28"/>
          <w:szCs w:val="28"/>
          <w:highlight w:val="none"/>
          <w:u w:val="single"/>
        </w:rPr>
        <w:t>规定</w:t>
      </w:r>
      <w:r>
        <w:rPr>
          <w:rFonts w:hint="eastAsia" w:ascii="宋体" w:hAnsi="宋体" w:cs="Arial"/>
          <w:i/>
          <w:iCs/>
          <w:sz w:val="28"/>
          <w:szCs w:val="28"/>
          <w:highlight w:val="none"/>
          <w:u w:val="single"/>
        </w:rPr>
        <w:t>的条件，并依照政府采购法实施条例第十七条规定提供下列材料：</w:t>
      </w:r>
    </w:p>
    <w:p>
      <w:pPr>
        <w:adjustRightInd w:val="0"/>
        <w:snapToGrid w:val="0"/>
        <w:spacing w:line="360" w:lineRule="auto"/>
        <w:ind w:firstLine="560" w:firstLineChars="200"/>
        <w:rPr>
          <w:rFonts w:ascii="宋体" w:hAnsi="宋体"/>
          <w:i/>
          <w:iCs/>
          <w:sz w:val="28"/>
          <w:szCs w:val="28"/>
          <w:highlight w:val="none"/>
          <w:u w:val="single"/>
        </w:rPr>
      </w:pPr>
      <w:r>
        <w:rPr>
          <w:rFonts w:hint="eastAsia" w:ascii="宋体" w:hAnsi="宋体" w:cs="Arial"/>
          <w:i/>
          <w:iCs/>
          <w:sz w:val="28"/>
          <w:szCs w:val="28"/>
          <w:highlight w:val="none"/>
          <w:u w:val="single"/>
        </w:rPr>
        <w:t>1.具有独立承担民事责任的能力</w:t>
      </w:r>
      <w:r>
        <w:rPr>
          <w:rFonts w:hint="eastAsia" w:ascii="宋体" w:hAnsi="宋体"/>
          <w:i/>
          <w:iCs/>
          <w:sz w:val="28"/>
          <w:szCs w:val="28"/>
          <w:highlight w:val="none"/>
          <w:u w:val="single"/>
        </w:rPr>
        <w:t>：须为独立法人企业，需提供企业法人营业执照；</w:t>
      </w:r>
    </w:p>
    <w:p>
      <w:pPr>
        <w:adjustRightInd w:val="0"/>
        <w:snapToGrid w:val="0"/>
        <w:spacing w:line="360" w:lineRule="auto"/>
        <w:ind w:firstLine="560" w:firstLineChars="200"/>
        <w:rPr>
          <w:rFonts w:ascii="宋体" w:hAnsi="宋体"/>
          <w:i/>
          <w:iCs/>
          <w:sz w:val="28"/>
          <w:szCs w:val="28"/>
          <w:highlight w:val="none"/>
          <w:u w:val="single"/>
        </w:rPr>
      </w:pPr>
      <w:r>
        <w:rPr>
          <w:rFonts w:hint="eastAsia" w:ascii="宋体" w:hAnsi="宋体" w:cs="宋体"/>
          <w:i/>
          <w:iCs/>
          <w:kern w:val="0"/>
          <w:sz w:val="28"/>
          <w:szCs w:val="28"/>
          <w:highlight w:val="none"/>
          <w:u w:val="single"/>
        </w:rPr>
        <w:t>2.具有良好的商业信誉和健全的财务会计制度</w:t>
      </w:r>
      <w:r>
        <w:rPr>
          <w:rFonts w:hint="eastAsia" w:ascii="宋体" w:hAnsi="宋体"/>
          <w:i/>
          <w:iCs/>
          <w:sz w:val="28"/>
          <w:szCs w:val="28"/>
          <w:highlight w:val="none"/>
          <w:u w:val="single"/>
        </w:rPr>
        <w:t>：需提供参加本次投标活动前近六个月内（2020年01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pPr>
        <w:snapToGrid w:val="0"/>
        <w:spacing w:line="360" w:lineRule="auto"/>
        <w:ind w:firstLine="560" w:firstLineChars="200"/>
        <w:rPr>
          <w:rFonts w:ascii="宋体" w:hAnsi="宋体" w:cs="宋体"/>
          <w:i/>
          <w:iCs/>
          <w:kern w:val="0"/>
          <w:sz w:val="28"/>
          <w:szCs w:val="28"/>
          <w:highlight w:val="none"/>
          <w:u w:val="single"/>
        </w:rPr>
      </w:pPr>
      <w:r>
        <w:rPr>
          <w:rFonts w:hint="eastAsia" w:ascii="宋体" w:hAnsi="宋体" w:cs="宋体"/>
          <w:i/>
          <w:iCs/>
          <w:kern w:val="0"/>
          <w:sz w:val="28"/>
          <w:szCs w:val="28"/>
          <w:highlight w:val="none"/>
          <w:u w:val="single"/>
        </w:rPr>
        <w:t>3.具有履行合同所必需的设备和专业技术能力：供应商根据履行采购项目合同需要，提供履行合同所必需的设备和专业技术能力的证明材料；</w:t>
      </w:r>
    </w:p>
    <w:p>
      <w:pPr>
        <w:adjustRightInd w:val="0"/>
        <w:snapToGrid w:val="0"/>
        <w:spacing w:line="360" w:lineRule="auto"/>
        <w:ind w:firstLine="560" w:firstLineChars="200"/>
        <w:rPr>
          <w:rFonts w:ascii="宋体" w:hAnsi="宋体"/>
          <w:i/>
          <w:iCs/>
          <w:sz w:val="28"/>
          <w:szCs w:val="28"/>
          <w:highlight w:val="none"/>
          <w:u w:val="single"/>
        </w:rPr>
      </w:pPr>
      <w:r>
        <w:rPr>
          <w:rFonts w:hint="eastAsia" w:ascii="宋体" w:hAnsi="宋体" w:cs="宋体"/>
          <w:i/>
          <w:iCs/>
          <w:kern w:val="0"/>
          <w:sz w:val="28"/>
          <w:szCs w:val="28"/>
          <w:highlight w:val="none"/>
          <w:u w:val="single"/>
        </w:rPr>
        <w:t>4.有依法缴纳税收和社会保障资金的良好记录</w:t>
      </w:r>
      <w:r>
        <w:rPr>
          <w:rFonts w:hint="eastAsia" w:ascii="宋体" w:hAnsi="宋体"/>
          <w:i/>
          <w:iCs/>
          <w:sz w:val="28"/>
          <w:szCs w:val="28"/>
          <w:highlight w:val="none"/>
          <w:u w:val="single"/>
        </w:rPr>
        <w:t>：提供参加本次投标活动前近六个月内（2020年01月至今）任一月份依法缴纳税收的凭据，以及缴纳社会保险的凭据（专用收据或社会保险的凭据）；依法免税或不需要缴纳社会保障资金的投标人，应提供相应文件证明；</w:t>
      </w:r>
    </w:p>
    <w:p>
      <w:pPr>
        <w:adjustRightInd w:val="0"/>
        <w:snapToGrid w:val="0"/>
        <w:spacing w:line="360" w:lineRule="auto"/>
        <w:ind w:firstLine="560" w:firstLineChars="200"/>
        <w:rPr>
          <w:rFonts w:ascii="宋体" w:hAnsi="宋体"/>
          <w:i/>
          <w:iCs/>
          <w:sz w:val="28"/>
          <w:szCs w:val="28"/>
          <w:highlight w:val="none"/>
          <w:u w:val="single"/>
        </w:rPr>
      </w:pPr>
      <w:r>
        <w:rPr>
          <w:rFonts w:hint="eastAsia" w:ascii="宋体" w:hAnsi="宋体" w:cs="宋体"/>
          <w:i/>
          <w:iCs/>
          <w:kern w:val="0"/>
          <w:sz w:val="28"/>
          <w:szCs w:val="28"/>
          <w:highlight w:val="none"/>
          <w:u w:val="single"/>
        </w:rPr>
        <w:t>5.参加政府采购活动前三年内，在经营活动中没有违法记录</w:t>
      </w:r>
      <w:r>
        <w:rPr>
          <w:rFonts w:hint="eastAsia" w:ascii="宋体" w:hAnsi="宋体"/>
          <w:i/>
          <w:iCs/>
          <w:sz w:val="28"/>
          <w:szCs w:val="28"/>
          <w:highlight w:val="none"/>
          <w:u w:val="single"/>
        </w:rPr>
        <w:t>：需提供参加本次投标活动前3年内在经营活动中没有重大违法记录的书面声明；</w:t>
      </w:r>
    </w:p>
    <w:p>
      <w:pPr>
        <w:snapToGrid w:val="0"/>
        <w:spacing w:line="360" w:lineRule="auto"/>
        <w:ind w:firstLine="560" w:firstLineChars="200"/>
        <w:rPr>
          <w:rFonts w:ascii="宋体" w:hAnsi="宋体" w:cs="宋体"/>
          <w:i/>
          <w:iCs/>
          <w:kern w:val="0"/>
          <w:sz w:val="28"/>
          <w:szCs w:val="28"/>
          <w:highlight w:val="none"/>
          <w:u w:val="single"/>
        </w:rPr>
      </w:pPr>
      <w:r>
        <w:rPr>
          <w:rFonts w:hint="eastAsia" w:ascii="宋体" w:hAnsi="宋体" w:cs="宋体"/>
          <w:i/>
          <w:iCs/>
          <w:kern w:val="0"/>
          <w:sz w:val="28"/>
          <w:szCs w:val="28"/>
          <w:highlight w:val="none"/>
          <w:u w:val="single"/>
        </w:rPr>
        <w:t>6.法律、行政法规规定的其他条件：无。</w:t>
      </w:r>
    </w:p>
    <w:p>
      <w:pPr>
        <w:snapToGrid w:val="0"/>
        <w:spacing w:line="360" w:lineRule="auto"/>
        <w:ind w:firstLine="560" w:firstLineChars="200"/>
        <w:rPr>
          <w:rFonts w:ascii="宋体" w:hAnsi="宋体" w:cs="宋体"/>
          <w:i/>
          <w:iCs/>
          <w:kern w:val="0"/>
          <w:sz w:val="28"/>
          <w:szCs w:val="28"/>
          <w:highlight w:val="none"/>
          <w:u w:val="single"/>
        </w:rPr>
      </w:pPr>
      <w:r>
        <w:rPr>
          <w:rFonts w:hint="eastAsia" w:ascii="宋体" w:hAnsi="宋体" w:cs="宋体"/>
          <w:i/>
          <w:iCs/>
          <w:kern w:val="0"/>
          <w:sz w:val="28"/>
          <w:szCs w:val="28"/>
          <w:highlight w:val="none"/>
          <w:u w:val="single"/>
        </w:rPr>
        <w:t>（二）投标人不得存在下列情形之一</w:t>
      </w:r>
      <w:r>
        <w:rPr>
          <w:rFonts w:hint="eastAsia" w:ascii="宋体" w:hAnsi="宋体"/>
          <w:i/>
          <w:iCs/>
          <w:sz w:val="28"/>
          <w:szCs w:val="28"/>
          <w:highlight w:val="none"/>
          <w:u w:val="single"/>
        </w:rPr>
        <w:t>（</w:t>
      </w:r>
      <w:r>
        <w:rPr>
          <w:rFonts w:hint="eastAsia" w:ascii="宋体" w:hAnsi="宋体"/>
          <w:b/>
          <w:i/>
          <w:iCs/>
          <w:sz w:val="28"/>
          <w:szCs w:val="28"/>
          <w:highlight w:val="none"/>
          <w:u w:val="single"/>
        </w:rPr>
        <w:t>提供加盖投标人公章的承诺书）</w:t>
      </w:r>
      <w:r>
        <w:rPr>
          <w:rFonts w:hint="eastAsia" w:ascii="宋体" w:hAnsi="宋体" w:cs="宋体"/>
          <w:i/>
          <w:iCs/>
          <w:kern w:val="0"/>
          <w:sz w:val="28"/>
          <w:szCs w:val="28"/>
          <w:highlight w:val="none"/>
          <w:u w:val="single"/>
        </w:rPr>
        <w:t>：</w:t>
      </w:r>
    </w:p>
    <w:p>
      <w:pPr>
        <w:snapToGrid w:val="0"/>
        <w:spacing w:line="360" w:lineRule="auto"/>
        <w:ind w:firstLine="560" w:firstLineChars="200"/>
        <w:rPr>
          <w:rFonts w:ascii="宋体" w:hAnsi="宋体" w:cs="宋体"/>
          <w:i/>
          <w:iCs/>
          <w:kern w:val="0"/>
          <w:sz w:val="28"/>
          <w:szCs w:val="28"/>
          <w:highlight w:val="none"/>
          <w:u w:val="single"/>
        </w:rPr>
      </w:pPr>
      <w:r>
        <w:rPr>
          <w:rFonts w:hint="eastAsia" w:ascii="宋体" w:hAnsi="宋体" w:cs="宋体"/>
          <w:i/>
          <w:iCs/>
          <w:kern w:val="0"/>
          <w:sz w:val="28"/>
          <w:szCs w:val="28"/>
          <w:highlight w:val="none"/>
          <w:u w:val="single"/>
        </w:rPr>
        <w:t>（1）为招标人不具有独立法人资格的附属机构（单位）；</w:t>
      </w:r>
    </w:p>
    <w:p>
      <w:pPr>
        <w:snapToGrid w:val="0"/>
        <w:spacing w:line="360" w:lineRule="auto"/>
        <w:ind w:firstLine="560" w:firstLineChars="200"/>
        <w:rPr>
          <w:rFonts w:ascii="宋体" w:hAnsi="宋体" w:cs="宋体"/>
          <w:i/>
          <w:iCs/>
          <w:kern w:val="0"/>
          <w:sz w:val="28"/>
          <w:szCs w:val="28"/>
          <w:highlight w:val="none"/>
          <w:u w:val="single"/>
        </w:rPr>
      </w:pPr>
      <w:r>
        <w:rPr>
          <w:rFonts w:hint="eastAsia" w:ascii="宋体" w:hAnsi="宋体" w:cs="宋体"/>
          <w:i/>
          <w:iCs/>
          <w:kern w:val="0"/>
          <w:sz w:val="28"/>
          <w:szCs w:val="28"/>
          <w:highlight w:val="none"/>
          <w:u w:val="single"/>
        </w:rPr>
        <w:t>（2）与招标人存在利害关系可能影响招标公正性的；</w:t>
      </w:r>
    </w:p>
    <w:p>
      <w:pPr>
        <w:snapToGrid w:val="0"/>
        <w:spacing w:line="360" w:lineRule="auto"/>
        <w:ind w:firstLine="560" w:firstLineChars="200"/>
        <w:rPr>
          <w:rFonts w:ascii="宋体" w:hAnsi="宋体" w:cs="宋体"/>
          <w:i/>
          <w:iCs/>
          <w:kern w:val="0"/>
          <w:sz w:val="28"/>
          <w:szCs w:val="28"/>
          <w:highlight w:val="none"/>
          <w:u w:val="single"/>
        </w:rPr>
      </w:pPr>
      <w:r>
        <w:rPr>
          <w:rFonts w:hint="eastAsia" w:ascii="宋体" w:hAnsi="宋体" w:cs="宋体"/>
          <w:i/>
          <w:iCs/>
          <w:kern w:val="0"/>
          <w:sz w:val="28"/>
          <w:szCs w:val="28"/>
          <w:highlight w:val="none"/>
          <w:u w:val="single"/>
        </w:rPr>
        <w:t>（3）单位负责人为同一人或者存在控股、管理关系的不同单位；</w:t>
      </w:r>
    </w:p>
    <w:p>
      <w:pPr>
        <w:snapToGrid w:val="0"/>
        <w:spacing w:line="360" w:lineRule="auto"/>
        <w:ind w:firstLine="560" w:firstLineChars="200"/>
        <w:rPr>
          <w:rFonts w:ascii="宋体" w:hAnsi="宋体" w:cs="宋体"/>
          <w:i/>
          <w:iCs/>
          <w:kern w:val="0"/>
          <w:sz w:val="28"/>
          <w:szCs w:val="28"/>
          <w:highlight w:val="none"/>
          <w:u w:val="single"/>
        </w:rPr>
      </w:pPr>
      <w:r>
        <w:rPr>
          <w:rFonts w:hint="eastAsia" w:ascii="宋体" w:hAnsi="宋体" w:cs="宋体"/>
          <w:i/>
          <w:iCs/>
          <w:kern w:val="0"/>
          <w:sz w:val="28"/>
          <w:szCs w:val="28"/>
          <w:highlight w:val="none"/>
          <w:u w:val="single"/>
        </w:rPr>
        <w:t>（4）处于被责令停业、财产被接管、冻结和破产状态，以及投标资格被取消或者被暂停且在暂停期内；</w:t>
      </w:r>
    </w:p>
    <w:p>
      <w:pPr>
        <w:snapToGrid w:val="0"/>
        <w:spacing w:line="360" w:lineRule="auto"/>
        <w:ind w:firstLine="560" w:firstLineChars="200"/>
        <w:rPr>
          <w:rFonts w:ascii="宋体" w:hAnsi="宋体" w:cs="宋体"/>
          <w:i/>
          <w:iCs/>
          <w:kern w:val="0"/>
          <w:sz w:val="28"/>
          <w:szCs w:val="28"/>
          <w:highlight w:val="none"/>
          <w:u w:val="single"/>
        </w:rPr>
      </w:pPr>
      <w:r>
        <w:rPr>
          <w:rFonts w:hint="eastAsia" w:ascii="宋体" w:hAnsi="宋体" w:cs="宋体"/>
          <w:i/>
          <w:iCs/>
          <w:kern w:val="0"/>
          <w:sz w:val="28"/>
          <w:szCs w:val="28"/>
          <w:highlight w:val="none"/>
          <w:u w:val="single"/>
        </w:rPr>
        <w:t>（5）投标人近3年内有行贿犯罪行为且被记录，或者法定代表人有行贿犯罪记录且自记录之日起未超过 5年的。</w:t>
      </w:r>
    </w:p>
    <w:p>
      <w:pPr>
        <w:snapToGrid w:val="0"/>
        <w:spacing w:line="360" w:lineRule="auto"/>
        <w:ind w:firstLine="560" w:firstLineChars="200"/>
        <w:rPr>
          <w:rFonts w:ascii="宋体" w:hAnsi="宋体" w:cs="宋体"/>
          <w:i/>
          <w:iCs/>
          <w:kern w:val="0"/>
          <w:sz w:val="28"/>
          <w:szCs w:val="28"/>
          <w:highlight w:val="none"/>
          <w:u w:val="single"/>
        </w:rPr>
      </w:pPr>
      <w:r>
        <w:rPr>
          <w:rFonts w:hint="eastAsia" w:ascii="宋体" w:hAnsi="宋体" w:cs="宋体"/>
          <w:i/>
          <w:iCs/>
          <w:kern w:val="0"/>
          <w:sz w:val="28"/>
          <w:szCs w:val="28"/>
          <w:highlight w:val="none"/>
          <w:u w:val="single"/>
        </w:rPr>
        <w:t>（三）</w:t>
      </w:r>
      <w:r>
        <w:rPr>
          <w:rFonts w:hint="eastAsia" w:ascii="宋体" w:hAnsi="宋体" w:cs="宋体"/>
          <w:bCs/>
          <w:i/>
          <w:iCs/>
          <w:kern w:val="0"/>
          <w:sz w:val="28"/>
          <w:szCs w:val="28"/>
          <w:highlight w:val="none"/>
          <w:u w:val="single"/>
        </w:rPr>
        <w:t>拒绝下述供应商参加本次采购活动：</w:t>
      </w:r>
    </w:p>
    <w:p>
      <w:pPr>
        <w:shd w:val="clear" w:color="auto" w:fill="FFFFFF"/>
        <w:autoSpaceDE w:val="0"/>
        <w:adjustRightInd w:val="0"/>
        <w:snapToGrid w:val="0"/>
        <w:spacing w:line="360" w:lineRule="auto"/>
        <w:ind w:firstLine="560" w:firstLineChars="200"/>
        <w:jc w:val="left"/>
        <w:rPr>
          <w:rFonts w:ascii="宋体" w:hAnsi="宋体" w:cs="宋体"/>
          <w:i/>
          <w:iCs/>
          <w:kern w:val="0"/>
          <w:sz w:val="28"/>
          <w:szCs w:val="28"/>
          <w:highlight w:val="none"/>
          <w:u w:val="single"/>
        </w:rPr>
      </w:pPr>
      <w:r>
        <w:rPr>
          <w:rFonts w:hint="eastAsia" w:ascii="宋体" w:hAnsi="宋体" w:cs="宋体"/>
          <w:i/>
          <w:iCs/>
          <w:sz w:val="28"/>
          <w:szCs w:val="28"/>
          <w:highlight w:val="none"/>
          <w:u w:val="single"/>
        </w:rPr>
        <w:t>供应商被“信用中国”网站（www.creditchina.gov.cn）、“中国政府采购网”(www.ccgp.gov.cn)列入失信被执行人、重大税收违法案件当事人名单、政府采购严重违法失信行为记录名单</w:t>
      </w:r>
      <w:r>
        <w:rPr>
          <w:rFonts w:hint="eastAsia" w:ascii="宋体" w:hAnsi="宋体" w:cs="宋体"/>
          <w:b/>
          <w:i/>
          <w:iCs/>
          <w:sz w:val="28"/>
          <w:szCs w:val="28"/>
          <w:highlight w:val="none"/>
          <w:u w:val="single"/>
        </w:rPr>
        <w:t>（提供本项目报名截止日后的以上两个网站截图并加盖单位公章）</w:t>
      </w:r>
      <w:r>
        <w:rPr>
          <w:rFonts w:hint="eastAsia" w:ascii="宋体" w:hAnsi="宋体" w:cs="宋体"/>
          <w:i/>
          <w:iCs/>
          <w:sz w:val="28"/>
          <w:szCs w:val="28"/>
          <w:highlight w:val="none"/>
          <w:u w:val="singl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二、本项目采用资格后审法，唱标后，进行资格审定。</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三、投标人应按附件</w:t>
      </w:r>
      <w:r>
        <w:rPr>
          <w:rFonts w:ascii="宋体" w:hAnsi="宋体" w:cs="宋体"/>
          <w:sz w:val="28"/>
          <w:szCs w:val="28"/>
          <w:highlight w:val="none"/>
        </w:rPr>
        <w:t>2</w:t>
      </w:r>
      <w:r>
        <w:rPr>
          <w:rFonts w:hint="eastAsia" w:ascii="宋体" w:hAnsi="宋体" w:cs="宋体"/>
          <w:sz w:val="28"/>
          <w:szCs w:val="28"/>
          <w:highlight w:val="none"/>
        </w:rPr>
        <w:t>、附件</w:t>
      </w:r>
      <w:r>
        <w:rPr>
          <w:rFonts w:ascii="宋体" w:hAnsi="宋体" w:cs="宋体"/>
          <w:sz w:val="28"/>
          <w:szCs w:val="28"/>
          <w:highlight w:val="none"/>
        </w:rPr>
        <w:t>3</w:t>
      </w:r>
      <w:r>
        <w:rPr>
          <w:rFonts w:hint="eastAsia" w:ascii="宋体" w:hAnsi="宋体" w:cs="宋体"/>
          <w:sz w:val="28"/>
          <w:szCs w:val="28"/>
          <w:highlight w:val="none"/>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供方于合同生效之日起50天内完成设备运输（含上、下力）、安装调试等，所有费用由供方承担，安装调试完毕后需方用户负责试用并签收。</w:t>
      </w:r>
    </w:p>
    <w:p>
      <w:pPr>
        <w:pStyle w:val="40"/>
        <w:adjustRightInd w:val="0"/>
        <w:snapToGrid w:val="0"/>
        <w:spacing w:before="0" w:beforeAutospacing="0" w:after="0" w:afterAutospacing="0" w:line="360" w:lineRule="auto"/>
        <w:ind w:firstLine="560" w:firstLineChars="200"/>
        <w:rPr>
          <w:color w:val="auto"/>
          <w:kern w:val="2"/>
          <w:sz w:val="28"/>
          <w:szCs w:val="28"/>
          <w:highlight w:val="none"/>
        </w:rPr>
      </w:pPr>
      <w:r>
        <w:rPr>
          <w:rFonts w:hint="eastAsia"/>
          <w:color w:val="auto"/>
          <w:kern w:val="2"/>
          <w:sz w:val="28"/>
          <w:szCs w:val="28"/>
          <w:highlight w:val="none"/>
        </w:rPr>
        <w:t>六、本项目预算价为26.00万元，本项目只接受人民币报价。</w:t>
      </w:r>
    </w:p>
    <w:p>
      <w:pPr>
        <w:spacing w:line="360" w:lineRule="auto"/>
        <w:ind w:firstLine="548" w:firstLineChars="196"/>
        <w:rPr>
          <w:rFonts w:ascii="宋体" w:cs="宋体"/>
          <w:sz w:val="28"/>
          <w:szCs w:val="28"/>
          <w:highlight w:val="none"/>
        </w:rPr>
      </w:pPr>
      <w:r>
        <w:rPr>
          <w:rFonts w:hint="eastAsia" w:ascii="宋体" w:hAnsi="宋体" w:cs="宋体"/>
          <w:color w:val="auto"/>
          <w:sz w:val="28"/>
          <w:szCs w:val="28"/>
        </w:rPr>
        <w:t>七、进口货物的外贸代理公司由投标人（中标人）在我校确定的两家外贸代理公司中自行选择（江苏苏美达仪器设备有限公司，练经理：025-84531280，15205153042；江苏海外集团国际技术工程有限公司，方经理：025-84795955，15996350251），代理费由投标人与所选外贸公司协商确定并含在报价中。我校协助办理入关、免税等相关证明材料手续。</w:t>
      </w:r>
      <w:bookmarkStart w:id="12" w:name="_GoBack"/>
      <w:bookmarkEnd w:id="12"/>
    </w:p>
    <w:p>
      <w:pPr>
        <w:spacing w:before="312" w:beforeLines="100" w:after="312" w:afterLines="100" w:line="360" w:lineRule="auto"/>
        <w:ind w:firstLine="548" w:firstLineChars="196"/>
        <w:jc w:val="center"/>
        <w:rPr>
          <w:rFonts w:ascii="黑体" w:hAnsi="黑体" w:eastAsia="黑体" w:cs="宋体"/>
          <w:sz w:val="28"/>
          <w:szCs w:val="28"/>
          <w:highlight w:val="none"/>
        </w:rPr>
      </w:pPr>
      <w:bookmarkStart w:id="5" w:name="_Hlk9866140"/>
      <w:r>
        <w:rPr>
          <w:rFonts w:hint="eastAsia" w:ascii="黑体" w:hAnsi="黑体" w:eastAsia="黑体" w:cs="宋体"/>
          <w:sz w:val="28"/>
          <w:szCs w:val="28"/>
          <w:highlight w:val="none"/>
        </w:rPr>
        <w:t>三、对投标文件的要求</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投标人根据招标公告向我校提出报名后，从我校取得正式招标文件（纸质或电子版），并按招标文件的要求认真编制投标文件。</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投标文件一正四副，正、副本均须列出目录，内容不得有插行、涂抹、粘贴等，并打印装订成册。</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为便于唱标和减少浪费，请将</w:t>
      </w:r>
      <w:r>
        <w:rPr>
          <w:rFonts w:ascii="宋体" w:hAnsi="宋体" w:cs="宋体"/>
          <w:sz w:val="28"/>
          <w:szCs w:val="28"/>
          <w:highlight w:val="none"/>
        </w:rPr>
        <w:t>1</w:t>
      </w:r>
      <w:r>
        <w:rPr>
          <w:rFonts w:hint="eastAsia" w:ascii="宋体" w:hAnsi="宋体" w:cs="宋体"/>
          <w:sz w:val="28"/>
          <w:szCs w:val="28"/>
          <w:highlight w:val="none"/>
        </w:rPr>
        <w:t>份正本单独封装，另外</w:t>
      </w:r>
      <w:r>
        <w:rPr>
          <w:rFonts w:ascii="宋体" w:hAnsi="宋体" w:cs="宋体"/>
          <w:sz w:val="28"/>
          <w:szCs w:val="28"/>
          <w:highlight w:val="none"/>
        </w:rPr>
        <w:t>4</w:t>
      </w:r>
      <w:r>
        <w:rPr>
          <w:rFonts w:hint="eastAsia" w:ascii="宋体" w:hAnsi="宋体" w:cs="宋体"/>
          <w:sz w:val="28"/>
          <w:szCs w:val="28"/>
          <w:highlight w:val="none"/>
        </w:rPr>
        <w:t>份副本可叠加封装在一个大的档案袋中（</w:t>
      </w:r>
      <w:r>
        <w:rPr>
          <w:rFonts w:ascii="宋体" w:hAnsi="宋体" w:cs="宋体"/>
          <w:sz w:val="28"/>
          <w:szCs w:val="28"/>
          <w:highlight w:val="none"/>
        </w:rPr>
        <w:t>4</w:t>
      </w:r>
      <w:r>
        <w:rPr>
          <w:rFonts w:hint="eastAsia" w:ascii="宋体" w:hAnsi="宋体" w:cs="宋体"/>
          <w:sz w:val="28"/>
          <w:szCs w:val="28"/>
          <w:highlight w:val="none"/>
        </w:rPr>
        <w:t>份副本无需分别封装在</w:t>
      </w:r>
      <w:r>
        <w:rPr>
          <w:rFonts w:ascii="宋体" w:hAnsi="宋体" w:cs="宋体"/>
          <w:sz w:val="28"/>
          <w:szCs w:val="28"/>
          <w:highlight w:val="none"/>
        </w:rPr>
        <w:t>4</w:t>
      </w:r>
      <w:r>
        <w:rPr>
          <w:rFonts w:hint="eastAsia" w:ascii="宋体" w:hAnsi="宋体" w:cs="宋体"/>
          <w:sz w:val="28"/>
          <w:szCs w:val="28"/>
          <w:highlight w:val="none"/>
        </w:rPr>
        <w:t>个档案袋中，一个大档案袋封装不下的除外）。每家投标人在送交投标文件时，只需交</w:t>
      </w:r>
      <w:r>
        <w:rPr>
          <w:rFonts w:ascii="宋体" w:hAnsi="宋体" w:cs="宋体"/>
          <w:sz w:val="28"/>
          <w:szCs w:val="28"/>
          <w:highlight w:val="none"/>
        </w:rPr>
        <w:t>2</w:t>
      </w:r>
      <w:r>
        <w:rPr>
          <w:rFonts w:hint="eastAsia" w:ascii="宋体" w:hAnsi="宋体" w:cs="宋体"/>
          <w:sz w:val="28"/>
          <w:szCs w:val="28"/>
          <w:highlight w:val="none"/>
        </w:rPr>
        <w:t>个档案袋即可，即</w:t>
      </w:r>
      <w:r>
        <w:rPr>
          <w:rFonts w:ascii="宋体" w:hAnsi="宋体" w:cs="宋体"/>
          <w:sz w:val="28"/>
          <w:szCs w:val="28"/>
          <w:highlight w:val="none"/>
        </w:rPr>
        <w:t>1</w:t>
      </w:r>
      <w:r>
        <w:rPr>
          <w:rFonts w:hint="eastAsia" w:ascii="宋体" w:hAnsi="宋体" w:cs="宋体"/>
          <w:sz w:val="28"/>
          <w:szCs w:val="28"/>
          <w:highlight w:val="none"/>
        </w:rPr>
        <w:t>个正本档案袋，</w:t>
      </w:r>
      <w:r>
        <w:rPr>
          <w:rFonts w:ascii="宋体" w:hAnsi="宋体" w:cs="宋体"/>
          <w:sz w:val="28"/>
          <w:szCs w:val="28"/>
          <w:highlight w:val="none"/>
        </w:rPr>
        <w:t>1</w:t>
      </w:r>
      <w:r>
        <w:rPr>
          <w:rFonts w:hint="eastAsia" w:ascii="宋体" w:hAnsi="宋体" w:cs="宋体"/>
          <w:sz w:val="28"/>
          <w:szCs w:val="28"/>
          <w:highlight w:val="none"/>
        </w:rPr>
        <w:t>个大的副本档案袋。</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投标文件应包含以下内容（所有材料必须加盖投标单位公章）：</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）经投标单位法人或委托代理人代表签字并加盖单位公章的投标函（附件</w:t>
      </w:r>
      <w:r>
        <w:rPr>
          <w:rFonts w:ascii="宋体" w:hAnsi="宋体" w:cs="宋体"/>
          <w:sz w:val="28"/>
          <w:szCs w:val="28"/>
          <w:highlight w:val="none"/>
        </w:rPr>
        <w:t>2</w:t>
      </w:r>
      <w:r>
        <w:rPr>
          <w:rFonts w:hint="eastAsia" w:ascii="宋体" w:hAnsi="宋体" w:cs="宋体"/>
          <w:sz w:val="28"/>
          <w:szCs w:val="28"/>
          <w:highlight w:val="none"/>
        </w:rPr>
        <w:t>格式，为便于唱标，此函件请务必放置在投标文件内页的第一页）；</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）投标价格明细表（附件</w:t>
      </w:r>
      <w:r>
        <w:rPr>
          <w:rFonts w:ascii="宋体" w:hAnsi="宋体" w:cs="宋体"/>
          <w:sz w:val="28"/>
          <w:szCs w:val="28"/>
          <w:highlight w:val="none"/>
        </w:rPr>
        <w:t>3</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）投标人相关资质证明文件复印件（如：营业执照、组织机构代码证、银行基本户开户证、生产许可证、资质证书等）；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）授权委托书、被委托人身份证复印件；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）产品（或服务，下同）技术性能参数的详细描述一览表（投标文件在对投标标的物进行技术和商务描述时，必须完全按照招标文件附件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中的章节顺序依次逐条响应，不得颠倒顺序，不得有漏项，不得原封不动地引用招标文件附件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中的章节、句段；投标文件应采用文字加图片或图形描述的方式对标的物进行必要的、详尽的说明；</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）产品技术和商务指标偏差表；</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）产品服务方案；</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9</w:t>
      </w:r>
      <w:r>
        <w:rPr>
          <w:rFonts w:hint="eastAsia" w:ascii="宋体" w:hAnsi="宋体" w:cs="宋体"/>
          <w:sz w:val="28"/>
          <w:szCs w:val="28"/>
          <w:highlight w:val="none"/>
        </w:rPr>
        <w:t>）产品销售授权书或代理证书（如系代理公司的）；</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10)</w:t>
      </w:r>
      <w:r>
        <w:rPr>
          <w:rFonts w:hint="eastAsia" w:ascii="宋体" w:hAnsi="宋体" w:cs="宋体"/>
          <w:sz w:val="28"/>
          <w:szCs w:val="28"/>
          <w:highlight w:val="none"/>
        </w:rPr>
        <w:t xml:space="preserve"> 产品质量、工期、安全、管理及售后服务承诺书；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11</w:t>
      </w:r>
      <w:r>
        <w:rPr>
          <w:rFonts w:hint="eastAsia" w:ascii="宋体" w:hAnsi="宋体" w:cs="宋体"/>
          <w:sz w:val="28"/>
          <w:szCs w:val="28"/>
          <w:highlight w:val="none"/>
        </w:rPr>
        <w:t>）产品质量检测报告、质保、认证等证书；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12</w:t>
      </w:r>
      <w:r>
        <w:rPr>
          <w:rFonts w:hint="eastAsia" w:ascii="宋体" w:hAnsi="宋体" w:cs="宋体"/>
          <w:sz w:val="28"/>
          <w:szCs w:val="28"/>
          <w:highlight w:val="none"/>
        </w:rPr>
        <w:t>）投标单位或产品或服务近三年相关业绩证明材料（含中标通知书、合同及竣工验收意见表，三者缺一不可）；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13</w:t>
      </w:r>
      <w:r>
        <w:rPr>
          <w:rFonts w:hint="eastAsia" w:ascii="宋体" w:hAnsi="宋体" w:cs="宋体"/>
          <w:sz w:val="28"/>
          <w:szCs w:val="28"/>
          <w:highlight w:val="none"/>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14</w:t>
      </w:r>
      <w:r>
        <w:rPr>
          <w:rFonts w:hint="eastAsia" w:ascii="宋体" w:hAnsi="宋体" w:cs="宋体"/>
          <w:sz w:val="28"/>
          <w:szCs w:val="28"/>
          <w:highlight w:val="none"/>
        </w:rPr>
        <w:t>）招标文件规定或投标人对照评标办法的得分因素以及附件</w:t>
      </w:r>
      <w:r>
        <w:rPr>
          <w:rFonts w:ascii="宋体" w:hAnsi="宋体" w:cs="宋体"/>
          <w:sz w:val="28"/>
          <w:szCs w:val="28"/>
          <w:highlight w:val="none"/>
        </w:rPr>
        <w:t>1</w:t>
      </w:r>
      <w:r>
        <w:rPr>
          <w:rFonts w:hint="eastAsia" w:ascii="宋体" w:hAnsi="宋体" w:cs="宋体"/>
          <w:sz w:val="28"/>
          <w:szCs w:val="28"/>
          <w:highlight w:val="none"/>
        </w:rPr>
        <w:t>相关要求认为应提交的其他资料和文件。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15</w:t>
      </w:r>
      <w:r>
        <w:rPr>
          <w:rFonts w:hint="eastAsia" w:ascii="宋体" w:hAnsi="宋体" w:cs="宋体"/>
          <w:sz w:val="28"/>
          <w:szCs w:val="28"/>
          <w:highlight w:val="none"/>
        </w:rPr>
        <w:t>）</w:t>
      </w:r>
      <w:r>
        <w:rPr>
          <w:rFonts w:hint="eastAsia"/>
          <w:sz w:val="28"/>
          <w:szCs w:val="28"/>
          <w:highlight w:val="none"/>
        </w:rPr>
        <w:t>投标人必须投本标书所有标段的设备，不允许分标段投标；标书中服务器标段必须满足所有参数要求，其余标段标</w:t>
      </w:r>
      <w:r>
        <w:rPr>
          <w:rFonts w:hint="eastAsia" w:ascii="宋体" w:hAnsi="宋体" w:cs="Arial"/>
          <w:kern w:val="0"/>
          <w:sz w:val="18"/>
          <w:szCs w:val="18"/>
          <w:highlight w:val="none"/>
        </w:rPr>
        <w:t>★</w:t>
      </w:r>
      <w:r>
        <w:rPr>
          <w:rFonts w:hint="eastAsia"/>
          <w:sz w:val="28"/>
          <w:szCs w:val="28"/>
          <w:highlight w:val="none"/>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投标人在投标文件中应承诺对如下内容已完全理解，如不承诺，视为认可：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）在参与我校相关项目的招投标活动中，遵纪守法，诚信经营，公平竞争；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）不采取不正当手段诋毁、排挤其他投标人；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）本项目的中标单位由本校评标专家组按规定程序确定（采用“评定分离”制的项目除外）；</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）未能中标单位，本校对其原因不作解释；</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）投标单位对本文件其他内容已充分理解，并承诺一经中标即严格按合同执行，合同附件与合同有同等法律效力。</w:t>
      </w:r>
    </w:p>
    <w:bookmarkEnd w:id="5"/>
    <w:p>
      <w:pPr>
        <w:spacing w:before="312" w:beforeLines="100" w:after="312" w:afterLines="100" w:line="360" w:lineRule="auto"/>
        <w:ind w:firstLine="548" w:firstLineChars="196"/>
        <w:jc w:val="center"/>
        <w:rPr>
          <w:rFonts w:ascii="黑体" w:hAnsi="黑体" w:eastAsia="黑体" w:cs="宋体"/>
          <w:sz w:val="28"/>
          <w:szCs w:val="28"/>
          <w:highlight w:val="none"/>
        </w:rPr>
      </w:pPr>
      <w:bookmarkStart w:id="6" w:name="_Hlk9866206"/>
      <w:r>
        <w:rPr>
          <w:rFonts w:hint="eastAsia" w:ascii="黑体" w:hAnsi="黑体" w:eastAsia="黑体" w:cs="宋体"/>
          <w:sz w:val="28"/>
          <w:szCs w:val="28"/>
          <w:highlight w:val="none"/>
        </w:rPr>
        <w:t>四、开标程序</w:t>
      </w:r>
    </w:p>
    <w:bookmarkEnd w:id="6"/>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招标文件给出评标办法（见附件</w:t>
      </w:r>
      <w:r>
        <w:rPr>
          <w:rFonts w:ascii="宋体" w:hAnsi="宋体" w:cs="宋体"/>
          <w:color w:val="auto"/>
          <w:sz w:val="28"/>
          <w:szCs w:val="28"/>
          <w:highlight w:val="none"/>
        </w:rPr>
        <w:t>5</w:t>
      </w:r>
      <w:r>
        <w:rPr>
          <w:rFonts w:hint="eastAsia" w:ascii="宋体" w:hAnsi="宋体" w:cs="宋体"/>
          <w:color w:val="auto"/>
          <w:sz w:val="28"/>
          <w:szCs w:val="28"/>
          <w:highlight w:val="none"/>
        </w:rPr>
        <w:t>）</w:t>
      </w:r>
      <w:r>
        <w:rPr>
          <w:rFonts w:ascii="宋体" w:cs="宋体"/>
          <w:color w:val="auto"/>
          <w:sz w:val="28"/>
          <w:szCs w:val="28"/>
          <w:highlight w:val="none"/>
        </w:rPr>
        <w:t>,</w:t>
      </w:r>
      <w:r>
        <w:rPr>
          <w:rFonts w:hint="eastAsia" w:ascii="宋体" w:hAnsi="宋体" w:cs="宋体"/>
          <w:color w:val="auto"/>
          <w:sz w:val="28"/>
          <w:szCs w:val="28"/>
          <w:highlight w:val="none"/>
        </w:rPr>
        <w:t>供投标人和评标专家组参考。</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由</w:t>
      </w:r>
      <w:r>
        <w:rPr>
          <w:rFonts w:hint="eastAsia" w:ascii="宋体" w:hAnsi="宋体" w:cs="宋体"/>
          <w:color w:val="auto"/>
          <w:sz w:val="28"/>
          <w:szCs w:val="28"/>
          <w:highlight w:val="none"/>
          <w:lang w:val="en-US" w:eastAsia="zh-CN"/>
        </w:rPr>
        <w:t>招标办</w:t>
      </w:r>
      <w:r>
        <w:rPr>
          <w:rFonts w:hint="eastAsia" w:ascii="宋体" w:hAnsi="宋体" w:cs="宋体"/>
          <w:color w:val="auto"/>
          <w:sz w:val="28"/>
          <w:szCs w:val="28"/>
          <w:highlight w:val="none"/>
        </w:rPr>
        <w:t>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招标办工作人员在投标人的见证下唱标。投标人或投标人代表在唱标结果上签名确认。如投标人均未参加唱标，则由招标办工作人员和评标专家组组长、采购人代表共同签名确认。重要项目另请纪检监察部门代表签字。</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color w:val="auto"/>
          <w:sz w:val="28"/>
          <w:szCs w:val="28"/>
          <w:highlight w:val="none"/>
        </w:rPr>
      </w:pPr>
      <w:r>
        <w:rPr>
          <w:rFonts w:hint="eastAsia" w:ascii="宋体" w:hAnsi="宋体" w:cs="宋体"/>
          <w:color w:val="auto"/>
          <w:sz w:val="28"/>
          <w:szCs w:val="28"/>
          <w:highlight w:val="none"/>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）投标文件中的大写金额与小写金额不一致的，以大写金额为准；正本和副本不一致的，以正本为准。</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）总价金额与依据单价计算出的结果不一致的，以单价金额为准修正总价，但单价金额小数点有明显错误的除外。</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7.</w:t>
      </w:r>
      <w:r>
        <w:rPr>
          <w:rFonts w:hint="eastAsia" w:ascii="宋体" w:hAnsi="宋体" w:cs="宋体"/>
          <w:color w:val="auto"/>
          <w:sz w:val="28"/>
          <w:szCs w:val="28"/>
          <w:highlight w:val="none"/>
        </w:rPr>
        <w:t>招标办根据评标专家组综合排序，在学校网站和招标办网站对拟中标单位进行公示。公示结束，无异议，确定中标单位。</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五、无效投标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投标文件出现下列情形的，将作为无效投标文件，不得进入评标：</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投标文件未按照招标文件的要求予以密封的；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投标文件少项漏项，或关键内容字迹模糊、无法辨认的；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有</w:t>
      </w:r>
      <w:r>
        <w:rPr>
          <w:rFonts w:ascii="宋体" w:hAnsi="宋体" w:cs="宋体"/>
          <w:sz w:val="28"/>
          <w:szCs w:val="28"/>
          <w:highlight w:val="none"/>
        </w:rPr>
        <w:t>1</w:t>
      </w:r>
      <w:r>
        <w:rPr>
          <w:rFonts w:hint="eastAsia" w:ascii="宋体" w:hAnsi="宋体" w:cs="宋体"/>
          <w:sz w:val="28"/>
          <w:szCs w:val="28"/>
          <w:highlight w:val="none"/>
        </w:rPr>
        <w:t>个核心指标或有</w:t>
      </w:r>
      <w:r>
        <w:rPr>
          <w:rFonts w:ascii="宋体" w:hAnsi="宋体" w:cs="宋体"/>
          <w:sz w:val="28"/>
          <w:szCs w:val="28"/>
          <w:highlight w:val="none"/>
        </w:rPr>
        <w:t>5</w:t>
      </w:r>
      <w:r>
        <w:rPr>
          <w:rFonts w:hint="eastAsia" w:ascii="宋体" w:hAnsi="宋体" w:cs="宋体"/>
          <w:sz w:val="28"/>
          <w:szCs w:val="28"/>
          <w:highlight w:val="none"/>
        </w:rPr>
        <w:t>个及以上非核心指标未能满足的；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技术指标响应内容未按照招标文件附件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中的章节顺序依次逐条响应；投标文件未采用文字加图片或图形描述的方式对货物进行必要的、详尽的说明，原封不动地引用招标文件附件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8.</w:t>
      </w:r>
      <w:r>
        <w:rPr>
          <w:rFonts w:hint="eastAsia" w:ascii="宋体" w:hAnsi="宋体" w:cs="宋体"/>
          <w:sz w:val="28"/>
          <w:szCs w:val="28"/>
          <w:highlight w:val="none"/>
        </w:rPr>
        <w:t>报价超过预算金额，或以人民币之外的币种报价的；</w:t>
      </w:r>
    </w:p>
    <w:p>
      <w:pPr>
        <w:spacing w:line="360" w:lineRule="auto"/>
        <w:ind w:firstLine="548" w:firstLineChars="196"/>
        <w:rPr>
          <w:rFonts w:ascii="宋体" w:hAnsi="宋体" w:cs="宋体"/>
          <w:b/>
          <w:sz w:val="28"/>
          <w:szCs w:val="28"/>
          <w:highlight w:val="none"/>
        </w:rPr>
      </w:pPr>
      <w:r>
        <w:rPr>
          <w:rFonts w:ascii="宋体" w:hAnsi="宋体" w:cs="宋体"/>
          <w:sz w:val="28"/>
          <w:szCs w:val="28"/>
          <w:highlight w:val="none"/>
        </w:rPr>
        <w:t>9.</w:t>
      </w:r>
      <w:r>
        <w:rPr>
          <w:rFonts w:hint="eastAsia" w:ascii="宋体" w:hAnsi="宋体" w:cs="宋体"/>
          <w:sz w:val="28"/>
          <w:szCs w:val="28"/>
          <w:highlight w:val="none"/>
        </w:rPr>
        <w:t>无</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元报名资料费银行转账回单复印件的，或报名资料费银行转账回单中无</w:t>
      </w:r>
      <w:r>
        <w:rPr>
          <w:rFonts w:hint="eastAsia" w:ascii="宋体" w:hAnsi="宋体" w:cs="宋体"/>
          <w:b/>
          <w:sz w:val="28"/>
          <w:szCs w:val="28"/>
          <w:highlight w:val="none"/>
        </w:rPr>
        <w:t>“SBC2020055资料费”</w:t>
      </w:r>
      <w:r>
        <w:rPr>
          <w:rFonts w:hint="eastAsia" w:ascii="宋体" w:hAnsi="宋体" w:cs="宋体"/>
          <w:sz w:val="28"/>
          <w:szCs w:val="28"/>
          <w:highlight w:val="none"/>
        </w:rPr>
        <w:t>字样的；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10.</w:t>
      </w:r>
      <w:r>
        <w:rPr>
          <w:rFonts w:hint="eastAsia" w:ascii="宋体" w:hAnsi="宋体" w:cs="宋体"/>
          <w:sz w:val="28"/>
          <w:szCs w:val="28"/>
          <w:highlight w:val="none"/>
        </w:rPr>
        <w:t>招标文件中虽没明确，但经评标专家组讨论通过的符合无效投标情形的其他条件。</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六、评标办法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本着“质量第一、价格合理、服务优异、保障有力”的原则，由采购人、项目归口管理部门和</w:t>
      </w:r>
      <w:r>
        <w:rPr>
          <w:rFonts w:hint="eastAsia" w:ascii="宋体" w:hAnsi="宋体" w:cs="宋体"/>
          <w:sz w:val="28"/>
          <w:szCs w:val="28"/>
          <w:highlight w:val="none"/>
          <w:lang w:val="en-US" w:eastAsia="zh-CN"/>
        </w:rPr>
        <w:t>招标办</w:t>
      </w:r>
      <w:r>
        <w:rPr>
          <w:rFonts w:hint="eastAsia" w:ascii="宋体" w:hAnsi="宋体" w:cs="宋体"/>
          <w:sz w:val="28"/>
          <w:szCs w:val="28"/>
          <w:highlight w:val="none"/>
        </w:rPr>
        <w:t>从报价得分、技术得分、服务、业绩、信誉得分五个方面提出评标办法（见附件</w:t>
      </w:r>
      <w:r>
        <w:rPr>
          <w:rFonts w:ascii="宋体" w:hAnsi="宋体" w:cs="宋体"/>
          <w:sz w:val="28"/>
          <w:szCs w:val="28"/>
          <w:highlight w:val="none"/>
        </w:rPr>
        <w:t>5</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为保证招标质量，在评标办法中设核心指标。每个分包的核心指标不超过</w:t>
      </w:r>
      <w:r>
        <w:rPr>
          <w:rFonts w:ascii="宋体" w:hAnsi="宋体" w:cs="宋体"/>
          <w:sz w:val="28"/>
          <w:szCs w:val="28"/>
          <w:highlight w:val="none"/>
        </w:rPr>
        <w:t>5</w:t>
      </w:r>
      <w:r>
        <w:rPr>
          <w:rFonts w:hint="eastAsia" w:ascii="宋体" w:hAnsi="宋体" w:cs="宋体"/>
          <w:sz w:val="28"/>
          <w:szCs w:val="28"/>
          <w:highlight w:val="none"/>
        </w:rPr>
        <w:t>个。</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七、合同、履约、验收及结算等事项</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合同：</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）中标公示结束无异议后</w:t>
      </w:r>
      <w:r>
        <w:rPr>
          <w:rFonts w:ascii="宋体" w:hAnsi="宋体" w:cs="宋体"/>
          <w:color w:val="auto"/>
          <w:sz w:val="28"/>
          <w:szCs w:val="28"/>
          <w:highlight w:val="none"/>
        </w:rPr>
        <w:t>5</w:t>
      </w:r>
      <w:r>
        <w:rPr>
          <w:rFonts w:hint="eastAsia" w:ascii="宋体" w:hAnsi="宋体" w:cs="宋体"/>
          <w:color w:val="auto"/>
          <w:sz w:val="28"/>
          <w:szCs w:val="28"/>
          <w:highlight w:val="none"/>
        </w:rPr>
        <w:t>个工作日内，中标单位须及时缴纳中标</w:t>
      </w:r>
      <w:r>
        <w:rPr>
          <w:rFonts w:hint="eastAsia" w:ascii="宋体" w:hAnsi="宋体" w:cs="宋体"/>
          <w:color w:val="auto"/>
          <w:sz w:val="28"/>
          <w:szCs w:val="28"/>
          <w:highlight w:val="none"/>
          <w:lang w:val="en-US" w:eastAsia="zh-CN"/>
        </w:rPr>
        <w:t>价</w:t>
      </w:r>
      <w:r>
        <w:rPr>
          <w:rFonts w:hint="eastAsia" w:ascii="宋体" w:hAnsi="宋体" w:cs="宋体"/>
          <w:color w:val="auto"/>
          <w:sz w:val="28"/>
          <w:szCs w:val="28"/>
          <w:highlight w:val="none"/>
        </w:rPr>
        <w:t>的10%作为履约保证金并前来我校领取《中标通知书》（一式二份）。服务完成，验收合格后返还50%履约保证金，另50%履约保证金转为质量保证金。</w:t>
      </w:r>
    </w:p>
    <w:p>
      <w:pPr>
        <w:spacing w:line="360" w:lineRule="auto"/>
        <w:ind w:firstLine="548" w:firstLineChars="196"/>
        <w:rPr>
          <w:rFonts w:hint="eastAsia" w:ascii="宋体" w:hAns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）中标单位须在接《中标通知书》起</w:t>
      </w:r>
      <w:r>
        <w:rPr>
          <w:rFonts w:ascii="宋体" w:hAnsi="宋体" w:cs="宋体"/>
          <w:color w:val="auto"/>
          <w:sz w:val="28"/>
          <w:szCs w:val="28"/>
          <w:highlight w:val="none"/>
        </w:rPr>
        <w:t>7</w:t>
      </w:r>
      <w:r>
        <w:rPr>
          <w:rFonts w:hint="eastAsia" w:ascii="宋体" w:hAnsi="宋体" w:cs="宋体"/>
          <w:color w:val="auto"/>
          <w:sz w:val="28"/>
          <w:szCs w:val="28"/>
          <w:highlight w:val="none"/>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pStyle w:val="2"/>
        <w:rPr>
          <w:rFonts w:hint="default" w:eastAsia="宋体"/>
          <w:color w:val="auto"/>
          <w:highlight w:val="none"/>
          <w:lang w:val="en-US" w:eastAsia="zh-CN"/>
        </w:rPr>
      </w:pP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3</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附件6合同仅为参考样本，最终以通过我校审核后签署的合同为准。</w:t>
      </w:r>
    </w:p>
    <w:p>
      <w:pPr>
        <w:spacing w:line="360" w:lineRule="auto"/>
        <w:ind w:firstLine="548" w:firstLineChars="196"/>
        <w:rPr>
          <w:rFonts w:ascii="宋体" w:hAns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服务地点：南京信息工程大学校内。</w:t>
      </w:r>
    </w:p>
    <w:p>
      <w:pPr>
        <w:spacing w:line="360" w:lineRule="auto"/>
        <w:ind w:firstLine="548" w:firstLineChars="196"/>
        <w:rPr>
          <w:rFonts w:ascii="宋体" w:hAns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付款方式：</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针对国内供应货物，签订合同后，20日内预付合同金额的30%，全部货物交货并验收合格后，凭验收凭证和货物验收合格等文件20内支付至合同金额的100%，质保期满后，经有关单位确认无质量问题后，一次性无息付清所有保证金。具体内容以最终签署的合同约定为准。</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针对国外供应货物（进口货物），由外贸公司开具全额发票，外贸合同中采用100%信用证，90%见单即付，10%凭最终用户方签字和盖章的验收报告支付。</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资料费：</w:t>
      </w:r>
      <w:r>
        <w:rPr>
          <w:rFonts w:ascii="宋体" w:hAnsi="宋体" w:cs="宋体"/>
          <w:sz w:val="28"/>
          <w:szCs w:val="28"/>
          <w:highlight w:val="none"/>
        </w:rPr>
        <w:t>300</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）我校不接收现金或支付宝等方式交费。各投标人务必通过单位银行基本账户提前将资料费汇至我校以下账号：户名：南京信息工程大学；账号：</w:t>
      </w:r>
      <w:r>
        <w:rPr>
          <w:rFonts w:ascii="宋体" w:hAnsi="宋体" w:cs="宋体"/>
          <w:sz w:val="28"/>
          <w:szCs w:val="28"/>
          <w:highlight w:val="none"/>
        </w:rPr>
        <w:t>10115401040000228</w:t>
      </w:r>
      <w:r>
        <w:rPr>
          <w:rFonts w:hint="eastAsia" w:ascii="宋体" w:hAnsi="宋体" w:cs="宋体"/>
          <w:sz w:val="28"/>
          <w:szCs w:val="28"/>
          <w:highlight w:val="none"/>
        </w:rPr>
        <w:t>；开户银行：中国农业银行南京盘城支行。请各投标人务必在转账留言栏备注填写</w:t>
      </w:r>
      <w:r>
        <w:rPr>
          <w:rFonts w:hint="eastAsia" w:ascii="宋体" w:hAnsi="宋体" w:cs="宋体"/>
          <w:b/>
          <w:sz w:val="28"/>
          <w:szCs w:val="28"/>
          <w:highlight w:val="none"/>
        </w:rPr>
        <w:t>“SBC2020055资料费”</w:t>
      </w:r>
      <w:r>
        <w:rPr>
          <w:rFonts w:hint="eastAsia" w:ascii="宋体" w:hAnsi="宋体" w:cs="宋体"/>
          <w:sz w:val="28"/>
          <w:szCs w:val="28"/>
          <w:highlight w:val="none"/>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w:t>
      </w:r>
      <w:r>
        <w:rPr>
          <w:rFonts w:hint="eastAsia" w:ascii="宋体" w:hAnsi="宋体" w:cs="宋体"/>
          <w:b/>
          <w:bCs/>
          <w:sz w:val="28"/>
          <w:szCs w:val="28"/>
          <w:highlight w:val="none"/>
        </w:rPr>
        <w:t>我校提供电子普通发票，招标办定期到财务结算中心对账（时间约半个月）。请投标单位在邮件报名时提供单位纳税人识别号，并确保联系人手机号及邮箱状态正常，以便接收电子发票信息。</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履约保证金（或投标保证金）：</w:t>
      </w:r>
      <w:r>
        <w:rPr>
          <w:rFonts w:hint="eastAsia" w:ascii="宋体" w:hAnsi="宋体" w:cs="宋体"/>
          <w:sz w:val="28"/>
          <w:szCs w:val="28"/>
          <w:highlight w:val="none"/>
          <w:u w:val="single"/>
        </w:rPr>
        <w:t>中标价10%</w:t>
      </w:r>
      <w:r>
        <w:rPr>
          <w:rFonts w:hint="eastAsia" w:ascii="宋体" w:hAnsi="宋体" w:cs="宋体"/>
          <w:sz w:val="28"/>
          <w:szCs w:val="28"/>
          <w:highlight w:val="none"/>
        </w:rPr>
        <w:t>。</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招标办领取中标通知书后再与采购单位签订供货和服务合同。</w:t>
      </w:r>
      <w:r>
        <w:rPr>
          <w:rFonts w:hint="eastAsia" w:ascii="宋体" w:hAnsi="宋体" w:cs="宋体"/>
          <w:sz w:val="28"/>
          <w:szCs w:val="28"/>
          <w:highlight w:val="none"/>
        </w:rPr>
        <w:t>中标价10%的履约保证金</w:t>
      </w:r>
      <w:r>
        <w:rPr>
          <w:rFonts w:hint="eastAsia" w:ascii="宋体" w:hAnsi="宋体" w:cs="宋体"/>
          <w:sz w:val="28"/>
          <w:szCs w:val="28"/>
          <w:highlight w:val="none"/>
        </w:rPr>
        <w:t>交款账号同</w:t>
      </w:r>
      <w:r>
        <w:rPr>
          <w:rFonts w:ascii="宋体" w:hAnsi="宋体" w:cs="宋体"/>
          <w:sz w:val="28"/>
          <w:szCs w:val="28"/>
          <w:highlight w:val="none"/>
        </w:rPr>
        <w:t>300</w:t>
      </w:r>
      <w:r>
        <w:rPr>
          <w:rFonts w:hint="eastAsia" w:ascii="宋体" w:hAnsi="宋体" w:cs="宋体"/>
          <w:sz w:val="28"/>
          <w:szCs w:val="28"/>
          <w:highlight w:val="none"/>
        </w:rPr>
        <w:t>元资料费。</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）履约保证金交退咨询：财务处结算中心（体育馆北面，南气宾馆东侧的大学生创业中心</w:t>
      </w:r>
      <w:r>
        <w:rPr>
          <w:rFonts w:ascii="宋体" w:hAnsi="宋体" w:cs="宋体"/>
          <w:sz w:val="28"/>
          <w:szCs w:val="28"/>
          <w:highlight w:val="none"/>
        </w:rPr>
        <w:t>3</w:t>
      </w:r>
      <w:r>
        <w:rPr>
          <w:rFonts w:hint="eastAsia" w:ascii="宋体" w:hAnsi="宋体" w:cs="宋体"/>
          <w:sz w:val="28"/>
          <w:szCs w:val="28"/>
          <w:highlight w:val="none"/>
        </w:rPr>
        <w:t>号楼二楼201）。</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）如中标单位有下列情况之一，不予退还履约保证金，我校将其列入招投标诚信“黑名单”，</w:t>
      </w:r>
      <w:r>
        <w:rPr>
          <w:rFonts w:ascii="宋体" w:hAnsi="宋体" w:cs="宋体"/>
          <w:sz w:val="28"/>
          <w:szCs w:val="28"/>
          <w:highlight w:val="none"/>
        </w:rPr>
        <w:t>3</w:t>
      </w:r>
      <w:r>
        <w:rPr>
          <w:rFonts w:hint="eastAsia" w:ascii="宋体" w:hAnsi="宋体" w:cs="宋体"/>
          <w:sz w:val="28"/>
          <w:szCs w:val="28"/>
          <w:highlight w:val="none"/>
        </w:rPr>
        <w:t>年内不得到我校从事任何投标活动。</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a.</w:t>
      </w:r>
      <w:r>
        <w:rPr>
          <w:rFonts w:hint="eastAsia" w:ascii="宋体" w:hAnsi="宋体" w:cs="宋体"/>
          <w:sz w:val="28"/>
          <w:szCs w:val="28"/>
          <w:highlight w:val="none"/>
        </w:rPr>
        <w:t>中标单位未能按学校通知，在规定时间内签署合同；或签署合同后未能履约、单方撕毁合同等；</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b.</w:t>
      </w:r>
      <w:r>
        <w:rPr>
          <w:rFonts w:hint="eastAsia" w:ascii="宋体" w:hAnsi="宋体" w:cs="宋体"/>
          <w:sz w:val="28"/>
          <w:szCs w:val="28"/>
          <w:highlight w:val="none"/>
        </w:rPr>
        <w:t>中标单位在投标过程中存在串通投标等违规或舞弊行为；或中标单位借用其他公司相关资质的；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c.</w:t>
      </w:r>
      <w:r>
        <w:rPr>
          <w:rFonts w:hint="eastAsia" w:ascii="宋体" w:hAnsi="宋体" w:cs="宋体"/>
          <w:sz w:val="28"/>
          <w:szCs w:val="28"/>
          <w:highlight w:val="none"/>
        </w:rPr>
        <w:t>出现其他不予退还履约保证金情形的。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验收：按学校验收规定执行，项目合同是验收的主要依据。</w:t>
      </w:r>
    </w:p>
    <w:p>
      <w:pPr>
        <w:widowControl/>
        <w:spacing w:line="360" w:lineRule="auto"/>
        <w:ind w:firstLine="560" w:firstLineChars="200"/>
        <w:textAlignment w:val="center"/>
        <w:rPr>
          <w:rFonts w:ascii="宋体" w:hAns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质保：参照附件4服务要求</w:t>
      </w:r>
    </w:p>
    <w:p>
      <w:pPr>
        <w:spacing w:before="312" w:beforeLines="100" w:after="312" w:afterLines="100" w:line="360" w:lineRule="auto"/>
        <w:jc w:val="center"/>
        <w:rPr>
          <w:rFonts w:ascii="黑体" w:hAnsi="黑体" w:eastAsia="黑体"/>
          <w:sz w:val="28"/>
          <w:szCs w:val="28"/>
          <w:highlight w:val="none"/>
        </w:rPr>
      </w:pPr>
      <w:bookmarkStart w:id="7" w:name="_Hlk9866833"/>
      <w:r>
        <w:rPr>
          <w:rFonts w:hint="eastAsia" w:ascii="黑体" w:hAnsi="黑体" w:eastAsia="黑体"/>
          <w:sz w:val="28"/>
          <w:szCs w:val="28"/>
          <w:highlight w:val="none"/>
        </w:rPr>
        <w:t>八、日程安排和联系方式</w:t>
      </w:r>
    </w:p>
    <w:p>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1.</w:t>
      </w:r>
      <w:r>
        <w:rPr>
          <w:rFonts w:hint="eastAsia" w:ascii="宋体" w:hAnsi="宋体"/>
          <w:color w:val="auto"/>
          <w:sz w:val="28"/>
          <w:szCs w:val="28"/>
          <w:highlight w:val="none"/>
        </w:rPr>
        <w:t>报名时间：招标信息发布后。</w:t>
      </w:r>
    </w:p>
    <w:p>
      <w:pPr>
        <w:spacing w:line="360" w:lineRule="auto"/>
        <w:ind w:firstLine="560" w:firstLineChars="200"/>
        <w:rPr>
          <w:rFonts w:ascii="宋体" w:cs="宋体"/>
          <w:color w:val="auto"/>
          <w:sz w:val="28"/>
          <w:szCs w:val="28"/>
          <w:highlight w:val="none"/>
        </w:rPr>
      </w:pPr>
      <w:r>
        <w:rPr>
          <w:rFonts w:ascii="宋体" w:hAnsi="宋体"/>
          <w:color w:val="auto"/>
          <w:sz w:val="28"/>
          <w:szCs w:val="28"/>
          <w:highlight w:val="none"/>
        </w:rPr>
        <w:t>2.</w:t>
      </w:r>
      <w:r>
        <w:rPr>
          <w:rFonts w:hint="eastAsia" w:ascii="宋体" w:hAnsi="宋体"/>
          <w:color w:val="auto"/>
          <w:sz w:val="28"/>
          <w:szCs w:val="28"/>
          <w:highlight w:val="none"/>
        </w:rPr>
        <w:t>领取招标文件：</w:t>
      </w:r>
      <w:r>
        <w:rPr>
          <w:rFonts w:hint="eastAsia" w:ascii="宋体" w:hAnsi="宋体"/>
          <w:color w:val="auto"/>
          <w:sz w:val="28"/>
          <w:szCs w:val="28"/>
          <w:highlight w:val="none"/>
          <w:u w:val="single"/>
        </w:rPr>
        <w:t>自行下载</w:t>
      </w:r>
      <w:r>
        <w:rPr>
          <w:rFonts w:hint="eastAsia" w:ascii="宋体" w:hAnsi="宋体" w:cs="宋体"/>
          <w:color w:val="auto"/>
          <w:kern w:val="0"/>
          <w:sz w:val="28"/>
          <w:szCs w:val="28"/>
          <w:highlight w:val="none"/>
        </w:rPr>
        <w:t>。</w:t>
      </w:r>
    </w:p>
    <w:p>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3.</w:t>
      </w:r>
      <w:r>
        <w:rPr>
          <w:rFonts w:hint="eastAsia" w:ascii="宋体" w:hAnsi="宋体"/>
          <w:color w:val="auto"/>
          <w:sz w:val="28"/>
          <w:szCs w:val="28"/>
          <w:highlight w:val="none"/>
        </w:rPr>
        <w:t xml:space="preserve">答疑时间：          </w:t>
      </w:r>
    </w:p>
    <w:p>
      <w:pPr>
        <w:spacing w:line="360" w:lineRule="auto"/>
        <w:rPr>
          <w:rFonts w:ascii="宋体"/>
          <w:color w:val="auto"/>
          <w:sz w:val="28"/>
          <w:szCs w:val="28"/>
          <w:highlight w:val="none"/>
        </w:rPr>
      </w:pPr>
      <w:r>
        <w:rPr>
          <w:rFonts w:hint="eastAsia" w:ascii="宋体" w:hAnsi="宋体"/>
          <w:color w:val="auto"/>
          <w:sz w:val="28"/>
          <w:szCs w:val="28"/>
          <w:highlight w:val="none"/>
        </w:rPr>
        <w:t>（</w:t>
      </w:r>
      <w:r>
        <w:rPr>
          <w:rFonts w:ascii="宋体" w:hAnsi="宋体"/>
          <w:color w:val="auto"/>
          <w:sz w:val="28"/>
          <w:szCs w:val="28"/>
          <w:highlight w:val="none"/>
        </w:rPr>
        <w:t>1</w:t>
      </w:r>
      <w:r>
        <w:rPr>
          <w:rFonts w:hint="eastAsia" w:ascii="宋体" w:hAnsi="宋体"/>
          <w:color w:val="auto"/>
          <w:sz w:val="28"/>
          <w:szCs w:val="28"/>
          <w:highlight w:val="none"/>
        </w:rPr>
        <w:t>）投标人如有疑问，请在</w:t>
      </w:r>
      <w:r>
        <w:rPr>
          <w:rFonts w:ascii="宋体" w:hAnsi="宋体"/>
          <w:b/>
          <w:color w:val="auto"/>
          <w:sz w:val="28"/>
          <w:szCs w:val="28"/>
          <w:highlight w:val="none"/>
          <w:u w:val="single"/>
        </w:rPr>
        <w:t>2020</w:t>
      </w:r>
      <w:r>
        <w:rPr>
          <w:rFonts w:hint="eastAsia" w:ascii="宋体" w:hAnsi="宋体"/>
          <w:b/>
          <w:color w:val="auto"/>
          <w:sz w:val="28"/>
          <w:szCs w:val="28"/>
          <w:highlight w:val="none"/>
          <w:u w:val="single"/>
        </w:rPr>
        <w:t>年07月</w:t>
      </w:r>
      <w:r>
        <w:rPr>
          <w:rFonts w:hint="eastAsia" w:ascii="宋体" w:hAnsi="宋体"/>
          <w:b/>
          <w:color w:val="auto"/>
          <w:sz w:val="28"/>
          <w:szCs w:val="28"/>
          <w:highlight w:val="none"/>
          <w:u w:val="single"/>
          <w:lang w:val="en-US" w:eastAsia="zh-CN"/>
        </w:rPr>
        <w:t>23</w:t>
      </w:r>
      <w:r>
        <w:rPr>
          <w:rFonts w:hint="eastAsia" w:ascii="宋体" w:hAnsi="宋体"/>
          <w:b/>
          <w:color w:val="auto"/>
          <w:sz w:val="28"/>
          <w:szCs w:val="28"/>
          <w:highlight w:val="none"/>
          <w:u w:val="single"/>
        </w:rPr>
        <w:t>日</w:t>
      </w:r>
      <w:r>
        <w:rPr>
          <w:rFonts w:ascii="宋体" w:hAnsi="宋体"/>
          <w:b/>
          <w:color w:val="auto"/>
          <w:sz w:val="28"/>
          <w:szCs w:val="28"/>
          <w:highlight w:val="none"/>
          <w:u w:val="single"/>
        </w:rPr>
        <w:t>11</w:t>
      </w:r>
      <w:r>
        <w:rPr>
          <w:rFonts w:hint="eastAsia" w:ascii="宋体" w:hAnsi="宋体"/>
          <w:b/>
          <w:color w:val="auto"/>
          <w:sz w:val="28"/>
          <w:szCs w:val="28"/>
          <w:highlight w:val="none"/>
          <w:u w:val="single"/>
        </w:rPr>
        <w:t>：</w:t>
      </w:r>
      <w:r>
        <w:rPr>
          <w:rFonts w:ascii="宋体" w:hAnsi="宋体"/>
          <w:b/>
          <w:color w:val="auto"/>
          <w:sz w:val="28"/>
          <w:szCs w:val="28"/>
          <w:highlight w:val="none"/>
          <w:u w:val="single"/>
        </w:rPr>
        <w:t>3</w:t>
      </w:r>
      <w:r>
        <w:rPr>
          <w:color w:val="auto"/>
          <w:highlight w:val="none"/>
        </w:rPr>
        <w:fldChar w:fldCharType="begin"/>
      </w:r>
      <w:r>
        <w:rPr>
          <w:color w:val="auto"/>
          <w:highlight w:val="none"/>
        </w:rPr>
        <w:instrText xml:space="preserve"> HYPERLINK "mailto:30前将问题一律以word格式或txt格式发至89523765@qq.com" </w:instrText>
      </w:r>
      <w:r>
        <w:rPr>
          <w:color w:val="auto"/>
          <w:highlight w:val="none"/>
        </w:rPr>
        <w:fldChar w:fldCharType="separate"/>
      </w:r>
      <w:r>
        <w:rPr>
          <w:rFonts w:ascii="宋体"/>
          <w:b/>
          <w:color w:val="auto"/>
          <w:sz w:val="28"/>
          <w:szCs w:val="28"/>
          <w:highlight w:val="none"/>
          <w:u w:val="single"/>
        </w:rPr>
        <w:t>0</w:t>
      </w:r>
      <w:r>
        <w:rPr>
          <w:rFonts w:hint="eastAsia" w:ascii="宋体" w:hAnsi="宋体"/>
          <w:color w:val="auto"/>
          <w:sz w:val="28"/>
          <w:szCs w:val="28"/>
          <w:highlight w:val="none"/>
        </w:rPr>
        <w:t>前将问题以</w:t>
      </w:r>
      <w:r>
        <w:rPr>
          <w:rFonts w:ascii="宋体" w:hAnsi="宋体"/>
          <w:color w:val="auto"/>
          <w:sz w:val="28"/>
          <w:szCs w:val="28"/>
          <w:highlight w:val="none"/>
        </w:rPr>
        <w:t>word</w:t>
      </w:r>
      <w:r>
        <w:rPr>
          <w:rFonts w:hint="eastAsia" w:ascii="宋体" w:hAnsi="宋体"/>
          <w:color w:val="auto"/>
          <w:sz w:val="28"/>
          <w:szCs w:val="28"/>
          <w:highlight w:val="none"/>
        </w:rPr>
        <w:t>格式或</w:t>
      </w:r>
      <w:r>
        <w:rPr>
          <w:rFonts w:ascii="宋体" w:hAnsi="宋体"/>
          <w:color w:val="auto"/>
          <w:sz w:val="28"/>
          <w:szCs w:val="28"/>
          <w:highlight w:val="none"/>
        </w:rPr>
        <w:t>txt</w:t>
      </w:r>
      <w:r>
        <w:rPr>
          <w:rFonts w:hint="eastAsia" w:ascii="宋体" w:hAnsi="宋体"/>
          <w:color w:val="auto"/>
          <w:sz w:val="28"/>
          <w:szCs w:val="28"/>
          <w:highlight w:val="none"/>
        </w:rPr>
        <w:t>格式发至</w:t>
      </w:r>
      <w:r>
        <w:rPr>
          <w:rFonts w:ascii="宋体" w:hAnsi="宋体"/>
          <w:color w:val="auto"/>
          <w:sz w:val="28"/>
          <w:szCs w:val="28"/>
          <w:highlight w:val="none"/>
        </w:rPr>
        <w:t>2483567991@qq.com</w:t>
      </w:r>
      <w:r>
        <w:rPr>
          <w:rFonts w:ascii="宋体" w:hAnsi="宋体"/>
          <w:color w:val="auto"/>
          <w:sz w:val="28"/>
          <w:szCs w:val="28"/>
          <w:highlight w:val="none"/>
        </w:rPr>
        <w:fldChar w:fldCharType="end"/>
      </w:r>
      <w:r>
        <w:rPr>
          <w:rFonts w:hint="eastAsia" w:ascii="宋体" w:hAnsi="宋体"/>
          <w:color w:val="auto"/>
          <w:sz w:val="28"/>
          <w:szCs w:val="28"/>
          <w:highlight w:val="none"/>
        </w:rPr>
        <w:t>（质疑函请勿以</w:t>
      </w:r>
      <w:r>
        <w:rPr>
          <w:rFonts w:ascii="宋体" w:hAnsi="宋体"/>
          <w:color w:val="auto"/>
          <w:sz w:val="28"/>
          <w:szCs w:val="28"/>
          <w:highlight w:val="none"/>
        </w:rPr>
        <w:t>JPG</w:t>
      </w:r>
      <w:r>
        <w:rPr>
          <w:rFonts w:hint="eastAsia" w:ascii="宋体" w:hAnsi="宋体"/>
          <w:color w:val="auto"/>
          <w:sz w:val="28"/>
          <w:szCs w:val="28"/>
          <w:highlight w:val="none"/>
        </w:rPr>
        <w:t>或</w:t>
      </w:r>
      <w:r>
        <w:rPr>
          <w:rFonts w:ascii="宋体" w:hAnsi="宋体"/>
          <w:color w:val="auto"/>
          <w:sz w:val="28"/>
          <w:szCs w:val="28"/>
          <w:highlight w:val="none"/>
        </w:rPr>
        <w:t>PDF</w:t>
      </w:r>
      <w:r>
        <w:rPr>
          <w:rFonts w:hint="eastAsia" w:ascii="宋体" w:hAnsi="宋体"/>
          <w:color w:val="auto"/>
          <w:sz w:val="28"/>
          <w:szCs w:val="28"/>
          <w:highlight w:val="none"/>
        </w:rPr>
        <w:t>格式，对</w:t>
      </w:r>
      <w:r>
        <w:rPr>
          <w:rFonts w:ascii="宋体" w:hAnsi="宋体"/>
          <w:color w:val="auto"/>
          <w:sz w:val="28"/>
          <w:szCs w:val="28"/>
          <w:highlight w:val="none"/>
        </w:rPr>
        <w:t>JPG</w:t>
      </w:r>
      <w:r>
        <w:rPr>
          <w:rFonts w:hint="eastAsia" w:ascii="宋体" w:hAnsi="宋体"/>
          <w:color w:val="auto"/>
          <w:sz w:val="28"/>
          <w:szCs w:val="28"/>
          <w:highlight w:val="none"/>
        </w:rPr>
        <w:t>和</w:t>
      </w:r>
      <w:r>
        <w:rPr>
          <w:rFonts w:ascii="宋体" w:hAnsi="宋体"/>
          <w:color w:val="auto"/>
          <w:sz w:val="28"/>
          <w:szCs w:val="28"/>
          <w:highlight w:val="none"/>
        </w:rPr>
        <w:t>PDF</w:t>
      </w:r>
      <w:r>
        <w:rPr>
          <w:rFonts w:hint="eastAsia" w:ascii="宋体" w:hAnsi="宋体"/>
          <w:color w:val="auto"/>
          <w:sz w:val="28"/>
          <w:szCs w:val="28"/>
          <w:highlight w:val="none"/>
        </w:rPr>
        <w:t>格式的附件一律删除，不予采纳，敬请谅解）。</w:t>
      </w:r>
    </w:p>
    <w:p>
      <w:pPr>
        <w:spacing w:line="360" w:lineRule="auto"/>
        <w:rPr>
          <w:rFonts w:ascii="宋体"/>
          <w:color w:val="auto"/>
          <w:sz w:val="28"/>
          <w:szCs w:val="28"/>
          <w:highlight w:val="none"/>
        </w:rPr>
      </w:pPr>
      <w:r>
        <w:rPr>
          <w:rFonts w:hint="eastAsia" w:ascii="宋体" w:hAnsi="宋体"/>
          <w:color w:val="auto"/>
          <w:sz w:val="28"/>
          <w:szCs w:val="28"/>
          <w:highlight w:val="none"/>
        </w:rPr>
        <w:t>（</w:t>
      </w:r>
      <w:r>
        <w:rPr>
          <w:rFonts w:ascii="宋体" w:hAnsi="宋体"/>
          <w:color w:val="auto"/>
          <w:sz w:val="28"/>
          <w:szCs w:val="28"/>
          <w:highlight w:val="none"/>
        </w:rPr>
        <w:t>2</w:t>
      </w:r>
      <w:r>
        <w:rPr>
          <w:rFonts w:hint="eastAsia" w:ascii="宋体" w:hAnsi="宋体"/>
          <w:color w:val="auto"/>
          <w:sz w:val="28"/>
          <w:szCs w:val="28"/>
          <w:highlight w:val="none"/>
        </w:rPr>
        <w:t>）我校项目归口管理部门将通过</w:t>
      </w:r>
      <w:r>
        <w:rPr>
          <w:rFonts w:hint="eastAsia" w:ascii="宋体" w:hAnsi="宋体"/>
          <w:color w:val="auto"/>
          <w:sz w:val="28"/>
          <w:szCs w:val="28"/>
          <w:highlight w:val="none"/>
          <w:lang w:val="en-US" w:eastAsia="zh-CN"/>
        </w:rPr>
        <w:t>招标办</w:t>
      </w:r>
      <w:r>
        <w:rPr>
          <w:rFonts w:hint="eastAsia" w:ascii="宋体" w:hAnsi="宋体"/>
          <w:color w:val="auto"/>
          <w:sz w:val="28"/>
          <w:szCs w:val="28"/>
          <w:highlight w:val="none"/>
        </w:rPr>
        <w:t>向各投标人统一进行书面（或电子版）答疑回复。</w:t>
      </w:r>
    </w:p>
    <w:p>
      <w:pPr>
        <w:widowControl/>
        <w:snapToGrid w:val="0"/>
        <w:spacing w:line="360" w:lineRule="auto"/>
        <w:ind w:firstLine="548" w:firstLineChars="196"/>
        <w:rPr>
          <w:rFonts w:ascii="黑体" w:hAnsi="黑体" w:eastAsia="黑体"/>
          <w:i/>
          <w:color w:val="auto"/>
          <w:sz w:val="28"/>
          <w:szCs w:val="28"/>
          <w:highlight w:val="none"/>
        </w:rPr>
      </w:pPr>
      <w:r>
        <w:rPr>
          <w:rFonts w:hint="eastAsia" w:ascii="宋体" w:hAnsi="宋体"/>
          <w:color w:val="auto"/>
          <w:sz w:val="28"/>
          <w:szCs w:val="28"/>
          <w:highlight w:val="none"/>
        </w:rPr>
        <w:t>4.投标文件</w:t>
      </w:r>
    </w:p>
    <w:p>
      <w:pPr>
        <w:widowControl/>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（1）投标送达方式：</w:t>
      </w:r>
      <w:r>
        <w:rPr>
          <w:rFonts w:hint="eastAsia" w:ascii="宋体" w:hAnsi="宋体"/>
          <w:b/>
          <w:color w:val="auto"/>
          <w:sz w:val="28"/>
          <w:szCs w:val="28"/>
          <w:highlight w:val="none"/>
        </w:rPr>
        <w:t>只接受以邮寄方式送达，并请务必用顺丰快递</w:t>
      </w:r>
      <w:r>
        <w:rPr>
          <w:rFonts w:hint="eastAsia" w:ascii="宋体" w:hAnsi="宋体"/>
          <w:color w:val="auto"/>
          <w:sz w:val="28"/>
          <w:szCs w:val="28"/>
          <w:highlight w:val="none"/>
        </w:rPr>
        <w:t>，邮寄材料务必于投标截止时间前送达我校，请各投标单位自行安排邮寄时间，投标截止时间后，招标人不受理任何投标文件。（友情提醒：疫情期间快递耗时可能比平时长，请各投标单位予以充分考虑）。</w:t>
      </w:r>
      <w:r>
        <w:rPr>
          <w:rFonts w:hint="eastAsia" w:ascii="宋体" w:hAnsi="宋体"/>
          <w:b/>
          <w:color w:val="auto"/>
          <w:sz w:val="28"/>
          <w:szCs w:val="28"/>
          <w:highlight w:val="none"/>
        </w:rPr>
        <w:t>（若后期有调整，会将调整信息发送到各投标单位报名邮箱，请各投标单位在投标前密切关注报名邮箱）</w:t>
      </w:r>
    </w:p>
    <w:p>
      <w:pPr>
        <w:widowControl/>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（2）投标截止时间：2020年</w:t>
      </w:r>
      <w:r>
        <w:rPr>
          <w:rFonts w:hint="eastAsia" w:ascii="宋体" w:hAnsi="宋体"/>
          <w:color w:val="auto"/>
          <w:sz w:val="28"/>
          <w:szCs w:val="28"/>
          <w:highlight w:val="none"/>
          <w:lang w:val="en-US" w:eastAsia="zh-CN"/>
        </w:rPr>
        <w:t>08</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06</w:t>
      </w:r>
      <w:r>
        <w:rPr>
          <w:rFonts w:hint="eastAsia" w:ascii="宋体" w:hAnsi="宋体"/>
          <w:color w:val="auto"/>
          <w:sz w:val="28"/>
          <w:szCs w:val="28"/>
          <w:highlight w:val="none"/>
        </w:rPr>
        <w:t>日</w:t>
      </w:r>
      <w:r>
        <w:rPr>
          <w:rFonts w:hint="eastAsia" w:ascii="宋体" w:hAnsi="宋体"/>
          <w:color w:val="auto"/>
          <w:sz w:val="28"/>
          <w:szCs w:val="28"/>
          <w:highlight w:val="none"/>
          <w:lang w:val="en-US" w:eastAsia="zh-CN"/>
        </w:rPr>
        <w:t>13</w:t>
      </w:r>
      <w:r>
        <w:rPr>
          <w:rFonts w:hint="eastAsia" w:ascii="宋体" w:hAnsi="宋体"/>
          <w:color w:val="auto"/>
          <w:sz w:val="28"/>
          <w:szCs w:val="28"/>
          <w:highlight w:val="none"/>
        </w:rPr>
        <w:t>：</w:t>
      </w:r>
      <w:r>
        <w:rPr>
          <w:rFonts w:hint="eastAsia" w:ascii="宋体" w:hAnsi="宋体"/>
          <w:color w:val="auto"/>
          <w:sz w:val="28"/>
          <w:szCs w:val="28"/>
          <w:highlight w:val="none"/>
          <w:lang w:val="en-US" w:eastAsia="zh-CN"/>
        </w:rPr>
        <w:t>3</w:t>
      </w:r>
      <w:r>
        <w:rPr>
          <w:rFonts w:hint="eastAsia" w:ascii="宋体" w:hAnsi="宋体"/>
          <w:color w:val="auto"/>
          <w:sz w:val="28"/>
          <w:szCs w:val="28"/>
          <w:highlight w:val="none"/>
        </w:rPr>
        <w:t>0。</w:t>
      </w:r>
      <w:bookmarkStart w:id="8" w:name="_Hlk32349437"/>
    </w:p>
    <w:bookmarkEnd w:id="8"/>
    <w:p>
      <w:pPr>
        <w:widowControl/>
        <w:adjustRightInd w:val="0"/>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（3）邮寄送达地点：</w:t>
      </w:r>
      <w:r>
        <w:rPr>
          <w:rFonts w:hint="eastAsia" w:ascii="宋体" w:hAnsi="宋体" w:cs="宋体"/>
          <w:color w:val="auto"/>
          <w:kern w:val="0"/>
          <w:sz w:val="28"/>
          <w:szCs w:val="28"/>
          <w:highlight w:val="none"/>
        </w:rPr>
        <w:t>南京市浦口区宁六路219号</w:t>
      </w:r>
      <w:r>
        <w:rPr>
          <w:rFonts w:ascii="宋体" w:hAnsi="宋体" w:cs="宋体"/>
          <w:color w:val="auto"/>
          <w:kern w:val="0"/>
          <w:sz w:val="28"/>
          <w:szCs w:val="28"/>
          <w:highlight w:val="none"/>
        </w:rPr>
        <w:t>南京信息工程大学</w:t>
      </w:r>
      <w:r>
        <w:rPr>
          <w:rFonts w:hint="eastAsia" w:ascii="宋体" w:hAnsi="宋体"/>
          <w:color w:val="auto"/>
          <w:sz w:val="28"/>
          <w:szCs w:val="28"/>
          <w:highlight w:val="none"/>
        </w:rPr>
        <w:t>东苑大学生创业中心3号楼（体育馆北面三层小楼）210室</w:t>
      </w:r>
      <w:r>
        <w:rPr>
          <w:rFonts w:hint="eastAsia" w:ascii="宋体" w:hAnsi="宋体" w:cs="宋体"/>
          <w:color w:val="auto"/>
          <w:kern w:val="0"/>
          <w:sz w:val="28"/>
          <w:szCs w:val="28"/>
          <w:highlight w:val="none"/>
          <w:lang w:val="en-US" w:eastAsia="zh-CN"/>
        </w:rPr>
        <w:t>招标办</w:t>
      </w:r>
      <w:r>
        <w:rPr>
          <w:rFonts w:hint="eastAsia" w:ascii="宋体" w:hAnsi="宋体" w:cs="宋体"/>
          <w:color w:val="auto"/>
          <w:kern w:val="0"/>
          <w:sz w:val="28"/>
          <w:szCs w:val="28"/>
          <w:highlight w:val="none"/>
        </w:rPr>
        <w:t>。联系人：马老师、罗老师</w:t>
      </w:r>
      <w:r>
        <w:rPr>
          <w:rFonts w:hint="eastAsia" w:ascii="宋体" w:hAnsi="宋体" w:cs="宋体"/>
          <w:color w:val="auto"/>
          <w:kern w:val="0"/>
          <w:sz w:val="28"/>
          <w:szCs w:val="28"/>
          <w:highlight w:val="none"/>
          <w:lang w:eastAsia="zh-CN"/>
        </w:rPr>
        <w:t>；</w:t>
      </w:r>
      <w:r>
        <w:rPr>
          <w:rFonts w:hint="eastAsia" w:ascii="宋体" w:hAnsi="宋体" w:cs="宋体"/>
          <w:color w:val="auto"/>
          <w:kern w:val="0"/>
          <w:sz w:val="28"/>
          <w:szCs w:val="28"/>
          <w:highlight w:val="none"/>
        </w:rPr>
        <w:t>联系电话：025-58731441。</w:t>
      </w:r>
    </w:p>
    <w:p>
      <w:pPr>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5.开标、唱标和评标</w:t>
      </w:r>
    </w:p>
    <w:p>
      <w:pPr>
        <w:widowControl/>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（1）开标、唱标：2020年</w:t>
      </w:r>
      <w:r>
        <w:rPr>
          <w:rFonts w:hint="eastAsia" w:ascii="宋体" w:hAnsi="宋体"/>
          <w:color w:val="auto"/>
          <w:sz w:val="28"/>
          <w:szCs w:val="28"/>
          <w:highlight w:val="none"/>
          <w:lang w:val="en-US" w:eastAsia="zh-CN"/>
        </w:rPr>
        <w:t>08</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06</w:t>
      </w:r>
      <w:r>
        <w:rPr>
          <w:rFonts w:hint="eastAsia" w:ascii="宋体" w:hAnsi="宋体"/>
          <w:color w:val="auto"/>
          <w:sz w:val="28"/>
          <w:szCs w:val="28"/>
          <w:highlight w:val="none"/>
        </w:rPr>
        <w:t>日</w:t>
      </w:r>
      <w:r>
        <w:rPr>
          <w:rFonts w:hint="eastAsia" w:ascii="宋体" w:hAnsi="宋体"/>
          <w:color w:val="auto"/>
          <w:sz w:val="28"/>
          <w:szCs w:val="28"/>
          <w:highlight w:val="none"/>
          <w:lang w:val="en-US" w:eastAsia="zh-CN"/>
        </w:rPr>
        <w:t>13</w:t>
      </w:r>
      <w:r>
        <w:rPr>
          <w:rFonts w:hint="eastAsia" w:ascii="宋体" w:hAnsi="宋体"/>
          <w:color w:val="auto"/>
          <w:sz w:val="28"/>
          <w:szCs w:val="28"/>
          <w:highlight w:val="none"/>
        </w:rPr>
        <w:t>：</w:t>
      </w:r>
      <w:r>
        <w:rPr>
          <w:rFonts w:hint="eastAsia" w:ascii="宋体" w:hAnsi="宋体"/>
          <w:color w:val="auto"/>
          <w:sz w:val="28"/>
          <w:szCs w:val="28"/>
          <w:highlight w:val="none"/>
          <w:lang w:val="en-US" w:eastAsia="zh-CN"/>
        </w:rPr>
        <w:t>3</w:t>
      </w:r>
      <w:r>
        <w:rPr>
          <w:rFonts w:hint="eastAsia" w:ascii="宋体" w:hAnsi="宋体"/>
          <w:color w:val="auto"/>
          <w:sz w:val="28"/>
          <w:szCs w:val="28"/>
          <w:highlight w:val="none"/>
        </w:rPr>
        <w:t>0；(不安排公开开标、唱标，由</w:t>
      </w:r>
      <w:r>
        <w:rPr>
          <w:rFonts w:hint="eastAsia" w:ascii="宋体" w:hAnsi="宋体"/>
          <w:color w:val="auto"/>
          <w:sz w:val="28"/>
          <w:szCs w:val="28"/>
          <w:highlight w:val="none"/>
          <w:lang w:val="en-US" w:eastAsia="zh-CN"/>
        </w:rPr>
        <w:t>招标办</w:t>
      </w:r>
      <w:r>
        <w:rPr>
          <w:rFonts w:hint="eastAsia" w:ascii="宋体" w:hAnsi="宋体"/>
          <w:color w:val="auto"/>
          <w:sz w:val="28"/>
          <w:szCs w:val="28"/>
          <w:highlight w:val="none"/>
        </w:rPr>
        <w:t>工作人员在我校纪检监察部门监督见证下进行，开标、唱标工作全程视频监控并录像)。</w:t>
      </w:r>
    </w:p>
    <w:p>
      <w:pPr>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（2）唱标和开标地点：南京信息工程大学东苑大学生创业中心</w:t>
      </w:r>
      <w:r>
        <w:rPr>
          <w:rFonts w:ascii="宋体" w:hAnsi="宋体"/>
          <w:color w:val="auto"/>
          <w:sz w:val="28"/>
          <w:szCs w:val="28"/>
          <w:highlight w:val="none"/>
        </w:rPr>
        <w:t>3</w:t>
      </w:r>
      <w:r>
        <w:rPr>
          <w:rFonts w:hint="eastAsia" w:ascii="宋体" w:hAnsi="宋体"/>
          <w:color w:val="auto"/>
          <w:sz w:val="28"/>
          <w:szCs w:val="28"/>
          <w:highlight w:val="none"/>
        </w:rPr>
        <w:t>号楼（体育馆北面三层小楼）</w:t>
      </w:r>
      <w:r>
        <w:rPr>
          <w:rFonts w:ascii="宋体" w:hAnsi="宋体"/>
          <w:color w:val="auto"/>
          <w:sz w:val="28"/>
          <w:szCs w:val="28"/>
          <w:highlight w:val="none"/>
        </w:rPr>
        <w:t>210</w:t>
      </w:r>
      <w:r>
        <w:rPr>
          <w:rFonts w:hint="eastAsia" w:ascii="宋体" w:hAnsi="宋体"/>
          <w:color w:val="auto"/>
          <w:sz w:val="28"/>
          <w:szCs w:val="28"/>
          <w:highlight w:val="none"/>
        </w:rPr>
        <w:t>室。</w:t>
      </w:r>
    </w:p>
    <w:p>
      <w:pPr>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6.相关单位联系人及电话</w:t>
      </w:r>
    </w:p>
    <w:p>
      <w:pPr>
        <w:snapToGrid w:val="0"/>
        <w:spacing w:line="360" w:lineRule="auto"/>
        <w:ind w:firstLine="425" w:firstLineChars="152"/>
        <w:rPr>
          <w:rFonts w:ascii="宋体"/>
          <w:color w:val="auto"/>
          <w:sz w:val="28"/>
          <w:szCs w:val="28"/>
          <w:highlight w:val="none"/>
        </w:rPr>
      </w:pPr>
      <w:r>
        <w:rPr>
          <w:rFonts w:hint="eastAsia" w:ascii="宋体" w:hAnsi="宋体"/>
          <w:color w:val="auto"/>
          <w:sz w:val="28"/>
          <w:szCs w:val="28"/>
          <w:highlight w:val="none"/>
        </w:rPr>
        <w:t>（</w:t>
      </w:r>
      <w:r>
        <w:rPr>
          <w:rFonts w:ascii="宋体" w:hAnsi="宋体"/>
          <w:color w:val="auto"/>
          <w:sz w:val="28"/>
          <w:szCs w:val="28"/>
          <w:highlight w:val="none"/>
        </w:rPr>
        <w:t>1</w:t>
      </w:r>
      <w:r>
        <w:rPr>
          <w:rFonts w:hint="eastAsia" w:ascii="宋体" w:hAnsi="宋体"/>
          <w:color w:val="auto"/>
          <w:sz w:val="28"/>
          <w:szCs w:val="28"/>
          <w:highlight w:val="none"/>
        </w:rPr>
        <w:t>）</w:t>
      </w:r>
      <w:r>
        <w:rPr>
          <w:rFonts w:hint="eastAsia" w:ascii="宋体" w:hAnsi="宋体"/>
          <w:color w:val="auto"/>
          <w:sz w:val="28"/>
          <w:szCs w:val="28"/>
          <w:highlight w:val="none"/>
          <w:lang w:val="en-US" w:eastAsia="zh-CN"/>
        </w:rPr>
        <w:t>招标办</w:t>
      </w:r>
      <w:r>
        <w:rPr>
          <w:rFonts w:hint="eastAsia" w:ascii="宋体" w:hAnsi="宋体"/>
          <w:color w:val="auto"/>
          <w:sz w:val="28"/>
          <w:szCs w:val="28"/>
          <w:highlight w:val="none"/>
        </w:rPr>
        <w:t>（招投标管理业务单位）：联系电话：</w:t>
      </w:r>
      <w:r>
        <w:rPr>
          <w:rFonts w:ascii="宋体" w:hAnsi="宋体"/>
          <w:color w:val="auto"/>
          <w:sz w:val="28"/>
          <w:szCs w:val="28"/>
          <w:highlight w:val="none"/>
        </w:rPr>
        <w:t>025-58731441</w:t>
      </w:r>
      <w:r>
        <w:rPr>
          <w:rFonts w:hint="eastAsia" w:ascii="宋体" w:hAnsi="宋体"/>
          <w:color w:val="auto"/>
          <w:sz w:val="28"/>
          <w:szCs w:val="28"/>
          <w:highlight w:val="none"/>
        </w:rPr>
        <w:t>，联系人：马老师、罗老师；</w:t>
      </w:r>
    </w:p>
    <w:p>
      <w:pPr>
        <w:snapToGrid w:val="0"/>
        <w:spacing w:line="360" w:lineRule="auto"/>
        <w:ind w:firstLine="425" w:firstLineChars="152"/>
        <w:rPr>
          <w:rFonts w:ascii="宋体" w:hAnsi="宋体"/>
          <w:sz w:val="28"/>
          <w:szCs w:val="28"/>
          <w:highlight w:val="none"/>
        </w:rPr>
      </w:pPr>
      <w:r>
        <w:rPr>
          <w:rFonts w:hint="eastAsia" w:ascii="宋体" w:hAnsi="宋体"/>
          <w:sz w:val="28"/>
          <w:szCs w:val="28"/>
          <w:highlight w:val="none"/>
        </w:rPr>
        <w:t>（2）</w:t>
      </w:r>
      <w:bookmarkEnd w:id="7"/>
      <w:r>
        <w:rPr>
          <w:rFonts w:hint="eastAsia" w:ascii="宋体" w:hAnsi="宋体"/>
          <w:sz w:val="28"/>
          <w:szCs w:val="28"/>
          <w:highlight w:val="none"/>
        </w:rPr>
        <w:t>用户单位联系电话：13813946755，联系人：刘老师。</w:t>
      </w:r>
    </w:p>
    <w:p>
      <w:pPr>
        <w:pStyle w:val="7"/>
        <w:ind w:left="0" w:leftChars="0" w:right="0" w:rightChars="0"/>
        <w:rPr>
          <w:rFonts w:ascii="宋体" w:hAnsi="宋体"/>
          <w:sz w:val="28"/>
          <w:szCs w:val="28"/>
          <w:highlight w:val="none"/>
        </w:rPr>
      </w:pPr>
    </w:p>
    <w:p>
      <w:pPr>
        <w:tabs>
          <w:tab w:val="left" w:pos="1260"/>
        </w:tabs>
        <w:spacing w:line="360" w:lineRule="auto"/>
        <w:ind w:left="1959" w:leftChars="933" w:firstLine="2530" w:firstLineChars="900"/>
        <w:rPr>
          <w:rFonts w:ascii="宋体"/>
          <w:b/>
          <w:sz w:val="28"/>
          <w:szCs w:val="28"/>
          <w:highlight w:val="none"/>
        </w:rPr>
      </w:pPr>
      <w:bookmarkStart w:id="9" w:name="_Hlk9866962"/>
      <w:r>
        <w:rPr>
          <w:rFonts w:hint="eastAsia" w:ascii="宋体" w:hAnsi="宋体"/>
          <w:b/>
          <w:sz w:val="28"/>
          <w:szCs w:val="28"/>
          <w:highlight w:val="none"/>
        </w:rPr>
        <w:t>南京信息工程大学</w:t>
      </w:r>
      <w:r>
        <w:rPr>
          <w:rFonts w:hint="eastAsia" w:ascii="宋体" w:hAnsi="宋体"/>
          <w:b/>
          <w:sz w:val="28"/>
          <w:szCs w:val="28"/>
          <w:highlight w:val="none"/>
          <w:lang w:val="en-US" w:eastAsia="zh-CN"/>
        </w:rPr>
        <w:t>招标办</w:t>
      </w:r>
    </w:p>
    <w:p>
      <w:pPr>
        <w:pStyle w:val="10"/>
        <w:spacing w:line="360" w:lineRule="auto"/>
        <w:ind w:left="99" w:leftChars="47" w:firstLine="4919" w:firstLineChars="1750"/>
        <w:rPr>
          <w:rStyle w:val="39"/>
          <w:rFonts w:ascii="宋体" w:hAnsi="Times New Roman" w:eastAsia="宋体"/>
          <w:sz w:val="28"/>
          <w:szCs w:val="28"/>
          <w:highlight w:val="none"/>
        </w:rPr>
      </w:pPr>
      <w:r>
        <w:rPr>
          <w:rStyle w:val="39"/>
          <w:rFonts w:ascii="宋体" w:hAnsi="宋体" w:eastAsia="宋体"/>
          <w:sz w:val="28"/>
          <w:szCs w:val="28"/>
          <w:highlight w:val="none"/>
        </w:rPr>
        <w:t>20</w:t>
      </w:r>
      <w:r>
        <w:rPr>
          <w:rStyle w:val="39"/>
          <w:rFonts w:hint="eastAsia" w:ascii="宋体" w:hAnsi="宋体" w:eastAsia="宋体"/>
          <w:sz w:val="28"/>
          <w:szCs w:val="28"/>
          <w:highlight w:val="none"/>
        </w:rPr>
        <w:t>20年0</w:t>
      </w:r>
      <w:r>
        <w:rPr>
          <w:rStyle w:val="39"/>
          <w:rFonts w:hint="eastAsia" w:ascii="宋体" w:hAnsi="宋体"/>
          <w:sz w:val="28"/>
          <w:szCs w:val="28"/>
          <w:highlight w:val="none"/>
        </w:rPr>
        <w:t>7</w:t>
      </w:r>
      <w:r>
        <w:rPr>
          <w:rStyle w:val="39"/>
          <w:rFonts w:hint="eastAsia" w:ascii="宋体" w:hAnsi="宋体" w:eastAsia="宋体"/>
          <w:sz w:val="28"/>
          <w:szCs w:val="28"/>
          <w:highlight w:val="none"/>
        </w:rPr>
        <w:t>月</w:t>
      </w:r>
      <w:r>
        <w:rPr>
          <w:rStyle w:val="39"/>
          <w:rFonts w:hint="eastAsia" w:ascii="宋体" w:hAnsi="宋体"/>
          <w:sz w:val="28"/>
          <w:szCs w:val="28"/>
          <w:highlight w:val="none"/>
          <w:lang w:val="en-US"/>
        </w:rPr>
        <w:t>17</w:t>
      </w:r>
      <w:r>
        <w:rPr>
          <w:rStyle w:val="39"/>
          <w:rFonts w:hint="eastAsia" w:ascii="宋体" w:hAnsi="宋体" w:eastAsia="宋体"/>
          <w:sz w:val="28"/>
          <w:szCs w:val="28"/>
          <w:highlight w:val="none"/>
        </w:rPr>
        <w:t>日</w:t>
      </w:r>
    </w:p>
    <w:bookmarkEnd w:id="9"/>
    <w:p>
      <w:pPr>
        <w:pStyle w:val="9"/>
        <w:adjustRightInd w:val="0"/>
        <w:snapToGrid w:val="0"/>
        <w:spacing w:before="120" w:after="120" w:line="360" w:lineRule="auto"/>
        <w:rPr>
          <w:rStyle w:val="39"/>
          <w:rFonts w:ascii="宋体" w:hAnsi="宋体" w:eastAsia="宋体"/>
          <w:b w:val="0"/>
          <w:sz w:val="28"/>
          <w:szCs w:val="28"/>
          <w:highlight w:val="none"/>
        </w:rPr>
      </w:pPr>
      <w:r>
        <w:rPr>
          <w:rStyle w:val="39"/>
          <w:rFonts w:ascii="宋体" w:hAnsi="Times New Roman" w:eastAsia="宋体"/>
          <w:b w:val="0"/>
          <w:sz w:val="28"/>
          <w:szCs w:val="28"/>
          <w:highlight w:val="none"/>
        </w:rPr>
        <w:br w:type="page"/>
      </w:r>
      <w:bookmarkStart w:id="10" w:name="_Toc462564147"/>
      <w:r>
        <w:rPr>
          <w:rFonts w:ascii="Times New Roman" w:hAnsi="Times New Roman"/>
          <w:b/>
          <w:bCs/>
          <w:sz w:val="24"/>
          <w:szCs w:val="24"/>
          <w:highlight w:val="none"/>
        </w:rPr>
        <w:t>附件1：</w:t>
      </w:r>
    </w:p>
    <w:p>
      <w:pPr>
        <w:spacing w:after="156" w:afterLines="50" w:line="360" w:lineRule="auto"/>
        <w:ind w:left="181"/>
        <w:jc w:val="center"/>
        <w:rPr>
          <w:rFonts w:ascii="宋体" w:hAnsi="宋体"/>
          <w:b/>
          <w:bCs/>
          <w:sz w:val="28"/>
          <w:szCs w:val="28"/>
          <w:highlight w:val="none"/>
        </w:rPr>
      </w:pPr>
      <w:r>
        <w:rPr>
          <w:rFonts w:hint="eastAsia" w:ascii="宋体" w:hAnsi="宋体"/>
          <w:b/>
          <w:bCs/>
          <w:sz w:val="28"/>
          <w:szCs w:val="28"/>
          <w:highlight w:val="none"/>
        </w:rPr>
        <w:t>招标项目设备名称、数量、主要技术要求及其他要求</w:t>
      </w:r>
    </w:p>
    <w:p>
      <w:pPr>
        <w:widowControl/>
        <w:spacing w:after="156" w:afterLines="50" w:line="360" w:lineRule="auto"/>
        <w:jc w:val="left"/>
        <w:rPr>
          <w:rFonts w:hAnsi="宋体"/>
          <w:b/>
          <w:sz w:val="28"/>
          <w:szCs w:val="28"/>
          <w:highlight w:val="none"/>
        </w:rPr>
      </w:pPr>
      <w:r>
        <w:rPr>
          <w:rFonts w:hint="eastAsia" w:hAnsi="宋体"/>
          <w:b/>
          <w:sz w:val="28"/>
          <w:szCs w:val="28"/>
          <w:highlight w:val="none"/>
        </w:rPr>
        <w:t>一、采购内容及数量</w:t>
      </w:r>
    </w:p>
    <w:p>
      <w:pPr>
        <w:pStyle w:val="7"/>
        <w:ind w:left="424" w:leftChars="202" w:right="281" w:rightChars="134" w:firstLine="564" w:firstLineChars="235"/>
        <w:rPr>
          <w:rFonts w:ascii="宋体" w:hAnsi="宋体" w:cs="宋体"/>
          <w:color w:val="000000"/>
          <w:kern w:val="0"/>
          <w:sz w:val="24"/>
          <w:highlight w:val="none"/>
        </w:rPr>
      </w:pPr>
      <w:r>
        <w:rPr>
          <w:rFonts w:hint="eastAsia" w:ascii="宋体" w:hAnsi="宋体" w:cs="宋体"/>
          <w:color w:val="000000"/>
          <w:kern w:val="0"/>
          <w:sz w:val="24"/>
          <w:highlight w:val="none"/>
        </w:rPr>
        <w:t>积云宏微观物理过程等虚拟仿真实验教学平台为一集成平台，此次建设内容包括如下</w:t>
      </w:r>
      <w:r>
        <w:rPr>
          <w:rFonts w:ascii="宋体" w:hAnsi="宋体" w:cs="宋体"/>
          <w:color w:val="000000"/>
          <w:kern w:val="0"/>
          <w:sz w:val="24"/>
          <w:highlight w:val="none"/>
        </w:rPr>
        <w:t>9</w:t>
      </w:r>
      <w:r>
        <w:rPr>
          <w:rFonts w:hint="eastAsia" w:ascii="宋体" w:hAnsi="宋体" w:cs="宋体"/>
          <w:color w:val="000000"/>
          <w:kern w:val="0"/>
          <w:sz w:val="24"/>
          <w:highlight w:val="none"/>
        </w:rPr>
        <w:t>个子项目：</w:t>
      </w:r>
    </w:p>
    <w:tbl>
      <w:tblPr>
        <w:tblStyle w:val="16"/>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3"/>
        <w:gridCol w:w="3402"/>
        <w:gridCol w:w="1275"/>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微软雅黑"/>
                <w:color w:val="000000"/>
                <w:sz w:val="24"/>
                <w:highlight w:val="none"/>
              </w:rPr>
            </w:pPr>
            <w:r>
              <w:rPr>
                <w:rFonts w:hint="eastAsia" w:ascii="宋体" w:hAnsi="宋体" w:cs="微软雅黑"/>
                <w:color w:val="000000"/>
                <w:sz w:val="24"/>
                <w:highlight w:val="none"/>
                <w:lang w:bidi="ar"/>
              </w:rPr>
              <w:t>项目名称</w:t>
            </w:r>
          </w:p>
        </w:tc>
        <w:tc>
          <w:tcPr>
            <w:tcW w:w="34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微软雅黑"/>
                <w:color w:val="000000"/>
                <w:sz w:val="24"/>
                <w:highlight w:val="none"/>
                <w:lang w:bidi="ar"/>
              </w:rPr>
            </w:pPr>
            <w:r>
              <w:rPr>
                <w:rFonts w:hint="eastAsia" w:ascii="宋体" w:hAnsi="宋体" w:cs="微软雅黑"/>
                <w:color w:val="000000"/>
                <w:sz w:val="24"/>
                <w:highlight w:val="none"/>
                <w:lang w:bidi="ar"/>
              </w:rPr>
              <w:t>建设内容</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微软雅黑"/>
                <w:color w:val="000000"/>
                <w:sz w:val="24"/>
                <w:highlight w:val="none"/>
              </w:rPr>
            </w:pPr>
            <w:r>
              <w:rPr>
                <w:rFonts w:hint="eastAsia" w:ascii="宋体" w:hAnsi="宋体" w:cs="微软雅黑"/>
                <w:color w:val="000000"/>
                <w:sz w:val="24"/>
                <w:highlight w:val="none"/>
                <w:lang w:bidi="ar"/>
              </w:rPr>
              <w:t>单位</w:t>
            </w:r>
          </w:p>
        </w:tc>
        <w:tc>
          <w:tcPr>
            <w:tcW w:w="12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微软雅黑"/>
                <w:color w:val="000000"/>
                <w:sz w:val="24"/>
                <w:highlight w:val="none"/>
              </w:rPr>
            </w:pPr>
            <w:r>
              <w:rPr>
                <w:rFonts w:hint="eastAsia" w:ascii="宋体" w:hAnsi="宋体" w:cs="微软雅黑"/>
                <w:color w:val="000000"/>
                <w:sz w:val="24"/>
                <w:highlight w:val="none"/>
                <w:lang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31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highlight w:val="none"/>
              </w:rPr>
            </w:pPr>
            <w:r>
              <w:rPr>
                <w:rFonts w:hint="eastAsia" w:ascii="宋体" w:hAnsi="宋体"/>
                <w:color w:val="000000"/>
                <w:sz w:val="24"/>
                <w:highlight w:val="none"/>
              </w:rPr>
              <w:t>虚拟仿真实验项目1</w:t>
            </w:r>
          </w:p>
        </w:tc>
        <w:tc>
          <w:tcPr>
            <w:tcW w:w="34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4"/>
                <w:highlight w:val="none"/>
              </w:rPr>
            </w:pPr>
            <w:r>
              <w:rPr>
                <w:rFonts w:hint="eastAsia" w:ascii="宋体" w:hAnsi="宋体"/>
                <w:color w:val="000000"/>
                <w:sz w:val="24"/>
                <w:highlight w:val="none"/>
              </w:rPr>
              <w:t>绝热云：积云气泡气柱形成过程虚拟仿真实验</w:t>
            </w: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微软雅黑"/>
                <w:color w:val="000000"/>
                <w:sz w:val="24"/>
                <w:highlight w:val="none"/>
                <w:lang w:bidi="ar"/>
              </w:rPr>
            </w:pPr>
            <w:r>
              <w:rPr>
                <w:rFonts w:hint="eastAsia" w:ascii="宋体" w:hAnsi="宋体" w:cs="微软雅黑"/>
                <w:color w:val="000000"/>
                <w:sz w:val="24"/>
                <w:highlight w:val="none"/>
                <w:lang w:bidi="ar"/>
              </w:rPr>
              <w:t>套</w:t>
            </w:r>
          </w:p>
        </w:tc>
        <w:tc>
          <w:tcPr>
            <w:tcW w:w="12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微软雅黑"/>
                <w:color w:val="000000"/>
                <w:sz w:val="24"/>
                <w:highlight w:val="none"/>
                <w:lang w:bidi="ar"/>
              </w:rPr>
            </w:pPr>
            <w:r>
              <w:rPr>
                <w:rFonts w:hint="eastAsia" w:ascii="宋体" w:hAnsi="宋体" w:cs="微软雅黑"/>
                <w:color w:val="000000"/>
                <w:sz w:val="24"/>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31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highlight w:val="none"/>
              </w:rPr>
            </w:pPr>
            <w:r>
              <w:rPr>
                <w:rFonts w:hint="eastAsia" w:ascii="宋体" w:hAnsi="宋体"/>
                <w:color w:val="000000"/>
                <w:sz w:val="24"/>
                <w:highlight w:val="none"/>
              </w:rPr>
              <w:t>虚拟仿真实验项目2</w:t>
            </w:r>
          </w:p>
        </w:tc>
        <w:tc>
          <w:tcPr>
            <w:tcW w:w="34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4"/>
                <w:highlight w:val="none"/>
              </w:rPr>
            </w:pPr>
            <w:r>
              <w:rPr>
                <w:rFonts w:hint="eastAsia" w:ascii="宋体" w:hAnsi="宋体"/>
                <w:color w:val="000000"/>
                <w:sz w:val="24"/>
                <w:highlight w:val="none"/>
              </w:rPr>
              <w:t>绝热云：</w:t>
            </w:r>
            <w:r>
              <w:rPr>
                <w:rFonts w:ascii="宋体" w:hAnsi="宋体"/>
                <w:color w:val="000000"/>
                <w:sz w:val="24"/>
                <w:highlight w:val="none"/>
              </w:rPr>
              <w:t>气溶胶对云微物理的影响</w:t>
            </w:r>
            <w:r>
              <w:rPr>
                <w:rFonts w:hint="eastAsia" w:ascii="宋体" w:hAnsi="宋体"/>
                <w:color w:val="000000"/>
                <w:sz w:val="24"/>
                <w:highlight w:val="none"/>
              </w:rPr>
              <w:t>虚拟仿真实验</w:t>
            </w: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微软雅黑"/>
                <w:color w:val="000000"/>
                <w:sz w:val="24"/>
                <w:highlight w:val="none"/>
                <w:lang w:bidi="ar"/>
              </w:rPr>
            </w:pPr>
            <w:r>
              <w:rPr>
                <w:rFonts w:hint="eastAsia" w:ascii="宋体" w:hAnsi="宋体" w:cs="微软雅黑"/>
                <w:color w:val="000000"/>
                <w:sz w:val="24"/>
                <w:highlight w:val="none"/>
                <w:lang w:bidi="ar"/>
              </w:rPr>
              <w:t>套</w:t>
            </w:r>
          </w:p>
        </w:tc>
        <w:tc>
          <w:tcPr>
            <w:tcW w:w="12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微软雅黑"/>
                <w:color w:val="000000"/>
                <w:sz w:val="24"/>
                <w:highlight w:val="none"/>
                <w:lang w:bidi="ar"/>
              </w:rPr>
            </w:pPr>
            <w:r>
              <w:rPr>
                <w:rFonts w:hint="eastAsia" w:ascii="宋体" w:hAnsi="宋体" w:cs="微软雅黑"/>
                <w:color w:val="000000"/>
                <w:sz w:val="24"/>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31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highlight w:val="none"/>
              </w:rPr>
            </w:pPr>
            <w:r>
              <w:rPr>
                <w:rFonts w:hint="eastAsia" w:ascii="宋体" w:hAnsi="宋体"/>
                <w:color w:val="000000"/>
                <w:sz w:val="24"/>
                <w:highlight w:val="none"/>
              </w:rPr>
              <w:t>虚拟仿真实验项目3</w:t>
            </w:r>
          </w:p>
        </w:tc>
        <w:tc>
          <w:tcPr>
            <w:tcW w:w="34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4"/>
                <w:highlight w:val="none"/>
              </w:rPr>
            </w:pPr>
            <w:r>
              <w:rPr>
                <w:rFonts w:hint="eastAsia" w:ascii="宋体" w:hAnsi="宋体"/>
                <w:color w:val="000000"/>
                <w:sz w:val="24"/>
                <w:highlight w:val="none"/>
              </w:rPr>
              <w:t>绝热云：</w:t>
            </w:r>
            <w:r>
              <w:rPr>
                <w:rFonts w:ascii="宋体" w:hAnsi="宋体"/>
                <w:color w:val="000000"/>
                <w:sz w:val="24"/>
                <w:highlight w:val="none"/>
              </w:rPr>
              <w:t>垂直上升速度对云微物理的影响</w:t>
            </w:r>
            <w:r>
              <w:rPr>
                <w:rFonts w:hint="eastAsia" w:ascii="宋体" w:hAnsi="宋体"/>
                <w:color w:val="000000"/>
                <w:sz w:val="24"/>
                <w:highlight w:val="none"/>
              </w:rPr>
              <w:t>虚拟仿真实验</w:t>
            </w: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微软雅黑"/>
                <w:color w:val="000000"/>
                <w:sz w:val="24"/>
                <w:highlight w:val="none"/>
                <w:lang w:bidi="ar"/>
              </w:rPr>
            </w:pPr>
            <w:r>
              <w:rPr>
                <w:rFonts w:hint="eastAsia" w:ascii="宋体" w:hAnsi="宋体" w:cs="微软雅黑"/>
                <w:color w:val="000000"/>
                <w:sz w:val="24"/>
                <w:highlight w:val="none"/>
                <w:lang w:bidi="ar"/>
              </w:rPr>
              <w:t>套</w:t>
            </w:r>
          </w:p>
        </w:tc>
        <w:tc>
          <w:tcPr>
            <w:tcW w:w="12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微软雅黑"/>
                <w:color w:val="000000"/>
                <w:sz w:val="24"/>
                <w:highlight w:val="none"/>
                <w:lang w:bidi="ar"/>
              </w:rPr>
            </w:pPr>
            <w:r>
              <w:rPr>
                <w:rFonts w:hint="eastAsia" w:ascii="宋体" w:hAnsi="宋体" w:cs="微软雅黑"/>
                <w:color w:val="000000"/>
                <w:sz w:val="24"/>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31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highlight w:val="none"/>
              </w:rPr>
            </w:pPr>
            <w:r>
              <w:rPr>
                <w:rFonts w:hint="eastAsia" w:ascii="宋体" w:hAnsi="宋体"/>
                <w:color w:val="000000"/>
                <w:sz w:val="24"/>
                <w:highlight w:val="none"/>
              </w:rPr>
              <w:t>虚拟仿真实验项目4</w:t>
            </w:r>
          </w:p>
        </w:tc>
        <w:tc>
          <w:tcPr>
            <w:tcW w:w="34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000000"/>
                <w:sz w:val="24"/>
                <w:highlight w:val="none"/>
              </w:rPr>
            </w:pPr>
            <w:r>
              <w:rPr>
                <w:rFonts w:hint="eastAsia" w:ascii="宋体" w:hAnsi="宋体"/>
                <w:color w:val="000000"/>
                <w:sz w:val="24"/>
                <w:highlight w:val="none"/>
              </w:rPr>
              <w:t>绝热云：气溶胶强化（I</w:t>
            </w:r>
            <w:r>
              <w:rPr>
                <w:rFonts w:ascii="宋体" w:hAnsi="宋体"/>
                <w:color w:val="000000"/>
                <w:sz w:val="24"/>
                <w:highlight w:val="none"/>
              </w:rPr>
              <w:t>nvigoration</w:t>
            </w:r>
            <w:r>
              <w:rPr>
                <w:rFonts w:hint="eastAsia" w:ascii="宋体" w:hAnsi="宋体"/>
                <w:color w:val="000000"/>
                <w:sz w:val="24"/>
                <w:highlight w:val="none"/>
              </w:rPr>
              <w:t>）效应虚拟仿真实验</w:t>
            </w: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微软雅黑"/>
                <w:color w:val="000000"/>
                <w:sz w:val="24"/>
                <w:highlight w:val="none"/>
                <w:lang w:bidi="ar"/>
              </w:rPr>
            </w:pPr>
            <w:r>
              <w:rPr>
                <w:rFonts w:hint="eastAsia" w:ascii="宋体" w:hAnsi="宋体" w:cs="微软雅黑"/>
                <w:color w:val="000000"/>
                <w:sz w:val="24"/>
                <w:highlight w:val="none"/>
                <w:lang w:bidi="ar"/>
              </w:rPr>
              <w:t>套</w:t>
            </w:r>
          </w:p>
        </w:tc>
        <w:tc>
          <w:tcPr>
            <w:tcW w:w="12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微软雅黑"/>
                <w:color w:val="000000"/>
                <w:sz w:val="24"/>
                <w:highlight w:val="none"/>
                <w:lang w:bidi="ar"/>
              </w:rPr>
            </w:pPr>
            <w:r>
              <w:rPr>
                <w:rFonts w:hint="eastAsia" w:ascii="宋体" w:hAnsi="宋体" w:cs="微软雅黑"/>
                <w:color w:val="000000"/>
                <w:sz w:val="24"/>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310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color w:val="000000"/>
                <w:sz w:val="24"/>
                <w:highlight w:val="none"/>
              </w:rPr>
            </w:pPr>
            <w:r>
              <w:rPr>
                <w:rFonts w:hint="eastAsia" w:ascii="宋体" w:hAnsi="宋体"/>
                <w:color w:val="000000"/>
                <w:sz w:val="24"/>
                <w:highlight w:val="none"/>
              </w:rPr>
              <w:t>虚拟仿真实验项目5</w:t>
            </w:r>
          </w:p>
        </w:tc>
        <w:tc>
          <w:tcPr>
            <w:tcW w:w="340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val="0"/>
              <w:snapToGrid w:val="0"/>
              <w:jc w:val="center"/>
              <w:rPr>
                <w:rFonts w:ascii="宋体" w:hAnsi="宋体"/>
                <w:color w:val="000000"/>
                <w:sz w:val="24"/>
                <w:highlight w:val="none"/>
              </w:rPr>
            </w:pPr>
            <w:r>
              <w:rPr>
                <w:rFonts w:hint="eastAsia" w:ascii="宋体" w:hAnsi="宋体"/>
                <w:color w:val="000000"/>
                <w:sz w:val="24"/>
                <w:highlight w:val="none"/>
              </w:rPr>
              <w:t>非绝热云：积云侧边界夹卷率的影响虚拟仿真实验</w:t>
            </w:r>
          </w:p>
        </w:tc>
        <w:tc>
          <w:tcPr>
            <w:tcW w:w="127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val="0"/>
              <w:snapToGrid w:val="0"/>
              <w:jc w:val="center"/>
              <w:rPr>
                <w:rFonts w:ascii="宋体" w:hAnsi="宋体" w:cs="微软雅黑"/>
                <w:color w:val="000000"/>
                <w:sz w:val="24"/>
                <w:highlight w:val="none"/>
                <w:lang w:bidi="ar"/>
              </w:rPr>
            </w:pPr>
            <w:r>
              <w:rPr>
                <w:rFonts w:hint="eastAsia" w:ascii="宋体" w:hAnsi="宋体" w:cs="微软雅黑"/>
                <w:color w:val="000000"/>
                <w:sz w:val="24"/>
                <w:highlight w:val="none"/>
                <w:lang w:bidi="ar"/>
              </w:rPr>
              <w:t>套</w:t>
            </w:r>
          </w:p>
        </w:tc>
        <w:tc>
          <w:tcPr>
            <w:tcW w:w="129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val="0"/>
              <w:snapToGrid w:val="0"/>
              <w:jc w:val="center"/>
              <w:rPr>
                <w:rFonts w:ascii="宋体" w:hAnsi="宋体" w:cs="微软雅黑"/>
                <w:color w:val="000000"/>
                <w:sz w:val="24"/>
                <w:highlight w:val="none"/>
                <w:lang w:bidi="ar"/>
              </w:rPr>
            </w:pPr>
            <w:r>
              <w:rPr>
                <w:rFonts w:hint="eastAsia" w:ascii="宋体" w:hAnsi="宋体" w:cs="微软雅黑"/>
                <w:color w:val="000000"/>
                <w:sz w:val="24"/>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310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color w:val="000000"/>
                <w:sz w:val="24"/>
                <w:highlight w:val="none"/>
              </w:rPr>
            </w:pPr>
            <w:r>
              <w:rPr>
                <w:rFonts w:hint="eastAsia" w:ascii="宋体" w:hAnsi="宋体"/>
                <w:color w:val="000000"/>
                <w:sz w:val="24"/>
                <w:highlight w:val="none"/>
              </w:rPr>
              <w:t>虚拟仿真实验项目</w:t>
            </w:r>
            <w:r>
              <w:rPr>
                <w:rFonts w:ascii="宋体" w:hAnsi="宋体"/>
                <w:color w:val="000000"/>
                <w:sz w:val="24"/>
                <w:highlight w:val="none"/>
              </w:rPr>
              <w:t>6</w:t>
            </w:r>
          </w:p>
        </w:tc>
        <w:tc>
          <w:tcPr>
            <w:tcW w:w="340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val="0"/>
              <w:snapToGrid w:val="0"/>
              <w:jc w:val="center"/>
              <w:rPr>
                <w:rFonts w:ascii="宋体" w:hAnsi="宋体"/>
                <w:color w:val="000000"/>
                <w:sz w:val="24"/>
                <w:highlight w:val="none"/>
              </w:rPr>
            </w:pPr>
            <w:r>
              <w:rPr>
                <w:rFonts w:hint="eastAsia" w:ascii="宋体" w:hAnsi="宋体"/>
                <w:color w:val="000000"/>
                <w:sz w:val="24"/>
                <w:highlight w:val="none"/>
              </w:rPr>
              <w:t>非绝热云：</w:t>
            </w:r>
            <w:r>
              <w:rPr>
                <w:rFonts w:ascii="宋体" w:hAnsi="宋体"/>
                <w:color w:val="000000"/>
                <w:sz w:val="24"/>
                <w:highlight w:val="none"/>
              </w:rPr>
              <w:t>湍流对云微物理的影响</w:t>
            </w:r>
            <w:r>
              <w:rPr>
                <w:rFonts w:hint="eastAsia" w:ascii="宋体" w:hAnsi="宋体"/>
                <w:color w:val="000000"/>
                <w:sz w:val="24"/>
                <w:highlight w:val="none"/>
              </w:rPr>
              <w:t>虚拟仿真实验</w:t>
            </w:r>
          </w:p>
        </w:tc>
        <w:tc>
          <w:tcPr>
            <w:tcW w:w="127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val="0"/>
              <w:snapToGrid w:val="0"/>
              <w:jc w:val="center"/>
              <w:rPr>
                <w:rFonts w:ascii="宋体" w:hAnsi="宋体" w:cs="微软雅黑"/>
                <w:color w:val="000000"/>
                <w:sz w:val="24"/>
                <w:highlight w:val="none"/>
                <w:lang w:bidi="ar"/>
              </w:rPr>
            </w:pPr>
            <w:r>
              <w:rPr>
                <w:rFonts w:hint="eastAsia" w:ascii="宋体" w:hAnsi="宋体" w:cs="微软雅黑"/>
                <w:color w:val="000000"/>
                <w:sz w:val="24"/>
                <w:highlight w:val="none"/>
                <w:lang w:bidi="ar"/>
              </w:rPr>
              <w:t>套</w:t>
            </w:r>
          </w:p>
        </w:tc>
        <w:tc>
          <w:tcPr>
            <w:tcW w:w="129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val="0"/>
              <w:snapToGrid w:val="0"/>
              <w:jc w:val="center"/>
              <w:rPr>
                <w:rFonts w:ascii="宋体" w:hAnsi="宋体" w:cs="微软雅黑"/>
                <w:color w:val="000000"/>
                <w:sz w:val="24"/>
                <w:highlight w:val="none"/>
                <w:lang w:bidi="ar"/>
              </w:rPr>
            </w:pPr>
            <w:r>
              <w:rPr>
                <w:rFonts w:hint="eastAsia" w:ascii="宋体" w:hAnsi="宋体" w:cs="微软雅黑"/>
                <w:color w:val="000000"/>
                <w:sz w:val="24"/>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310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color w:val="000000"/>
                <w:sz w:val="24"/>
                <w:highlight w:val="none"/>
              </w:rPr>
            </w:pPr>
            <w:r>
              <w:rPr>
                <w:rFonts w:hint="eastAsia" w:ascii="宋体" w:hAnsi="宋体"/>
                <w:color w:val="000000"/>
                <w:sz w:val="24"/>
                <w:highlight w:val="none"/>
              </w:rPr>
              <w:t>虚拟仿真实验项目</w:t>
            </w:r>
            <w:r>
              <w:rPr>
                <w:rFonts w:ascii="宋体" w:hAnsi="宋体"/>
                <w:color w:val="000000"/>
                <w:sz w:val="24"/>
                <w:highlight w:val="none"/>
              </w:rPr>
              <w:t>7</w:t>
            </w:r>
          </w:p>
        </w:tc>
        <w:tc>
          <w:tcPr>
            <w:tcW w:w="340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val="0"/>
              <w:snapToGrid w:val="0"/>
              <w:jc w:val="center"/>
              <w:rPr>
                <w:rFonts w:ascii="宋体" w:hAnsi="宋体"/>
                <w:color w:val="000000"/>
                <w:sz w:val="24"/>
                <w:highlight w:val="none"/>
              </w:rPr>
            </w:pPr>
            <w:r>
              <w:rPr>
                <w:rFonts w:hint="eastAsia" w:ascii="宋体" w:hAnsi="宋体"/>
                <w:color w:val="000000"/>
                <w:sz w:val="24"/>
                <w:highlight w:val="none"/>
              </w:rPr>
              <w:t>非绝热云：</w:t>
            </w:r>
            <w:r>
              <w:rPr>
                <w:rFonts w:ascii="宋体" w:hAnsi="宋体"/>
                <w:color w:val="000000"/>
                <w:sz w:val="24"/>
                <w:highlight w:val="none"/>
              </w:rPr>
              <w:t>夹卷对云微物理的影响</w:t>
            </w:r>
            <w:r>
              <w:rPr>
                <w:rFonts w:hint="eastAsia" w:ascii="宋体" w:hAnsi="宋体"/>
                <w:color w:val="000000"/>
                <w:sz w:val="24"/>
                <w:highlight w:val="none"/>
              </w:rPr>
              <w:t>虚拟仿真实验</w:t>
            </w:r>
          </w:p>
        </w:tc>
        <w:tc>
          <w:tcPr>
            <w:tcW w:w="127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val="0"/>
              <w:snapToGrid w:val="0"/>
              <w:jc w:val="center"/>
              <w:rPr>
                <w:rFonts w:ascii="宋体" w:hAnsi="宋体" w:cs="微软雅黑"/>
                <w:color w:val="000000"/>
                <w:sz w:val="24"/>
                <w:highlight w:val="none"/>
                <w:lang w:bidi="ar"/>
              </w:rPr>
            </w:pPr>
            <w:r>
              <w:rPr>
                <w:rFonts w:hint="eastAsia" w:ascii="宋体" w:hAnsi="宋体" w:cs="微软雅黑"/>
                <w:color w:val="000000"/>
                <w:sz w:val="24"/>
                <w:highlight w:val="none"/>
                <w:lang w:bidi="ar"/>
              </w:rPr>
              <w:t>套</w:t>
            </w:r>
          </w:p>
        </w:tc>
        <w:tc>
          <w:tcPr>
            <w:tcW w:w="129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val="0"/>
              <w:snapToGrid w:val="0"/>
              <w:jc w:val="center"/>
              <w:rPr>
                <w:rFonts w:ascii="宋体" w:hAnsi="宋体" w:cs="微软雅黑"/>
                <w:color w:val="000000"/>
                <w:sz w:val="24"/>
                <w:highlight w:val="none"/>
                <w:lang w:bidi="ar"/>
              </w:rPr>
            </w:pPr>
            <w:r>
              <w:rPr>
                <w:rFonts w:hint="eastAsia" w:ascii="宋体" w:hAnsi="宋体" w:cs="微软雅黑"/>
                <w:color w:val="000000"/>
                <w:sz w:val="24"/>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310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color w:val="000000"/>
                <w:sz w:val="24"/>
                <w:highlight w:val="none"/>
              </w:rPr>
            </w:pPr>
            <w:r>
              <w:rPr>
                <w:rFonts w:hint="eastAsia" w:ascii="宋体" w:hAnsi="宋体"/>
                <w:color w:val="000000"/>
                <w:sz w:val="24"/>
                <w:highlight w:val="none"/>
              </w:rPr>
              <w:t>虚拟仿真实验项目</w:t>
            </w:r>
            <w:r>
              <w:rPr>
                <w:rFonts w:ascii="宋体" w:hAnsi="宋体"/>
                <w:color w:val="000000"/>
                <w:sz w:val="24"/>
                <w:highlight w:val="none"/>
              </w:rPr>
              <w:t>8</w:t>
            </w:r>
          </w:p>
        </w:tc>
        <w:tc>
          <w:tcPr>
            <w:tcW w:w="340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val="0"/>
              <w:snapToGrid w:val="0"/>
              <w:jc w:val="center"/>
              <w:rPr>
                <w:rFonts w:ascii="宋体" w:hAnsi="宋体"/>
                <w:color w:val="000000"/>
                <w:sz w:val="24"/>
                <w:highlight w:val="none"/>
              </w:rPr>
            </w:pPr>
            <w:r>
              <w:rPr>
                <w:rFonts w:hint="eastAsia" w:ascii="宋体" w:hAnsi="宋体"/>
                <w:color w:val="000000"/>
                <w:sz w:val="24"/>
                <w:highlight w:val="none"/>
              </w:rPr>
              <w:t>自然及催化云中粒子谱演变虚拟仿真实验</w:t>
            </w:r>
          </w:p>
        </w:tc>
        <w:tc>
          <w:tcPr>
            <w:tcW w:w="127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val="0"/>
              <w:snapToGrid w:val="0"/>
              <w:jc w:val="center"/>
              <w:rPr>
                <w:rFonts w:ascii="宋体" w:hAnsi="宋体" w:cs="微软雅黑"/>
                <w:color w:val="000000"/>
                <w:sz w:val="24"/>
                <w:highlight w:val="none"/>
                <w:lang w:bidi="ar"/>
              </w:rPr>
            </w:pPr>
            <w:r>
              <w:rPr>
                <w:rFonts w:hint="eastAsia" w:ascii="宋体" w:hAnsi="宋体" w:cs="微软雅黑"/>
                <w:color w:val="000000"/>
                <w:sz w:val="24"/>
                <w:highlight w:val="none"/>
                <w:lang w:bidi="ar"/>
              </w:rPr>
              <w:t>套</w:t>
            </w:r>
          </w:p>
        </w:tc>
        <w:tc>
          <w:tcPr>
            <w:tcW w:w="129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val="0"/>
              <w:snapToGrid w:val="0"/>
              <w:jc w:val="center"/>
              <w:rPr>
                <w:rFonts w:ascii="宋体" w:hAnsi="宋体" w:cs="微软雅黑"/>
                <w:color w:val="000000"/>
                <w:sz w:val="24"/>
                <w:highlight w:val="none"/>
                <w:lang w:bidi="ar"/>
              </w:rPr>
            </w:pPr>
            <w:r>
              <w:rPr>
                <w:rFonts w:hint="eastAsia" w:ascii="宋体" w:hAnsi="宋体" w:cs="微软雅黑"/>
                <w:color w:val="000000"/>
                <w:sz w:val="24"/>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310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center"/>
              <w:rPr>
                <w:rFonts w:ascii="宋体" w:hAnsi="宋体"/>
                <w:color w:val="000000"/>
                <w:sz w:val="24"/>
                <w:highlight w:val="none"/>
              </w:rPr>
            </w:pPr>
            <w:r>
              <w:rPr>
                <w:rFonts w:hint="eastAsia" w:ascii="宋体" w:hAnsi="宋体"/>
                <w:color w:val="000000"/>
                <w:sz w:val="24"/>
                <w:highlight w:val="none"/>
              </w:rPr>
              <w:t>虚拟仿真实验项目</w:t>
            </w:r>
            <w:r>
              <w:rPr>
                <w:rFonts w:ascii="宋体" w:hAnsi="宋体"/>
                <w:color w:val="000000"/>
                <w:sz w:val="24"/>
                <w:highlight w:val="none"/>
              </w:rPr>
              <w:t>9</w:t>
            </w:r>
          </w:p>
        </w:tc>
        <w:tc>
          <w:tcPr>
            <w:tcW w:w="340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val="0"/>
              <w:snapToGrid w:val="0"/>
              <w:jc w:val="center"/>
              <w:rPr>
                <w:rFonts w:ascii="宋体" w:hAnsi="宋体"/>
                <w:color w:val="000000"/>
                <w:sz w:val="24"/>
                <w:highlight w:val="none"/>
              </w:rPr>
            </w:pPr>
            <w:r>
              <w:rPr>
                <w:rFonts w:hint="eastAsia" w:ascii="宋体" w:hAnsi="宋体"/>
                <w:color w:val="000000"/>
                <w:sz w:val="24"/>
                <w:highlight w:val="none"/>
              </w:rPr>
              <w:t>催化条件下云中粒子谱探测虚拟仿真实验</w:t>
            </w:r>
          </w:p>
        </w:tc>
        <w:tc>
          <w:tcPr>
            <w:tcW w:w="127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val="0"/>
              <w:snapToGrid w:val="0"/>
              <w:jc w:val="center"/>
              <w:rPr>
                <w:rFonts w:ascii="宋体" w:hAnsi="宋体" w:cs="微软雅黑"/>
                <w:color w:val="000000"/>
                <w:sz w:val="24"/>
                <w:highlight w:val="none"/>
                <w:lang w:bidi="ar"/>
              </w:rPr>
            </w:pPr>
            <w:r>
              <w:rPr>
                <w:rFonts w:hint="eastAsia" w:ascii="宋体" w:hAnsi="宋体" w:cs="微软雅黑"/>
                <w:color w:val="000000"/>
                <w:sz w:val="24"/>
                <w:highlight w:val="none"/>
                <w:lang w:bidi="ar"/>
              </w:rPr>
              <w:t>套</w:t>
            </w:r>
          </w:p>
        </w:tc>
        <w:tc>
          <w:tcPr>
            <w:tcW w:w="129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val="0"/>
              <w:snapToGrid w:val="0"/>
              <w:jc w:val="center"/>
              <w:rPr>
                <w:rFonts w:ascii="宋体" w:hAnsi="宋体" w:cs="微软雅黑"/>
                <w:color w:val="000000"/>
                <w:sz w:val="24"/>
                <w:highlight w:val="none"/>
                <w:lang w:bidi="ar"/>
              </w:rPr>
            </w:pPr>
            <w:r>
              <w:rPr>
                <w:rFonts w:hint="eastAsia" w:ascii="宋体" w:hAnsi="宋体" w:cs="微软雅黑"/>
                <w:color w:val="000000"/>
                <w:sz w:val="24"/>
                <w:highlight w:val="none"/>
                <w:lang w:bidi="ar"/>
              </w:rPr>
              <w:t>1</w:t>
            </w:r>
          </w:p>
        </w:tc>
      </w:tr>
    </w:tbl>
    <w:p>
      <w:pPr>
        <w:pStyle w:val="7"/>
        <w:ind w:left="0" w:leftChars="0" w:right="281" w:rightChars="134"/>
        <w:rPr>
          <w:highlight w:val="none"/>
        </w:rPr>
      </w:pPr>
    </w:p>
    <w:p>
      <w:pPr>
        <w:widowControl/>
        <w:spacing w:before="312" w:beforeLines="100"/>
        <w:jc w:val="left"/>
        <w:rPr>
          <w:rFonts w:hAnsi="宋体"/>
          <w:b/>
          <w:sz w:val="28"/>
          <w:szCs w:val="28"/>
          <w:highlight w:val="none"/>
        </w:rPr>
      </w:pPr>
      <w:r>
        <w:rPr>
          <w:rFonts w:hint="eastAsia" w:hAnsi="宋体"/>
          <w:b/>
          <w:sz w:val="28"/>
          <w:szCs w:val="28"/>
          <w:highlight w:val="none"/>
        </w:rPr>
        <w:t>二、</w:t>
      </w:r>
      <w:r>
        <w:rPr>
          <w:rFonts w:hint="eastAsia" w:hAnsi="宋体"/>
          <w:b/>
          <w:bCs/>
          <w:sz w:val="28"/>
          <w:szCs w:val="28"/>
          <w:highlight w:val="none"/>
        </w:rPr>
        <w:t>虚拟仿真实验项目</w:t>
      </w:r>
      <w:r>
        <w:rPr>
          <w:rFonts w:hint="eastAsia" w:hAnsi="宋体"/>
          <w:b/>
          <w:sz w:val="28"/>
          <w:szCs w:val="28"/>
          <w:highlight w:val="none"/>
        </w:rPr>
        <w:t>设计要求</w:t>
      </w:r>
    </w:p>
    <w:p>
      <w:pPr>
        <w:spacing w:line="360" w:lineRule="auto"/>
        <w:rPr>
          <w:rFonts w:ascii="宋体" w:hAnsi="宋体"/>
          <w:b/>
          <w:sz w:val="24"/>
          <w:highlight w:val="none"/>
        </w:rPr>
      </w:pPr>
      <w:r>
        <w:rPr>
          <w:rFonts w:ascii="宋体" w:hAnsi="宋体"/>
          <w:b/>
          <w:sz w:val="24"/>
          <w:highlight w:val="none"/>
        </w:rPr>
        <w:t>（</w:t>
      </w:r>
      <w:r>
        <w:rPr>
          <w:rFonts w:hint="eastAsia" w:ascii="宋体" w:hAnsi="宋体"/>
          <w:b/>
          <w:sz w:val="24"/>
          <w:highlight w:val="none"/>
        </w:rPr>
        <w:t>一</w:t>
      </w:r>
      <w:r>
        <w:rPr>
          <w:rFonts w:ascii="宋体" w:hAnsi="宋体"/>
          <w:b/>
          <w:sz w:val="24"/>
          <w:highlight w:val="none"/>
        </w:rPr>
        <w:t>）</w:t>
      </w:r>
      <w:r>
        <w:rPr>
          <w:rFonts w:hint="eastAsia" w:ascii="宋体" w:hAnsi="宋体"/>
          <w:b/>
          <w:sz w:val="24"/>
          <w:highlight w:val="none"/>
          <w:lang w:bidi="ar"/>
        </w:rPr>
        <w:t>项目1</w:t>
      </w:r>
      <w:r>
        <w:rPr>
          <w:rFonts w:ascii="宋体" w:hAnsi="宋体"/>
          <w:b/>
          <w:sz w:val="24"/>
          <w:highlight w:val="none"/>
          <w:lang w:bidi="ar"/>
        </w:rPr>
        <w:t>:</w:t>
      </w:r>
      <w:r>
        <w:rPr>
          <w:rFonts w:hint="eastAsia" w:ascii="宋体" w:hAnsi="宋体"/>
          <w:sz w:val="24"/>
          <w:highlight w:val="none"/>
        </w:rPr>
        <w:t xml:space="preserve"> </w:t>
      </w:r>
      <w:r>
        <w:rPr>
          <w:rFonts w:hint="eastAsia" w:ascii="宋体" w:hAnsi="宋体"/>
          <w:b/>
          <w:bCs/>
          <w:sz w:val="24"/>
          <w:highlight w:val="none"/>
        </w:rPr>
        <w:t>绝热云：积云气泡气柱形成过程</w:t>
      </w:r>
    </w:p>
    <w:p>
      <w:pPr>
        <w:spacing w:before="156" w:beforeLines="50" w:after="156" w:afterLines="50" w:line="360" w:lineRule="auto"/>
        <w:rPr>
          <w:rFonts w:ascii="宋体" w:hAnsi="宋体"/>
          <w:b/>
          <w:sz w:val="24"/>
          <w:highlight w:val="none"/>
        </w:rPr>
      </w:pPr>
      <w:r>
        <w:rPr>
          <w:rFonts w:hint="eastAsia" w:ascii="宋体" w:hAnsi="宋体"/>
          <w:b/>
          <w:sz w:val="24"/>
          <w:highlight w:val="none"/>
        </w:rPr>
        <w:t>1</w:t>
      </w:r>
      <w:r>
        <w:rPr>
          <w:rFonts w:ascii="宋体" w:hAnsi="宋体"/>
          <w:b/>
          <w:sz w:val="24"/>
          <w:highlight w:val="none"/>
        </w:rPr>
        <w:t>、</w:t>
      </w:r>
      <w:r>
        <w:rPr>
          <w:rFonts w:hint="eastAsia" w:ascii="宋体" w:hAnsi="宋体"/>
          <w:b/>
          <w:sz w:val="24"/>
          <w:highlight w:val="none"/>
        </w:rPr>
        <w:t>实验目的</w:t>
      </w:r>
    </w:p>
    <w:p>
      <w:pPr>
        <w:spacing w:line="360" w:lineRule="auto"/>
        <w:ind w:firstLine="480" w:firstLineChars="200"/>
        <w:rPr>
          <w:rFonts w:ascii="宋体" w:hAnsi="宋体"/>
          <w:sz w:val="24"/>
          <w:highlight w:val="none"/>
        </w:rPr>
      </w:pPr>
      <w:r>
        <w:rPr>
          <w:rFonts w:ascii="宋体" w:hAnsi="宋体"/>
          <w:sz w:val="24"/>
          <w:highlight w:val="none"/>
        </w:rPr>
        <w:t>帮助学生深入</w:t>
      </w:r>
      <w:r>
        <w:rPr>
          <w:rFonts w:hint="eastAsia" w:ascii="宋体" w:hAnsi="宋体"/>
          <w:sz w:val="24"/>
          <w:highlight w:val="none"/>
        </w:rPr>
        <w:t>理解热源对热泡和热气柱形成的影响。</w:t>
      </w:r>
    </w:p>
    <w:p>
      <w:pPr>
        <w:spacing w:before="156" w:beforeLines="50" w:after="156" w:afterLines="50" w:line="360" w:lineRule="auto"/>
        <w:rPr>
          <w:rFonts w:ascii="宋体" w:hAnsi="宋体"/>
          <w:b/>
          <w:sz w:val="24"/>
          <w:highlight w:val="none"/>
        </w:rPr>
      </w:pPr>
      <w:r>
        <w:rPr>
          <w:rFonts w:ascii="宋体" w:hAnsi="宋体"/>
          <w:b/>
          <w:sz w:val="24"/>
          <w:highlight w:val="none"/>
        </w:rPr>
        <w:t>2、</w:t>
      </w:r>
      <w:r>
        <w:rPr>
          <w:rFonts w:hint="eastAsia" w:ascii="宋体" w:hAnsi="宋体"/>
          <w:b/>
          <w:sz w:val="24"/>
          <w:highlight w:val="none"/>
        </w:rPr>
        <w:t>实验整体流程</w:t>
      </w:r>
    </w:p>
    <w:p>
      <w:pPr>
        <w:spacing w:line="360" w:lineRule="auto"/>
        <w:ind w:firstLine="480" w:firstLineChars="200"/>
        <w:rPr>
          <w:rFonts w:ascii="宋体" w:hAnsi="宋体"/>
          <w:sz w:val="24"/>
          <w:highlight w:val="none"/>
        </w:rPr>
      </w:pPr>
      <w:r>
        <w:rPr>
          <w:rFonts w:hint="eastAsia" w:ascii="宋体" w:hAnsi="宋体"/>
          <w:sz w:val="24"/>
          <w:highlight w:val="none"/>
        </w:rPr>
        <w:t>要求学生设置地面局部升温的强度和范围，模拟在不同条件下热泡的形成过程：</w:t>
      </w:r>
      <w:r>
        <w:rPr>
          <w:rFonts w:ascii="宋体" w:hAnsi="宋体"/>
          <w:sz w:val="24"/>
          <w:highlight w:val="none"/>
        </w:rPr>
        <w:t>局地增温</w:t>
      </w:r>
      <w:r>
        <w:rPr>
          <w:rFonts w:hint="eastAsia" w:ascii="宋体" w:hAnsi="宋体"/>
          <w:sz w:val="24"/>
          <w:highlight w:val="none"/>
        </w:rPr>
        <w:t>，</w:t>
      </w:r>
      <w:r>
        <w:rPr>
          <w:rFonts w:ascii="宋体" w:hAnsi="宋体"/>
          <w:sz w:val="24"/>
          <w:highlight w:val="none"/>
        </w:rPr>
        <w:t>浮升热柱尺度与受热局地尺度相当，热柱推开上方空气，同时形成下沉补偿气流；下沉气流将伸长的热柱切断（下部温度差异小），使上升热柱构成热力乱流泡；地面持续加热，使热柱再次发生。</w:t>
      </w:r>
      <w:r>
        <w:rPr>
          <w:rFonts w:hint="eastAsia" w:ascii="宋体" w:hAnsi="宋体"/>
          <w:sz w:val="24"/>
          <w:highlight w:val="none"/>
        </w:rPr>
        <w:t>热泡各部位的气流分布：中心上升气流最强，上部边缘向四周扩张的气流最强，下部边缘向中心会聚的气流最强，中部边缘的下沉气流最强，从帽顶向四周帽沿下弯，在帽底中心转向上方形成涡旋卷。热泡上升后速度愈来愈慢，体积愈来愈大，此时前一个热泡底部可被后一热泡顶部赶上，并融合在一起，这属于同源热泡并合。</w:t>
      </w:r>
    </w:p>
    <w:p>
      <w:pPr>
        <w:spacing w:before="156" w:beforeLines="50" w:line="360" w:lineRule="auto"/>
        <w:rPr>
          <w:rFonts w:ascii="宋体" w:hAnsi="宋体"/>
          <w:b/>
          <w:sz w:val="24"/>
          <w:highlight w:val="none"/>
        </w:rPr>
      </w:pPr>
      <w:r>
        <w:rPr>
          <w:rFonts w:hint="eastAsia" w:ascii="宋体" w:hAnsi="宋体"/>
          <w:b/>
          <w:sz w:val="24"/>
          <w:highlight w:val="none"/>
          <w:lang w:bidi="ar"/>
        </w:rPr>
        <w:t>（二）项目</w:t>
      </w:r>
      <w:r>
        <w:rPr>
          <w:rFonts w:ascii="宋体" w:hAnsi="宋体"/>
          <w:b/>
          <w:sz w:val="24"/>
          <w:highlight w:val="none"/>
          <w:lang w:bidi="ar"/>
        </w:rPr>
        <w:t>2:</w:t>
      </w:r>
      <w:r>
        <w:rPr>
          <w:rFonts w:hint="eastAsia" w:ascii="宋体" w:hAnsi="宋体"/>
          <w:sz w:val="24"/>
          <w:highlight w:val="none"/>
        </w:rPr>
        <w:t xml:space="preserve"> </w:t>
      </w:r>
      <w:r>
        <w:rPr>
          <w:rFonts w:hint="eastAsia" w:ascii="宋体" w:hAnsi="宋体"/>
          <w:b/>
          <w:bCs/>
          <w:sz w:val="24"/>
          <w:highlight w:val="none"/>
        </w:rPr>
        <w:t>绝热云：</w:t>
      </w:r>
      <w:r>
        <w:rPr>
          <w:rFonts w:ascii="宋体" w:hAnsi="宋体"/>
          <w:b/>
          <w:bCs/>
          <w:sz w:val="24"/>
          <w:highlight w:val="none"/>
        </w:rPr>
        <w:t>气溶胶对云微物理的影响</w:t>
      </w:r>
    </w:p>
    <w:p>
      <w:pPr>
        <w:spacing w:before="156" w:beforeLines="50" w:after="156" w:afterLines="50" w:line="360" w:lineRule="auto"/>
        <w:rPr>
          <w:rFonts w:ascii="宋体" w:hAnsi="宋体"/>
          <w:b/>
          <w:sz w:val="24"/>
          <w:highlight w:val="none"/>
        </w:rPr>
      </w:pPr>
      <w:r>
        <w:rPr>
          <w:rFonts w:hint="eastAsia" w:ascii="宋体" w:hAnsi="宋体"/>
          <w:b/>
          <w:sz w:val="24"/>
          <w:highlight w:val="none"/>
        </w:rPr>
        <w:t>1</w:t>
      </w:r>
      <w:r>
        <w:rPr>
          <w:rFonts w:ascii="宋体" w:hAnsi="宋体"/>
          <w:b/>
          <w:sz w:val="24"/>
          <w:highlight w:val="none"/>
        </w:rPr>
        <w:t>、</w:t>
      </w:r>
      <w:r>
        <w:rPr>
          <w:rFonts w:hint="eastAsia" w:ascii="宋体" w:hAnsi="宋体"/>
          <w:b/>
          <w:sz w:val="24"/>
          <w:highlight w:val="none"/>
        </w:rPr>
        <w:t>实验目的</w:t>
      </w:r>
    </w:p>
    <w:p>
      <w:pPr>
        <w:spacing w:line="360" w:lineRule="auto"/>
        <w:ind w:firstLine="480" w:firstLineChars="200"/>
        <w:rPr>
          <w:rFonts w:ascii="宋体" w:hAnsi="宋体"/>
          <w:sz w:val="24"/>
          <w:highlight w:val="none"/>
        </w:rPr>
      </w:pPr>
      <w:r>
        <w:rPr>
          <w:rFonts w:hint="eastAsia" w:ascii="宋体" w:hAnsi="宋体"/>
          <w:sz w:val="24"/>
          <w:highlight w:val="none"/>
        </w:rPr>
        <w:t>帮助学生理解寇拉理论和云滴的凝结增长理论。</w:t>
      </w:r>
    </w:p>
    <w:p>
      <w:pPr>
        <w:spacing w:before="156" w:beforeLines="50" w:after="156" w:afterLines="50" w:line="360" w:lineRule="auto"/>
        <w:rPr>
          <w:rFonts w:ascii="宋体" w:hAnsi="宋体"/>
          <w:b/>
          <w:sz w:val="24"/>
          <w:highlight w:val="none"/>
        </w:rPr>
      </w:pPr>
      <w:r>
        <w:rPr>
          <w:rFonts w:hint="eastAsia" w:ascii="宋体" w:hAnsi="宋体"/>
          <w:b/>
          <w:sz w:val="24"/>
          <w:highlight w:val="none"/>
        </w:rPr>
        <w:t>2</w:t>
      </w:r>
      <w:r>
        <w:rPr>
          <w:rFonts w:ascii="宋体" w:hAnsi="宋体"/>
          <w:b/>
          <w:sz w:val="24"/>
          <w:highlight w:val="none"/>
        </w:rPr>
        <w:t>、</w:t>
      </w:r>
      <w:r>
        <w:rPr>
          <w:rFonts w:hint="eastAsia" w:ascii="宋体" w:hAnsi="宋体"/>
          <w:b/>
          <w:sz w:val="24"/>
          <w:highlight w:val="none"/>
        </w:rPr>
        <w:t>实验整体流程</w:t>
      </w:r>
    </w:p>
    <w:p>
      <w:pPr>
        <w:spacing w:line="360" w:lineRule="auto"/>
        <w:ind w:firstLine="480" w:firstLineChars="200"/>
        <w:rPr>
          <w:rFonts w:ascii="宋体" w:hAnsi="宋体"/>
          <w:sz w:val="24"/>
          <w:highlight w:val="none"/>
        </w:rPr>
      </w:pPr>
      <w:r>
        <w:rPr>
          <w:rFonts w:hint="eastAsia" w:ascii="宋体" w:hAnsi="宋体"/>
          <w:sz w:val="24"/>
          <w:highlight w:val="none"/>
        </w:rPr>
        <w:t>设置垂直上升速度为一个固定值，如2 m s-1，进行如下的数值实验。</w:t>
      </w:r>
    </w:p>
    <w:p>
      <w:pPr>
        <w:spacing w:line="360" w:lineRule="auto"/>
        <w:rPr>
          <w:rFonts w:ascii="宋体" w:hAnsi="宋体"/>
          <w:sz w:val="24"/>
          <w:highlight w:val="none"/>
        </w:rPr>
      </w:pPr>
      <w:r>
        <w:rPr>
          <w:rFonts w:hint="eastAsia" w:ascii="宋体" w:hAnsi="宋体"/>
          <w:sz w:val="24"/>
          <w:highlight w:val="none"/>
        </w:rPr>
        <w:t>首先，设置若干组气溶胶数浓度、若干组谱型参数和若干组化学成分，让学生自由选择一个数浓度、谱型参数和化学成分，然后运行气泡模式，做出云滴谱随高度变化的动画，以及云滴数浓度、平均半径和含水量等随高度的变化图。</w:t>
      </w:r>
    </w:p>
    <w:p>
      <w:pPr>
        <w:spacing w:line="360" w:lineRule="auto"/>
        <w:ind w:firstLine="480" w:firstLineChars="200"/>
        <w:rPr>
          <w:rFonts w:ascii="宋体" w:hAnsi="宋体"/>
          <w:sz w:val="24"/>
          <w:highlight w:val="none"/>
        </w:rPr>
      </w:pPr>
      <w:r>
        <w:rPr>
          <w:rFonts w:hint="eastAsia" w:ascii="宋体" w:hAnsi="宋体"/>
          <w:sz w:val="24"/>
          <w:highlight w:val="none"/>
        </w:rPr>
        <w:t>其次，要求学生保持气溶胶数浓度、谱型参数和化学成分中的两个参数不变，只改变另外一个参数，然后再次运行气泡模式，做出动画和图，分析改变一个参数后对云微物理量的影响。以上步骤重复进行，让学生在探索中学习气溶胶是如何影响云微物理的，最重要的参数是什么。</w:t>
      </w:r>
    </w:p>
    <w:p>
      <w:pPr>
        <w:spacing w:before="156" w:beforeLines="50" w:line="360" w:lineRule="auto"/>
        <w:rPr>
          <w:rFonts w:ascii="宋体" w:hAnsi="宋体"/>
          <w:b/>
          <w:sz w:val="24"/>
          <w:highlight w:val="none"/>
        </w:rPr>
      </w:pPr>
      <w:r>
        <w:rPr>
          <w:rFonts w:hint="eastAsia" w:ascii="宋体" w:hAnsi="宋体"/>
          <w:b/>
          <w:sz w:val="24"/>
          <w:highlight w:val="none"/>
          <w:lang w:bidi="ar"/>
        </w:rPr>
        <w:t>（三）项目</w:t>
      </w:r>
      <w:r>
        <w:rPr>
          <w:rFonts w:ascii="宋体" w:hAnsi="宋体"/>
          <w:b/>
          <w:sz w:val="24"/>
          <w:highlight w:val="none"/>
          <w:lang w:bidi="ar"/>
        </w:rPr>
        <w:t>3:</w:t>
      </w:r>
      <w:r>
        <w:rPr>
          <w:rFonts w:hint="eastAsia" w:ascii="宋体" w:hAnsi="宋体"/>
          <w:sz w:val="24"/>
          <w:highlight w:val="none"/>
        </w:rPr>
        <w:t xml:space="preserve"> </w:t>
      </w:r>
      <w:r>
        <w:rPr>
          <w:rFonts w:hint="eastAsia" w:ascii="宋体" w:hAnsi="宋体"/>
          <w:b/>
          <w:bCs/>
          <w:sz w:val="24"/>
          <w:highlight w:val="none"/>
        </w:rPr>
        <w:t>绝热云：</w:t>
      </w:r>
      <w:r>
        <w:rPr>
          <w:rFonts w:ascii="宋体" w:hAnsi="宋体"/>
          <w:b/>
          <w:bCs/>
          <w:sz w:val="24"/>
          <w:highlight w:val="none"/>
        </w:rPr>
        <w:t>垂直上升速度对云微物理的影响</w:t>
      </w:r>
    </w:p>
    <w:p>
      <w:pPr>
        <w:spacing w:before="156" w:beforeLines="50" w:after="156" w:afterLines="50" w:line="360" w:lineRule="auto"/>
        <w:rPr>
          <w:rFonts w:ascii="宋体" w:hAnsi="宋体"/>
          <w:b/>
          <w:sz w:val="24"/>
          <w:highlight w:val="none"/>
        </w:rPr>
      </w:pPr>
      <w:r>
        <w:rPr>
          <w:rFonts w:hint="eastAsia" w:ascii="宋体" w:hAnsi="宋体"/>
          <w:b/>
          <w:sz w:val="24"/>
          <w:highlight w:val="none"/>
        </w:rPr>
        <w:t>1</w:t>
      </w:r>
      <w:r>
        <w:rPr>
          <w:rFonts w:ascii="宋体" w:hAnsi="宋体"/>
          <w:b/>
          <w:sz w:val="24"/>
          <w:highlight w:val="none"/>
        </w:rPr>
        <w:t>、</w:t>
      </w:r>
      <w:r>
        <w:rPr>
          <w:rFonts w:hint="eastAsia" w:ascii="宋体" w:hAnsi="宋体"/>
          <w:b/>
          <w:sz w:val="24"/>
          <w:highlight w:val="none"/>
        </w:rPr>
        <w:t>实验目的</w:t>
      </w:r>
    </w:p>
    <w:p>
      <w:pPr>
        <w:spacing w:line="360" w:lineRule="auto"/>
        <w:ind w:firstLine="480" w:firstLineChars="200"/>
        <w:rPr>
          <w:rFonts w:ascii="宋体" w:hAnsi="宋体"/>
          <w:sz w:val="24"/>
          <w:highlight w:val="none"/>
        </w:rPr>
      </w:pPr>
      <w:r>
        <w:rPr>
          <w:rFonts w:hint="eastAsia" w:ascii="宋体" w:hAnsi="宋体"/>
          <w:sz w:val="24"/>
          <w:highlight w:val="none"/>
        </w:rPr>
        <w:t>帮助学生理解云群滴凝结增长理论。</w:t>
      </w:r>
    </w:p>
    <w:p>
      <w:pPr>
        <w:spacing w:before="156" w:beforeLines="50" w:after="156" w:afterLines="50" w:line="360" w:lineRule="auto"/>
        <w:rPr>
          <w:rFonts w:ascii="宋体" w:hAnsi="宋体"/>
          <w:b/>
          <w:sz w:val="24"/>
          <w:highlight w:val="none"/>
        </w:rPr>
      </w:pPr>
      <w:r>
        <w:rPr>
          <w:rFonts w:hint="eastAsia" w:ascii="宋体" w:hAnsi="宋体"/>
          <w:b/>
          <w:sz w:val="24"/>
          <w:highlight w:val="none"/>
        </w:rPr>
        <w:t>2</w:t>
      </w:r>
      <w:r>
        <w:rPr>
          <w:rFonts w:ascii="宋体" w:hAnsi="宋体"/>
          <w:b/>
          <w:sz w:val="24"/>
          <w:highlight w:val="none"/>
        </w:rPr>
        <w:t>、</w:t>
      </w:r>
      <w:r>
        <w:rPr>
          <w:rFonts w:hint="eastAsia" w:ascii="宋体" w:hAnsi="宋体"/>
          <w:b/>
          <w:sz w:val="24"/>
          <w:highlight w:val="none"/>
        </w:rPr>
        <w:t>实验整体流程</w:t>
      </w:r>
    </w:p>
    <w:p>
      <w:pPr>
        <w:spacing w:line="360" w:lineRule="auto"/>
        <w:ind w:firstLine="480" w:firstLineChars="200"/>
        <w:rPr>
          <w:rFonts w:ascii="宋体" w:hAnsi="宋体"/>
          <w:sz w:val="24"/>
          <w:highlight w:val="none"/>
        </w:rPr>
      </w:pPr>
      <w:r>
        <w:rPr>
          <w:rFonts w:hint="eastAsia" w:ascii="宋体" w:hAnsi="宋体"/>
          <w:sz w:val="24"/>
          <w:highlight w:val="none"/>
        </w:rPr>
        <w:t>在气溶胶三个参数都保持不变的情况下，让学生改变垂直上升速度，运行模式。做出不同垂直上升速度条件下，过饱和度、云微物理量和谱分布随高度变化的动画。</w:t>
      </w:r>
    </w:p>
    <w:p>
      <w:pPr>
        <w:pStyle w:val="7"/>
        <w:ind w:left="1470" w:right="1470"/>
        <w:rPr>
          <w:highlight w:val="none"/>
        </w:rPr>
      </w:pPr>
    </w:p>
    <w:p>
      <w:pPr>
        <w:spacing w:line="360" w:lineRule="auto"/>
        <w:rPr>
          <w:rFonts w:ascii="宋体" w:hAnsi="宋体"/>
          <w:b/>
          <w:sz w:val="24"/>
          <w:highlight w:val="none"/>
        </w:rPr>
      </w:pPr>
      <w:r>
        <w:rPr>
          <w:rFonts w:hint="eastAsia" w:ascii="宋体" w:hAnsi="宋体"/>
          <w:b/>
          <w:sz w:val="24"/>
          <w:highlight w:val="none"/>
          <w:lang w:bidi="ar"/>
        </w:rPr>
        <w:t>（四）项目</w:t>
      </w:r>
      <w:r>
        <w:rPr>
          <w:rFonts w:ascii="宋体" w:hAnsi="宋体"/>
          <w:b/>
          <w:sz w:val="24"/>
          <w:highlight w:val="none"/>
          <w:lang w:bidi="ar"/>
        </w:rPr>
        <w:t>4:</w:t>
      </w:r>
      <w:r>
        <w:rPr>
          <w:rFonts w:hint="eastAsia" w:ascii="宋体" w:hAnsi="宋体"/>
          <w:sz w:val="24"/>
          <w:highlight w:val="none"/>
        </w:rPr>
        <w:t xml:space="preserve"> </w:t>
      </w:r>
      <w:r>
        <w:rPr>
          <w:rFonts w:hint="eastAsia" w:ascii="宋体" w:hAnsi="宋体"/>
          <w:b/>
          <w:bCs/>
          <w:sz w:val="24"/>
          <w:highlight w:val="none"/>
        </w:rPr>
        <w:t>绝热云：气溶胶强化（Invigoration）效应</w:t>
      </w:r>
    </w:p>
    <w:p>
      <w:pPr>
        <w:spacing w:before="156" w:beforeLines="50" w:after="156" w:afterLines="50" w:line="360" w:lineRule="auto"/>
        <w:rPr>
          <w:rFonts w:ascii="宋体" w:hAnsi="宋体"/>
          <w:b/>
          <w:bCs/>
          <w:sz w:val="24"/>
          <w:highlight w:val="none"/>
        </w:rPr>
      </w:pPr>
      <w:r>
        <w:rPr>
          <w:rFonts w:hint="eastAsia" w:ascii="宋体" w:hAnsi="宋体"/>
          <w:b/>
          <w:bCs/>
          <w:sz w:val="24"/>
          <w:highlight w:val="none"/>
        </w:rPr>
        <w:t>1</w:t>
      </w:r>
      <w:r>
        <w:rPr>
          <w:rFonts w:ascii="宋体" w:hAnsi="宋体"/>
          <w:b/>
          <w:bCs/>
          <w:sz w:val="24"/>
          <w:highlight w:val="none"/>
        </w:rPr>
        <w:t>、</w:t>
      </w:r>
      <w:r>
        <w:rPr>
          <w:rFonts w:hint="eastAsia" w:ascii="宋体" w:hAnsi="宋体"/>
          <w:b/>
          <w:bCs/>
          <w:sz w:val="24"/>
          <w:highlight w:val="none"/>
        </w:rPr>
        <w:t>实验目的</w:t>
      </w:r>
    </w:p>
    <w:p>
      <w:pPr>
        <w:spacing w:line="360" w:lineRule="auto"/>
        <w:ind w:firstLine="480" w:firstLineChars="200"/>
        <w:rPr>
          <w:rFonts w:ascii="宋体" w:hAnsi="宋体"/>
          <w:sz w:val="24"/>
          <w:highlight w:val="none"/>
        </w:rPr>
      </w:pPr>
      <w:r>
        <w:rPr>
          <w:rFonts w:hint="eastAsia" w:ascii="宋体" w:hAnsi="宋体"/>
          <w:sz w:val="24"/>
          <w:highlight w:val="none"/>
        </w:rPr>
        <w:t>形象地展示气溶胶强化效应。</w:t>
      </w:r>
    </w:p>
    <w:p>
      <w:pPr>
        <w:spacing w:before="156" w:beforeLines="50" w:after="156" w:afterLines="50" w:line="360" w:lineRule="auto"/>
        <w:rPr>
          <w:rFonts w:ascii="宋体" w:hAnsi="宋体"/>
          <w:b/>
          <w:bCs/>
          <w:sz w:val="24"/>
          <w:highlight w:val="none"/>
        </w:rPr>
      </w:pPr>
      <w:r>
        <w:rPr>
          <w:rFonts w:hint="eastAsia" w:ascii="宋体" w:hAnsi="宋体"/>
          <w:b/>
          <w:bCs/>
          <w:sz w:val="24"/>
          <w:highlight w:val="none"/>
        </w:rPr>
        <w:t>2、实验整体流程</w:t>
      </w:r>
    </w:p>
    <w:p>
      <w:pPr>
        <w:spacing w:line="360" w:lineRule="auto"/>
        <w:ind w:firstLine="480" w:firstLineChars="200"/>
        <w:rPr>
          <w:rFonts w:ascii="宋体" w:hAnsi="宋体"/>
          <w:sz w:val="24"/>
          <w:highlight w:val="none"/>
        </w:rPr>
      </w:pPr>
      <w:r>
        <w:rPr>
          <w:rFonts w:hint="eastAsia" w:ascii="宋体" w:hAnsi="宋体"/>
          <w:sz w:val="24"/>
          <w:highlight w:val="none"/>
        </w:rPr>
        <w:t>首先，要求学生增大热源的强度和面积，直到产生深对流云。其次，改变气溶胶浓度，液相云部分云滴浓度增大，凝结潜热释放增多，垂直速度增大。由于气溶胶浓度增大后液相云不容易产生降水，所以会被输送到更高的高度，形成冰晶，产生更多的降水。通过测试不同气溶胶浓度的影响，帮助学生深入理解气溶胶强化效应。</w:t>
      </w:r>
    </w:p>
    <w:p>
      <w:pPr>
        <w:spacing w:before="156" w:beforeLines="50" w:line="360" w:lineRule="auto"/>
        <w:rPr>
          <w:rFonts w:ascii="宋体" w:hAnsi="宋体"/>
          <w:b/>
          <w:sz w:val="24"/>
          <w:highlight w:val="none"/>
        </w:rPr>
      </w:pPr>
      <w:r>
        <w:rPr>
          <w:rFonts w:ascii="宋体" w:hAnsi="宋体"/>
          <w:b/>
          <w:sz w:val="24"/>
          <w:highlight w:val="none"/>
        </w:rPr>
        <w:t>（</w:t>
      </w:r>
      <w:r>
        <w:rPr>
          <w:rFonts w:hint="eastAsia" w:ascii="宋体" w:hAnsi="宋体"/>
          <w:b/>
          <w:sz w:val="24"/>
          <w:highlight w:val="none"/>
        </w:rPr>
        <w:t>五</w:t>
      </w:r>
      <w:r>
        <w:rPr>
          <w:rFonts w:ascii="宋体" w:hAnsi="宋体"/>
          <w:b/>
          <w:sz w:val="24"/>
          <w:highlight w:val="none"/>
        </w:rPr>
        <w:t>）</w:t>
      </w:r>
      <w:r>
        <w:rPr>
          <w:rFonts w:hint="eastAsia" w:ascii="宋体" w:hAnsi="宋体"/>
          <w:b/>
          <w:sz w:val="24"/>
          <w:highlight w:val="none"/>
          <w:lang w:bidi="ar"/>
        </w:rPr>
        <w:t>项目5</w:t>
      </w:r>
      <w:r>
        <w:rPr>
          <w:rFonts w:ascii="宋体" w:hAnsi="宋体"/>
          <w:b/>
          <w:sz w:val="24"/>
          <w:highlight w:val="none"/>
          <w:lang w:bidi="ar"/>
        </w:rPr>
        <w:t>:</w:t>
      </w:r>
      <w:r>
        <w:rPr>
          <w:rFonts w:hint="eastAsia" w:ascii="宋体" w:hAnsi="宋体"/>
          <w:b/>
          <w:sz w:val="24"/>
          <w:highlight w:val="none"/>
        </w:rPr>
        <w:t xml:space="preserve"> </w:t>
      </w:r>
      <w:r>
        <w:rPr>
          <w:rFonts w:hint="eastAsia" w:ascii="宋体" w:hAnsi="宋体"/>
          <w:b/>
          <w:sz w:val="24"/>
          <w:highlight w:val="none"/>
          <w:lang w:bidi="ar"/>
        </w:rPr>
        <w:t>非绝热云：积云侧边界夹卷率的影响</w:t>
      </w:r>
    </w:p>
    <w:p>
      <w:pPr>
        <w:spacing w:before="156" w:beforeLines="50" w:after="156" w:afterLines="50" w:line="360" w:lineRule="auto"/>
        <w:rPr>
          <w:rFonts w:ascii="宋体" w:hAnsi="宋体"/>
          <w:b/>
          <w:bCs/>
          <w:sz w:val="24"/>
          <w:highlight w:val="none"/>
        </w:rPr>
      </w:pPr>
      <w:r>
        <w:rPr>
          <w:rFonts w:hint="eastAsia" w:ascii="宋体" w:hAnsi="宋体"/>
          <w:b/>
          <w:bCs/>
          <w:sz w:val="24"/>
          <w:highlight w:val="none"/>
        </w:rPr>
        <w:t>1</w:t>
      </w:r>
      <w:r>
        <w:rPr>
          <w:rFonts w:ascii="宋体" w:hAnsi="宋体"/>
          <w:b/>
          <w:bCs/>
          <w:sz w:val="24"/>
          <w:highlight w:val="none"/>
        </w:rPr>
        <w:t>、</w:t>
      </w:r>
      <w:r>
        <w:rPr>
          <w:rFonts w:hint="eastAsia" w:ascii="宋体" w:hAnsi="宋体"/>
          <w:b/>
          <w:bCs/>
          <w:sz w:val="24"/>
          <w:highlight w:val="none"/>
        </w:rPr>
        <w:t>实验目的</w:t>
      </w:r>
    </w:p>
    <w:p>
      <w:pPr>
        <w:spacing w:line="360" w:lineRule="auto"/>
        <w:ind w:firstLine="480" w:firstLineChars="200"/>
        <w:rPr>
          <w:rFonts w:ascii="宋体" w:hAnsi="宋体"/>
          <w:sz w:val="24"/>
          <w:highlight w:val="none"/>
        </w:rPr>
      </w:pPr>
      <w:r>
        <w:rPr>
          <w:rFonts w:hint="eastAsia" w:ascii="宋体" w:hAnsi="宋体"/>
          <w:sz w:val="24"/>
          <w:highlight w:val="none"/>
        </w:rPr>
        <w:t>通过互动板块，帮助学生理解侧边界夹卷强度对云高度、生命周期等的影响。</w:t>
      </w:r>
    </w:p>
    <w:p>
      <w:pPr>
        <w:spacing w:before="156" w:beforeLines="50" w:after="156" w:afterLines="50" w:line="360" w:lineRule="auto"/>
        <w:rPr>
          <w:rFonts w:ascii="宋体" w:hAnsi="宋体"/>
          <w:b/>
          <w:bCs/>
          <w:sz w:val="24"/>
          <w:highlight w:val="none"/>
        </w:rPr>
      </w:pPr>
      <w:r>
        <w:rPr>
          <w:rFonts w:ascii="宋体" w:hAnsi="宋体"/>
          <w:b/>
          <w:bCs/>
          <w:sz w:val="24"/>
          <w:highlight w:val="none"/>
        </w:rPr>
        <w:t>2、</w:t>
      </w:r>
      <w:r>
        <w:rPr>
          <w:rFonts w:hint="eastAsia" w:ascii="宋体" w:hAnsi="宋体"/>
          <w:b/>
          <w:bCs/>
          <w:sz w:val="24"/>
          <w:highlight w:val="none"/>
        </w:rPr>
        <w:t>实验整体流程</w:t>
      </w:r>
    </w:p>
    <w:p>
      <w:pPr>
        <w:spacing w:line="360" w:lineRule="auto"/>
        <w:ind w:firstLine="480" w:firstLineChars="200"/>
        <w:rPr>
          <w:rFonts w:ascii="宋体" w:hAnsi="宋体"/>
          <w:sz w:val="24"/>
          <w:highlight w:val="none"/>
        </w:rPr>
      </w:pPr>
      <w:r>
        <w:rPr>
          <w:rFonts w:hint="eastAsia" w:ascii="宋体" w:hAnsi="宋体"/>
          <w:sz w:val="24"/>
          <w:highlight w:val="none"/>
        </w:rPr>
        <w:t>要求学生在不同的高度上改变被卷入云中干空气的大小和相对湿度，观察云中垂直速度、浮力、高度、水平尺度、降水等的变化。</w:t>
      </w:r>
    </w:p>
    <w:p>
      <w:pPr>
        <w:spacing w:before="156" w:beforeLines="50" w:line="360" w:lineRule="auto"/>
        <w:rPr>
          <w:rFonts w:ascii="宋体" w:hAnsi="宋体"/>
          <w:b/>
          <w:sz w:val="24"/>
          <w:highlight w:val="none"/>
        </w:rPr>
      </w:pPr>
      <w:r>
        <w:rPr>
          <w:rFonts w:ascii="宋体" w:hAnsi="宋体"/>
          <w:b/>
          <w:sz w:val="24"/>
          <w:highlight w:val="none"/>
        </w:rPr>
        <w:t>（</w:t>
      </w:r>
      <w:r>
        <w:rPr>
          <w:rFonts w:hint="eastAsia" w:ascii="宋体" w:hAnsi="宋体"/>
          <w:b/>
          <w:sz w:val="24"/>
          <w:highlight w:val="none"/>
        </w:rPr>
        <w:t>六</w:t>
      </w:r>
      <w:r>
        <w:rPr>
          <w:rFonts w:ascii="宋体" w:hAnsi="宋体"/>
          <w:b/>
          <w:sz w:val="24"/>
          <w:highlight w:val="none"/>
        </w:rPr>
        <w:t>）</w:t>
      </w:r>
      <w:r>
        <w:rPr>
          <w:rFonts w:hint="eastAsia" w:ascii="宋体" w:hAnsi="宋体"/>
          <w:b/>
          <w:sz w:val="24"/>
          <w:highlight w:val="none"/>
          <w:lang w:bidi="ar"/>
        </w:rPr>
        <w:t>项目6</w:t>
      </w:r>
      <w:r>
        <w:rPr>
          <w:rFonts w:ascii="宋体" w:hAnsi="宋体"/>
          <w:b/>
          <w:sz w:val="24"/>
          <w:highlight w:val="none"/>
          <w:lang w:bidi="ar"/>
        </w:rPr>
        <w:t>:</w:t>
      </w:r>
      <w:r>
        <w:rPr>
          <w:rFonts w:hint="eastAsia" w:ascii="宋体" w:hAnsi="宋体"/>
          <w:sz w:val="24"/>
          <w:highlight w:val="none"/>
        </w:rPr>
        <w:t xml:space="preserve"> </w:t>
      </w:r>
      <w:r>
        <w:rPr>
          <w:rFonts w:hint="eastAsia" w:ascii="宋体" w:hAnsi="宋体"/>
          <w:b/>
          <w:sz w:val="24"/>
          <w:highlight w:val="none"/>
          <w:lang w:bidi="ar"/>
        </w:rPr>
        <w:t>非绝热云：湍流对云微物理的影响</w:t>
      </w:r>
    </w:p>
    <w:p>
      <w:pPr>
        <w:spacing w:before="156" w:beforeLines="50" w:after="156" w:afterLines="50" w:line="360" w:lineRule="auto"/>
        <w:rPr>
          <w:rFonts w:ascii="宋体" w:hAnsi="宋体"/>
          <w:b/>
          <w:bCs/>
          <w:sz w:val="24"/>
          <w:highlight w:val="none"/>
        </w:rPr>
      </w:pPr>
      <w:r>
        <w:rPr>
          <w:rFonts w:hint="eastAsia" w:ascii="宋体" w:hAnsi="宋体"/>
          <w:b/>
          <w:bCs/>
          <w:sz w:val="24"/>
          <w:highlight w:val="none"/>
        </w:rPr>
        <w:t>1</w:t>
      </w:r>
      <w:r>
        <w:rPr>
          <w:rFonts w:ascii="宋体" w:hAnsi="宋体"/>
          <w:b/>
          <w:bCs/>
          <w:sz w:val="24"/>
          <w:highlight w:val="none"/>
        </w:rPr>
        <w:t>、</w:t>
      </w:r>
      <w:r>
        <w:rPr>
          <w:rFonts w:hint="eastAsia" w:ascii="宋体" w:hAnsi="宋体"/>
          <w:b/>
          <w:bCs/>
          <w:sz w:val="24"/>
          <w:highlight w:val="none"/>
        </w:rPr>
        <w:t>实验目的</w:t>
      </w:r>
    </w:p>
    <w:p>
      <w:pPr>
        <w:spacing w:line="360" w:lineRule="auto"/>
        <w:ind w:firstLine="480" w:firstLineChars="200"/>
        <w:rPr>
          <w:rFonts w:ascii="宋体" w:hAnsi="宋体"/>
          <w:sz w:val="24"/>
          <w:highlight w:val="none"/>
        </w:rPr>
      </w:pPr>
      <w:r>
        <w:rPr>
          <w:rFonts w:hint="eastAsia" w:ascii="宋体" w:hAnsi="宋体"/>
          <w:sz w:val="24"/>
          <w:highlight w:val="none"/>
        </w:rPr>
        <w:t>帮助学生理解湍流起伏增长理论。</w:t>
      </w:r>
    </w:p>
    <w:p>
      <w:pPr>
        <w:spacing w:before="156" w:beforeLines="50" w:after="156" w:afterLines="50" w:line="360" w:lineRule="auto"/>
        <w:rPr>
          <w:rFonts w:ascii="宋体" w:hAnsi="宋体"/>
          <w:sz w:val="24"/>
          <w:highlight w:val="none"/>
        </w:rPr>
      </w:pPr>
      <w:r>
        <w:rPr>
          <w:rFonts w:ascii="宋体" w:hAnsi="宋体"/>
          <w:b/>
          <w:bCs/>
          <w:sz w:val="24"/>
          <w:highlight w:val="none"/>
        </w:rPr>
        <w:t>2、</w:t>
      </w:r>
      <w:r>
        <w:rPr>
          <w:rFonts w:hint="eastAsia" w:ascii="宋体" w:hAnsi="宋体"/>
          <w:b/>
          <w:sz w:val="24"/>
          <w:highlight w:val="none"/>
        </w:rPr>
        <w:t>实验整体流程</w:t>
      </w:r>
    </w:p>
    <w:p>
      <w:pPr>
        <w:spacing w:line="360" w:lineRule="auto"/>
        <w:ind w:firstLine="480" w:firstLineChars="200"/>
        <w:rPr>
          <w:rFonts w:ascii="宋体" w:hAnsi="宋体"/>
          <w:sz w:val="24"/>
          <w:highlight w:val="none"/>
        </w:rPr>
      </w:pPr>
      <w:r>
        <w:rPr>
          <w:rFonts w:hint="eastAsia" w:ascii="宋体" w:hAnsi="宋体"/>
          <w:sz w:val="24"/>
          <w:highlight w:val="none"/>
        </w:rPr>
        <w:t>首先，将利用犹他大学的夹卷混合气泡模式设计该模块。考虑到学生对夹卷混合气泡模式不熟悉，将用图形和文字说明该模式的功能。传统的气泡模式的模拟区域是一个气泡，相当于三维模式的一个网格点。夹卷混合气泡模式的模拟区域不再是一个网格点，而是具有一定宽度、长度和高度的立方体，可以用来模拟云中的湍流过程，比传统的气泡模式先进。</w:t>
      </w:r>
    </w:p>
    <w:p>
      <w:pPr>
        <w:spacing w:line="360" w:lineRule="auto"/>
        <w:ind w:firstLine="480" w:firstLineChars="200"/>
        <w:rPr>
          <w:rFonts w:ascii="宋体" w:hAnsi="宋体"/>
          <w:sz w:val="24"/>
          <w:highlight w:val="none"/>
        </w:rPr>
      </w:pPr>
      <w:r>
        <w:rPr>
          <w:rFonts w:hint="eastAsia" w:ascii="宋体" w:hAnsi="宋体"/>
          <w:sz w:val="24"/>
          <w:highlight w:val="none"/>
        </w:rPr>
        <w:t>其次，让学生在夹卷混合气泡模式中设置一个湍流耗散率，把模拟区域分成若干小的立方体，做出每一个小立方体内云微物理量和谱分布随高度变化的动画，要求学生对不同小立方体内的结果进行比较。</w:t>
      </w:r>
    </w:p>
    <w:p>
      <w:pPr>
        <w:spacing w:line="360" w:lineRule="auto"/>
        <w:ind w:firstLine="480" w:firstLineChars="200"/>
        <w:rPr>
          <w:rFonts w:ascii="宋体" w:hAnsi="宋体"/>
          <w:sz w:val="24"/>
          <w:highlight w:val="none"/>
        </w:rPr>
      </w:pPr>
      <w:r>
        <w:rPr>
          <w:rFonts w:hint="eastAsia" w:ascii="宋体" w:hAnsi="宋体"/>
          <w:sz w:val="24"/>
          <w:highlight w:val="none"/>
        </w:rPr>
        <w:t>再次，让学生改变湍流耗散率的值，做出相应的动画，对比不同耗散率条件下，不同小立方体内结果的差异。</w:t>
      </w:r>
    </w:p>
    <w:p>
      <w:pPr>
        <w:spacing w:line="360" w:lineRule="auto"/>
        <w:ind w:firstLine="480" w:firstLineChars="200"/>
        <w:rPr>
          <w:rFonts w:ascii="宋体" w:hAnsi="宋体"/>
          <w:sz w:val="24"/>
          <w:highlight w:val="none"/>
        </w:rPr>
      </w:pPr>
      <w:r>
        <w:rPr>
          <w:rFonts w:hint="eastAsia" w:ascii="宋体" w:hAnsi="宋体"/>
          <w:sz w:val="24"/>
          <w:highlight w:val="none"/>
        </w:rPr>
        <w:t>最后，在每一个湍流耗散率条件下，作出整个模拟区域内的云微物理量和谱分布随高度变化的动画。</w:t>
      </w:r>
    </w:p>
    <w:p>
      <w:pPr>
        <w:spacing w:before="156" w:beforeLines="50" w:line="360" w:lineRule="auto"/>
        <w:rPr>
          <w:rFonts w:ascii="宋体" w:hAnsi="宋体"/>
          <w:b/>
          <w:sz w:val="24"/>
          <w:highlight w:val="none"/>
        </w:rPr>
      </w:pPr>
      <w:r>
        <w:rPr>
          <w:rFonts w:ascii="宋体" w:hAnsi="宋体"/>
          <w:b/>
          <w:sz w:val="24"/>
          <w:highlight w:val="none"/>
        </w:rPr>
        <w:t>（</w:t>
      </w:r>
      <w:r>
        <w:rPr>
          <w:rFonts w:hint="eastAsia" w:ascii="宋体" w:hAnsi="宋体"/>
          <w:b/>
          <w:sz w:val="24"/>
          <w:highlight w:val="none"/>
        </w:rPr>
        <w:t>七</w:t>
      </w:r>
      <w:r>
        <w:rPr>
          <w:rFonts w:ascii="宋体" w:hAnsi="宋体"/>
          <w:b/>
          <w:sz w:val="24"/>
          <w:highlight w:val="none"/>
        </w:rPr>
        <w:t>）</w:t>
      </w:r>
      <w:r>
        <w:rPr>
          <w:rFonts w:hint="eastAsia" w:ascii="宋体" w:hAnsi="宋体"/>
          <w:b/>
          <w:sz w:val="24"/>
          <w:highlight w:val="none"/>
          <w:lang w:bidi="ar"/>
        </w:rPr>
        <w:t>项目7</w:t>
      </w:r>
      <w:r>
        <w:rPr>
          <w:rFonts w:ascii="宋体" w:hAnsi="宋体"/>
          <w:b/>
          <w:sz w:val="24"/>
          <w:highlight w:val="none"/>
          <w:lang w:bidi="ar"/>
        </w:rPr>
        <w:t>:</w:t>
      </w:r>
      <w:r>
        <w:rPr>
          <w:rFonts w:hint="eastAsia" w:ascii="宋体" w:hAnsi="宋体"/>
          <w:b/>
          <w:sz w:val="24"/>
          <w:highlight w:val="none"/>
        </w:rPr>
        <w:t xml:space="preserve"> </w:t>
      </w:r>
      <w:r>
        <w:rPr>
          <w:rFonts w:hint="eastAsia" w:ascii="宋体" w:hAnsi="宋体"/>
          <w:b/>
          <w:sz w:val="24"/>
          <w:highlight w:val="none"/>
          <w:lang w:bidi="ar"/>
        </w:rPr>
        <w:t>非绝热云：</w:t>
      </w:r>
      <w:r>
        <w:rPr>
          <w:rFonts w:ascii="宋体" w:hAnsi="宋体"/>
          <w:b/>
          <w:sz w:val="24"/>
          <w:highlight w:val="none"/>
          <w:lang w:bidi="ar"/>
        </w:rPr>
        <w:t>夹卷对云微物理的影响</w:t>
      </w:r>
    </w:p>
    <w:p>
      <w:pPr>
        <w:spacing w:before="156" w:beforeLines="50" w:after="156" w:afterLines="50" w:line="360" w:lineRule="auto"/>
        <w:rPr>
          <w:rFonts w:ascii="宋体" w:hAnsi="宋体"/>
          <w:b/>
          <w:sz w:val="24"/>
          <w:highlight w:val="none"/>
        </w:rPr>
      </w:pPr>
      <w:r>
        <w:rPr>
          <w:rFonts w:hint="eastAsia" w:ascii="宋体" w:hAnsi="宋体"/>
          <w:b/>
          <w:sz w:val="24"/>
          <w:highlight w:val="none"/>
        </w:rPr>
        <w:t>1</w:t>
      </w:r>
      <w:r>
        <w:rPr>
          <w:rFonts w:ascii="宋体" w:hAnsi="宋体"/>
          <w:b/>
          <w:sz w:val="24"/>
          <w:highlight w:val="none"/>
        </w:rPr>
        <w:t>、</w:t>
      </w:r>
      <w:r>
        <w:rPr>
          <w:rFonts w:hint="eastAsia" w:ascii="宋体" w:hAnsi="宋体"/>
          <w:b/>
          <w:sz w:val="24"/>
          <w:highlight w:val="none"/>
        </w:rPr>
        <w:t>实验目的</w:t>
      </w:r>
    </w:p>
    <w:p>
      <w:pPr>
        <w:spacing w:line="360" w:lineRule="auto"/>
        <w:ind w:firstLine="480" w:firstLineChars="200"/>
        <w:rPr>
          <w:rFonts w:ascii="宋体" w:hAnsi="宋体"/>
          <w:sz w:val="24"/>
          <w:highlight w:val="none"/>
        </w:rPr>
      </w:pPr>
      <w:r>
        <w:rPr>
          <w:rFonts w:hint="eastAsia" w:ascii="宋体" w:hAnsi="宋体"/>
          <w:sz w:val="24"/>
          <w:highlight w:val="none"/>
        </w:rPr>
        <w:t>帮助学生理解夹卷混合过程。</w:t>
      </w:r>
    </w:p>
    <w:p>
      <w:pPr>
        <w:spacing w:before="156" w:beforeLines="50" w:after="156" w:afterLines="50" w:line="360" w:lineRule="auto"/>
        <w:rPr>
          <w:rFonts w:ascii="宋体" w:hAnsi="宋体"/>
          <w:b/>
          <w:sz w:val="24"/>
          <w:highlight w:val="none"/>
        </w:rPr>
      </w:pPr>
      <w:r>
        <w:rPr>
          <w:rFonts w:ascii="宋体" w:hAnsi="宋体"/>
          <w:b/>
          <w:sz w:val="24"/>
          <w:highlight w:val="none"/>
        </w:rPr>
        <w:t>2、</w:t>
      </w:r>
      <w:r>
        <w:rPr>
          <w:rFonts w:hint="eastAsia" w:ascii="宋体" w:hAnsi="宋体"/>
          <w:b/>
          <w:sz w:val="24"/>
          <w:highlight w:val="none"/>
        </w:rPr>
        <w:t>实验整体流程</w:t>
      </w:r>
    </w:p>
    <w:p>
      <w:pPr>
        <w:spacing w:line="360" w:lineRule="auto"/>
        <w:ind w:firstLine="480" w:firstLineChars="200"/>
        <w:rPr>
          <w:rFonts w:ascii="宋体" w:hAnsi="宋体"/>
          <w:sz w:val="24"/>
          <w:highlight w:val="none"/>
        </w:rPr>
      </w:pPr>
      <w:r>
        <w:rPr>
          <w:rFonts w:hint="eastAsia" w:ascii="宋体" w:hAnsi="宋体"/>
          <w:sz w:val="24"/>
          <w:highlight w:val="none"/>
        </w:rPr>
        <w:t>首先，设置三个参数（夹卷率、夹卷发生的高度和环境空气中的相对湿度），让学生保持两个参数不变，只改变第三个参数，画出谱分布随高度变化的动画，分析这第三个参数的影响。</w:t>
      </w:r>
    </w:p>
    <w:p>
      <w:pPr>
        <w:spacing w:line="360" w:lineRule="auto"/>
        <w:ind w:firstLine="480" w:firstLineChars="200"/>
        <w:rPr>
          <w:rFonts w:ascii="宋体" w:hAnsi="宋体"/>
          <w:sz w:val="24"/>
          <w:highlight w:val="none"/>
        </w:rPr>
      </w:pPr>
      <w:r>
        <w:rPr>
          <w:rFonts w:hint="eastAsia" w:ascii="宋体" w:hAnsi="宋体"/>
          <w:sz w:val="24"/>
          <w:highlight w:val="none"/>
        </w:rPr>
        <w:t>其次，让学生探索夹卷混合过程对云滴谱增宽的影响。观测到的谱分布比理论计算的谱要宽，这是一个悬而未决的科学问题。要求学生画出不同夹卷率、夹卷高度、相对湿度条件下，云滴谱的标准差和离散度随高度的变化图。</w:t>
      </w:r>
    </w:p>
    <w:p>
      <w:pPr>
        <w:spacing w:before="156" w:beforeLines="50" w:line="360" w:lineRule="auto"/>
        <w:rPr>
          <w:rFonts w:ascii="宋体" w:hAnsi="宋体"/>
          <w:b/>
          <w:sz w:val="24"/>
          <w:highlight w:val="none"/>
        </w:rPr>
      </w:pPr>
      <w:r>
        <w:rPr>
          <w:rFonts w:ascii="宋体" w:hAnsi="宋体"/>
          <w:b/>
          <w:sz w:val="24"/>
          <w:highlight w:val="none"/>
        </w:rPr>
        <w:t>（</w:t>
      </w:r>
      <w:r>
        <w:rPr>
          <w:rFonts w:hint="eastAsia" w:ascii="宋体" w:hAnsi="宋体"/>
          <w:b/>
          <w:sz w:val="24"/>
          <w:highlight w:val="none"/>
        </w:rPr>
        <w:t>八</w:t>
      </w:r>
      <w:r>
        <w:rPr>
          <w:rFonts w:ascii="宋体" w:hAnsi="宋体"/>
          <w:b/>
          <w:sz w:val="24"/>
          <w:highlight w:val="none"/>
        </w:rPr>
        <w:t>）</w:t>
      </w:r>
      <w:r>
        <w:rPr>
          <w:rFonts w:hint="eastAsia" w:ascii="宋体" w:hAnsi="宋体"/>
          <w:b/>
          <w:sz w:val="24"/>
          <w:highlight w:val="none"/>
          <w:lang w:bidi="ar"/>
        </w:rPr>
        <w:t>项目8</w:t>
      </w:r>
      <w:r>
        <w:rPr>
          <w:rFonts w:ascii="宋体" w:hAnsi="宋体"/>
          <w:b/>
          <w:sz w:val="24"/>
          <w:highlight w:val="none"/>
          <w:lang w:bidi="ar"/>
        </w:rPr>
        <w:t>:</w:t>
      </w:r>
      <w:r>
        <w:rPr>
          <w:rFonts w:hint="eastAsia" w:ascii="宋体" w:hAnsi="宋体"/>
          <w:sz w:val="24"/>
          <w:highlight w:val="none"/>
        </w:rPr>
        <w:t xml:space="preserve"> </w:t>
      </w:r>
      <w:r>
        <w:rPr>
          <w:rFonts w:hint="eastAsia" w:ascii="宋体" w:hAnsi="宋体"/>
          <w:b/>
          <w:sz w:val="24"/>
          <w:highlight w:val="none"/>
          <w:lang w:bidi="ar"/>
        </w:rPr>
        <w:t>自然及催化云中粒子谱演变</w:t>
      </w:r>
    </w:p>
    <w:p>
      <w:pPr>
        <w:spacing w:before="156" w:beforeLines="50" w:after="156" w:afterLines="50" w:line="360" w:lineRule="auto"/>
        <w:rPr>
          <w:rFonts w:ascii="宋体" w:hAnsi="宋体"/>
          <w:b/>
          <w:sz w:val="24"/>
          <w:highlight w:val="none"/>
        </w:rPr>
      </w:pPr>
      <w:r>
        <w:rPr>
          <w:rFonts w:hint="eastAsia" w:ascii="宋体" w:hAnsi="宋体"/>
          <w:b/>
          <w:sz w:val="24"/>
          <w:highlight w:val="none"/>
        </w:rPr>
        <w:t>1</w:t>
      </w:r>
      <w:r>
        <w:rPr>
          <w:rFonts w:ascii="宋体" w:hAnsi="宋体"/>
          <w:b/>
          <w:sz w:val="24"/>
          <w:highlight w:val="none"/>
        </w:rPr>
        <w:t>、</w:t>
      </w:r>
      <w:r>
        <w:rPr>
          <w:rFonts w:hint="eastAsia" w:ascii="宋体" w:hAnsi="宋体"/>
          <w:b/>
          <w:sz w:val="24"/>
          <w:highlight w:val="none"/>
        </w:rPr>
        <w:t>实验目的</w:t>
      </w:r>
    </w:p>
    <w:p>
      <w:pPr>
        <w:spacing w:line="360" w:lineRule="auto"/>
        <w:ind w:firstLine="480" w:firstLineChars="200"/>
        <w:rPr>
          <w:rFonts w:ascii="宋体" w:hAnsi="宋体"/>
          <w:sz w:val="24"/>
          <w:highlight w:val="none"/>
        </w:rPr>
      </w:pPr>
      <w:r>
        <w:rPr>
          <w:rFonts w:hint="eastAsia" w:ascii="宋体" w:hAnsi="宋体"/>
          <w:sz w:val="24"/>
          <w:highlight w:val="none"/>
        </w:rPr>
        <w:t>学生通过对云滴、冰晶、雪晶、霰晶及雨滴粒子谱的测量及相关微物理特征量的反演计算，熟悉云微物理结构演变特征，建立云微结构与云中水分转化及降水之间的相关关系。基于不同人工催化方案参数的设置，激发学生的主观能动性及科研探索精神。通过作业效果评估确立最优作业方案、明确催化作业原理。</w:t>
      </w:r>
    </w:p>
    <w:p>
      <w:pPr>
        <w:spacing w:before="156" w:beforeLines="50" w:after="156" w:afterLines="50" w:line="360" w:lineRule="auto"/>
        <w:rPr>
          <w:rFonts w:ascii="宋体" w:hAnsi="宋体"/>
          <w:b/>
          <w:sz w:val="24"/>
          <w:highlight w:val="none"/>
        </w:rPr>
      </w:pPr>
      <w:r>
        <w:rPr>
          <w:rFonts w:ascii="宋体" w:hAnsi="宋体"/>
          <w:b/>
          <w:sz w:val="24"/>
          <w:highlight w:val="none"/>
        </w:rPr>
        <w:t>2、</w:t>
      </w:r>
      <w:r>
        <w:rPr>
          <w:rFonts w:hint="eastAsia" w:ascii="宋体" w:hAnsi="宋体"/>
          <w:b/>
          <w:sz w:val="24"/>
          <w:highlight w:val="none"/>
        </w:rPr>
        <w:t>实验整体流程</w:t>
      </w:r>
    </w:p>
    <w:p>
      <w:pPr>
        <w:spacing w:line="360" w:lineRule="auto"/>
        <w:ind w:firstLine="120" w:firstLineChars="50"/>
        <w:rPr>
          <w:rFonts w:ascii="宋体" w:hAnsi="宋体"/>
          <w:color w:val="000000"/>
          <w:kern w:val="0"/>
          <w:sz w:val="24"/>
          <w:highlight w:val="none"/>
        </w:rPr>
      </w:pPr>
      <w:r>
        <w:rPr>
          <w:rFonts w:hint="eastAsia" w:ascii="宋体" w:hAnsi="宋体"/>
          <w:color w:val="000000"/>
          <w:kern w:val="0"/>
          <w:sz w:val="24"/>
          <w:highlight w:val="none"/>
        </w:rPr>
        <w:t>（1）通过三维展示，分别了解粒子谱自动观测及手段观测的方法、步骤及原理。通过这一步骤，学生牢固掌握粒子谱分布观测方法、原理及谱参数拟合方法。</w:t>
      </w:r>
    </w:p>
    <w:p>
      <w:pPr>
        <w:spacing w:line="360" w:lineRule="auto"/>
        <w:ind w:firstLine="120" w:firstLineChars="50"/>
        <w:rPr>
          <w:rFonts w:ascii="宋体" w:hAnsi="宋体"/>
          <w:color w:val="000000"/>
          <w:kern w:val="0"/>
          <w:sz w:val="24"/>
          <w:highlight w:val="none"/>
        </w:rPr>
      </w:pPr>
      <w:r>
        <w:rPr>
          <w:rFonts w:hint="eastAsia" w:ascii="宋体" w:hAnsi="宋体"/>
          <w:color w:val="000000"/>
          <w:kern w:val="0"/>
          <w:sz w:val="24"/>
          <w:highlight w:val="none"/>
        </w:rPr>
        <w:t>（2）通过学生自主选择屏幕不同的云参数，构建不同背景的云物理环境，要求学生对比不同强度及云发展不同阶段云中粒子谱分布特征。此步骤帮助学生认识云微物理结构及降水机理。</w:t>
      </w:r>
    </w:p>
    <w:p>
      <w:pPr>
        <w:pStyle w:val="7"/>
        <w:spacing w:after="0" w:line="360" w:lineRule="auto"/>
        <w:ind w:left="0" w:leftChars="0" w:right="0" w:rightChars="0" w:firstLine="120" w:firstLineChars="50"/>
        <w:rPr>
          <w:rFonts w:ascii="宋体" w:hAnsi="宋体"/>
          <w:sz w:val="24"/>
          <w:highlight w:val="none"/>
        </w:rPr>
      </w:pPr>
      <w:r>
        <w:rPr>
          <w:rFonts w:hint="eastAsia" w:ascii="宋体" w:hAnsi="宋体"/>
          <w:sz w:val="24"/>
          <w:highlight w:val="none"/>
        </w:rPr>
        <w:t>（3）在操作屏幕上分别选择不同催化剂类型，不同催化时间、高度及剂量，在云中不同时间及部位增加冰晶数浓度。在催化后不同时间段对云中粒子谱分布进行测量。这一步骤帮助学生直观认识不同催化方案对云微物理结构及降水的影响规律。</w:t>
      </w:r>
    </w:p>
    <w:p>
      <w:pPr>
        <w:pStyle w:val="7"/>
        <w:spacing w:after="0" w:line="360" w:lineRule="auto"/>
        <w:ind w:left="0" w:leftChars="0" w:right="0" w:rightChars="0" w:firstLine="120" w:firstLineChars="50"/>
        <w:rPr>
          <w:rFonts w:ascii="宋体" w:hAnsi="宋体"/>
          <w:sz w:val="24"/>
          <w:highlight w:val="none"/>
        </w:rPr>
      </w:pPr>
    </w:p>
    <w:p>
      <w:pPr>
        <w:spacing w:before="156" w:beforeLines="50" w:line="360" w:lineRule="auto"/>
        <w:rPr>
          <w:rFonts w:ascii="宋体" w:hAnsi="宋体"/>
          <w:b/>
          <w:sz w:val="24"/>
          <w:highlight w:val="none"/>
          <w:lang w:bidi="ar"/>
        </w:rPr>
      </w:pPr>
      <w:r>
        <w:rPr>
          <w:rFonts w:hint="eastAsia" w:ascii="宋体" w:hAnsi="宋体"/>
          <w:b/>
          <w:sz w:val="24"/>
          <w:highlight w:val="none"/>
        </w:rPr>
        <w:t>(九</w:t>
      </w:r>
      <w:r>
        <w:rPr>
          <w:rFonts w:ascii="宋体" w:hAnsi="宋体"/>
          <w:b/>
          <w:sz w:val="24"/>
          <w:highlight w:val="none"/>
        </w:rPr>
        <w:t>)</w:t>
      </w:r>
      <w:r>
        <w:rPr>
          <w:rFonts w:hint="eastAsia" w:ascii="宋体" w:hAnsi="宋体"/>
          <w:b/>
          <w:sz w:val="24"/>
          <w:highlight w:val="none"/>
        </w:rPr>
        <w:t>项目9</w:t>
      </w:r>
      <w:r>
        <w:rPr>
          <w:rFonts w:ascii="宋体" w:hAnsi="宋体"/>
          <w:b/>
          <w:sz w:val="24"/>
          <w:highlight w:val="none"/>
        </w:rPr>
        <w:t>:</w:t>
      </w:r>
      <w:r>
        <w:rPr>
          <w:rFonts w:hint="eastAsia" w:ascii="宋体" w:hAnsi="宋体"/>
          <w:b/>
          <w:sz w:val="24"/>
          <w:highlight w:val="none"/>
          <w:lang w:bidi="ar"/>
        </w:rPr>
        <w:t xml:space="preserve"> </w:t>
      </w:r>
      <w:r>
        <w:rPr>
          <w:rFonts w:hint="eastAsia" w:ascii="宋体" w:hAnsi="宋体"/>
          <w:b/>
          <w:sz w:val="24"/>
          <w:highlight w:val="none"/>
        </w:rPr>
        <w:t>催化条件下云中粒子谱探测</w:t>
      </w:r>
    </w:p>
    <w:p>
      <w:pPr>
        <w:spacing w:before="156" w:beforeLines="50" w:after="156" w:afterLines="50" w:line="360" w:lineRule="auto"/>
        <w:rPr>
          <w:rFonts w:ascii="宋体" w:hAnsi="宋体"/>
          <w:b/>
          <w:sz w:val="24"/>
          <w:highlight w:val="none"/>
        </w:rPr>
      </w:pPr>
      <w:r>
        <w:rPr>
          <w:rFonts w:hint="eastAsia" w:ascii="宋体" w:hAnsi="宋体"/>
          <w:b/>
          <w:sz w:val="24"/>
          <w:highlight w:val="none"/>
        </w:rPr>
        <w:t>1</w:t>
      </w:r>
      <w:r>
        <w:rPr>
          <w:rFonts w:ascii="宋体" w:hAnsi="宋体"/>
          <w:b/>
          <w:sz w:val="24"/>
          <w:highlight w:val="none"/>
        </w:rPr>
        <w:t>、</w:t>
      </w:r>
      <w:r>
        <w:rPr>
          <w:rFonts w:hint="eastAsia" w:ascii="宋体" w:hAnsi="宋体"/>
          <w:b/>
          <w:sz w:val="24"/>
          <w:highlight w:val="none"/>
        </w:rPr>
        <w:t>实验目的</w:t>
      </w:r>
    </w:p>
    <w:p>
      <w:pPr>
        <w:spacing w:line="360" w:lineRule="auto"/>
        <w:ind w:firstLine="480" w:firstLineChars="200"/>
        <w:rPr>
          <w:rFonts w:ascii="宋体" w:hAnsi="宋体"/>
          <w:sz w:val="24"/>
          <w:highlight w:val="none"/>
        </w:rPr>
      </w:pPr>
      <w:r>
        <w:rPr>
          <w:rFonts w:hint="eastAsia" w:ascii="宋体" w:hAnsi="宋体"/>
          <w:sz w:val="24"/>
          <w:highlight w:val="none"/>
        </w:rPr>
        <w:t>在外场实验中，云中粒子谱时空分布特征的连续观测要基于飞机云物理探测。飞机观测及机载仪器的购置耗资巨大，目前国内只有少数的几家人影单位具备飞机观测条件。因此，通过机载仪器探测云物理结构在教学实验中难以实现。另一方面，在对云的播撒实验中，每一次云过程的演变均是不可重复的。不可能在自然界中对同一块云开展不同催化剂、不同催化方案的播撒实验。这一点给催化方案的优化及效果评估均带来一定的困难。本实验利用虚拟仿真技术，模拟飞机观测云中粒子催化及演变过程数据。从而学生能有效深入系统地理解云内微物理结构及催化后云微物理过程的反馈，深化对《云降水物理学》、《人工影响天气》相关理论知识的理解，并增强学生解决实际问题的能力。</w:t>
      </w:r>
    </w:p>
    <w:p>
      <w:pPr>
        <w:spacing w:before="156" w:beforeLines="50" w:after="156" w:afterLines="50" w:line="360" w:lineRule="auto"/>
        <w:rPr>
          <w:rFonts w:ascii="宋体" w:hAnsi="宋体"/>
          <w:b/>
          <w:sz w:val="24"/>
          <w:highlight w:val="none"/>
        </w:rPr>
      </w:pPr>
      <w:r>
        <w:rPr>
          <w:rFonts w:hint="eastAsia" w:ascii="宋体" w:hAnsi="宋体"/>
          <w:b/>
          <w:sz w:val="24"/>
          <w:highlight w:val="none"/>
        </w:rPr>
        <w:t>2</w:t>
      </w:r>
      <w:r>
        <w:rPr>
          <w:rFonts w:ascii="宋体" w:hAnsi="宋体"/>
          <w:b/>
          <w:sz w:val="24"/>
          <w:highlight w:val="none"/>
        </w:rPr>
        <w:t>、实验整体</w:t>
      </w:r>
      <w:r>
        <w:rPr>
          <w:rFonts w:hint="eastAsia" w:ascii="宋体" w:hAnsi="宋体"/>
          <w:b/>
          <w:sz w:val="24"/>
          <w:highlight w:val="none"/>
        </w:rPr>
        <w:t>流程</w:t>
      </w:r>
    </w:p>
    <w:p>
      <w:pPr>
        <w:spacing w:line="360" w:lineRule="auto"/>
        <w:ind w:firstLine="120" w:firstLineChars="50"/>
        <w:rPr>
          <w:rFonts w:ascii="宋体" w:hAnsi="宋体"/>
          <w:color w:val="000000"/>
          <w:kern w:val="0"/>
          <w:sz w:val="24"/>
          <w:highlight w:val="none"/>
        </w:rPr>
      </w:pPr>
      <w:r>
        <w:rPr>
          <w:rFonts w:hint="eastAsia" w:ascii="宋体" w:hAnsi="宋体"/>
          <w:color w:val="000000"/>
          <w:kern w:val="0"/>
          <w:sz w:val="24"/>
          <w:highlight w:val="none"/>
        </w:rPr>
        <w:t>（1）对选定的粒子谱，在屏幕上选择计算总数浓度、质量加权平均半径、含水量及雷达反射率等计算公式进行雨滴谱统计特征量计算。公式选择项中存在干扰项，学生通过选择计算与正确计算结果进行对比。此步骤粒子谱统计特征量的计算帮助学生建立从微观粒子尺度谱分布特征到云中宏观物理量之间的定量联系。不同计算公式的对比，帮助学生加深理论认识。</w:t>
      </w:r>
    </w:p>
    <w:p>
      <w:pPr>
        <w:spacing w:line="360" w:lineRule="auto"/>
        <w:ind w:firstLine="120" w:firstLineChars="50"/>
        <w:rPr>
          <w:rFonts w:ascii="宋体" w:hAnsi="宋体"/>
          <w:color w:val="000000"/>
          <w:kern w:val="0"/>
          <w:sz w:val="24"/>
          <w:highlight w:val="none"/>
        </w:rPr>
      </w:pPr>
      <w:r>
        <w:rPr>
          <w:rFonts w:hint="eastAsia" w:ascii="宋体" w:hAnsi="宋体"/>
          <w:color w:val="000000"/>
          <w:kern w:val="0"/>
          <w:sz w:val="24"/>
          <w:highlight w:val="none"/>
        </w:rPr>
        <w:t>（2）对不同的微物理转化速率进行输出，定量计算得到不同微物理转化对降水的贡献率。这部分内容帮助同学们对降水形成机理有更加直观的认识。</w:t>
      </w:r>
    </w:p>
    <w:p>
      <w:pPr>
        <w:spacing w:line="360" w:lineRule="auto"/>
        <w:ind w:firstLine="120" w:firstLineChars="50"/>
        <w:rPr>
          <w:rFonts w:ascii="宋体" w:hAnsi="宋体"/>
          <w:color w:val="000000"/>
          <w:kern w:val="0"/>
          <w:sz w:val="24"/>
          <w:highlight w:val="none"/>
        </w:rPr>
      </w:pPr>
      <w:r>
        <w:rPr>
          <w:rFonts w:hint="eastAsia" w:ascii="宋体" w:hAnsi="宋体"/>
          <w:color w:val="000000"/>
          <w:kern w:val="0"/>
          <w:sz w:val="24"/>
          <w:highlight w:val="none"/>
        </w:rPr>
        <w:t>（3）通过对必不同催化方案产生地面降水与自然云降水的差异，得到最优作业方案。结合微物理转化率的输出和计算，回答最优作业方案的科学原理。</w:t>
      </w:r>
    </w:p>
    <w:p>
      <w:pPr>
        <w:pStyle w:val="7"/>
        <w:spacing w:before="156" w:beforeLines="50" w:after="156" w:afterLines="50" w:line="360" w:lineRule="auto"/>
        <w:ind w:left="0" w:leftChars="0" w:right="0" w:rightChars="0"/>
        <w:rPr>
          <w:b/>
          <w:bCs/>
          <w:sz w:val="28"/>
          <w:szCs w:val="32"/>
          <w:highlight w:val="none"/>
        </w:rPr>
      </w:pPr>
      <w:r>
        <w:rPr>
          <w:rFonts w:hint="eastAsia"/>
          <w:b/>
          <w:bCs/>
          <w:sz w:val="28"/>
          <w:szCs w:val="32"/>
          <w:highlight w:val="none"/>
        </w:rPr>
        <w:t>三、学习效果考核与评价</w:t>
      </w:r>
    </w:p>
    <w:p>
      <w:pPr>
        <w:spacing w:line="360" w:lineRule="auto"/>
        <w:ind w:firstLine="480" w:firstLineChars="200"/>
        <w:rPr>
          <w:rFonts w:ascii="宋体" w:hAnsi="宋体"/>
          <w:sz w:val="24"/>
          <w:highlight w:val="none"/>
        </w:rPr>
      </w:pPr>
      <w:r>
        <w:rPr>
          <w:rFonts w:hint="eastAsia" w:ascii="宋体" w:hAnsi="宋体"/>
          <w:sz w:val="24"/>
          <w:highlight w:val="none"/>
        </w:rPr>
        <w:t>对以上虚拟仿真过程涉及的知识点进行考核，包括选择题（40分）、填空题（30分）和简答题（30分），考核成绩大于60分可以进行学生互评，评价学生给出自己的答案供被评学生学习修改提升。考核成绩大于75分转入老师评价。</w:t>
      </w:r>
    </w:p>
    <w:p>
      <w:pPr>
        <w:spacing w:line="360" w:lineRule="auto"/>
        <w:ind w:firstLine="480" w:firstLineChars="200"/>
        <w:rPr>
          <w:rFonts w:ascii="宋体" w:hAnsi="宋体"/>
          <w:sz w:val="24"/>
          <w:highlight w:val="none"/>
        </w:rPr>
      </w:pPr>
      <w:r>
        <w:rPr>
          <w:rFonts w:hint="eastAsia" w:ascii="宋体" w:hAnsi="宋体"/>
          <w:sz w:val="24"/>
          <w:highlight w:val="none"/>
        </w:rPr>
        <w:t>成绩不合格（小于60分）的同学可以查阅实验记录、学习心得和实验报告，然后申请重新考核。考核再次不及格需重新开始学习。</w:t>
      </w:r>
    </w:p>
    <w:p>
      <w:pPr>
        <w:spacing w:line="360" w:lineRule="auto"/>
        <w:ind w:firstLine="480" w:firstLineChars="200"/>
        <w:rPr>
          <w:rFonts w:ascii="宋体" w:hAnsi="宋体"/>
          <w:sz w:val="24"/>
          <w:highlight w:val="none"/>
        </w:rPr>
      </w:pPr>
      <w:r>
        <w:rPr>
          <w:rFonts w:hint="eastAsia" w:ascii="宋体" w:hAnsi="宋体"/>
          <w:sz w:val="24"/>
          <w:highlight w:val="none"/>
        </w:rPr>
        <w:t>以上为初步的实验考核评价方案，其评分构成及比例等，后续在开发过程中，会根据各实验节点模块中生成的条件参数及可客观评价数据由我方综合进行调整</w:t>
      </w:r>
      <w:r>
        <w:rPr>
          <w:rFonts w:ascii="宋体" w:hAnsi="宋体"/>
          <w:sz w:val="24"/>
          <w:highlight w:val="none"/>
        </w:rPr>
        <w:t>，</w:t>
      </w:r>
      <w:r>
        <w:rPr>
          <w:rFonts w:hint="eastAsia" w:ascii="宋体" w:hAnsi="宋体"/>
          <w:sz w:val="24"/>
          <w:highlight w:val="none"/>
        </w:rPr>
        <w:t>开发方须积极配合</w:t>
      </w:r>
    </w:p>
    <w:p>
      <w:pPr>
        <w:spacing w:line="360" w:lineRule="auto"/>
        <w:ind w:firstLine="480" w:firstLineChars="200"/>
        <w:rPr>
          <w:rFonts w:ascii="宋体" w:hAnsi="宋体"/>
          <w:sz w:val="24"/>
          <w:highlight w:val="none"/>
        </w:rPr>
      </w:pPr>
      <w:r>
        <w:rPr>
          <w:rFonts w:hint="eastAsia" w:ascii="宋体" w:hAnsi="宋体"/>
          <w:sz w:val="24"/>
          <w:highlight w:val="none"/>
        </w:rPr>
        <w:t>。</w:t>
      </w:r>
    </w:p>
    <w:p>
      <w:pPr>
        <w:pStyle w:val="7"/>
        <w:spacing w:before="156" w:beforeLines="50" w:after="156" w:afterLines="50" w:line="360" w:lineRule="auto"/>
        <w:ind w:left="0" w:leftChars="0" w:right="0" w:rightChars="0"/>
        <w:rPr>
          <w:b/>
          <w:bCs/>
          <w:sz w:val="28"/>
          <w:szCs w:val="32"/>
          <w:highlight w:val="none"/>
        </w:rPr>
      </w:pPr>
      <w:r>
        <w:rPr>
          <w:rFonts w:hint="eastAsia"/>
          <w:b/>
          <w:bCs/>
          <w:sz w:val="28"/>
          <w:szCs w:val="32"/>
          <w:highlight w:val="none"/>
        </w:rPr>
        <w:t>四、实验项目系统软硬件运行环境及开发工具技术指标要求</w:t>
      </w:r>
    </w:p>
    <w:tbl>
      <w:tblPr>
        <w:tblStyle w:val="16"/>
        <w:tblW w:w="8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7"/>
        <w:gridCol w:w="4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2" w:hRule="atLeast"/>
          <w:jc w:val="center"/>
        </w:trPr>
        <w:tc>
          <w:tcPr>
            <w:tcW w:w="3607" w:type="dxa"/>
            <w:tcBorders>
              <w:top w:val="single" w:color="auto" w:sz="4" w:space="0"/>
              <w:left w:val="single" w:color="auto" w:sz="4" w:space="0"/>
              <w:bottom w:val="single" w:color="auto" w:sz="4" w:space="0"/>
              <w:right w:val="single" w:color="auto" w:sz="4" w:space="0"/>
            </w:tcBorders>
            <w:vAlign w:val="center"/>
          </w:tcPr>
          <w:p>
            <w:pPr>
              <w:rPr>
                <w:rFonts w:ascii="宋体" w:hAnsi="宋体" w:cs="微软雅黑"/>
                <w:color w:val="000000"/>
                <w:sz w:val="24"/>
                <w:highlight w:val="none"/>
                <w:lang w:bidi="ar"/>
              </w:rPr>
            </w:pPr>
            <w:r>
              <w:rPr>
                <w:rFonts w:hint="eastAsia" w:ascii="宋体" w:hAnsi="宋体" w:cs="微软雅黑"/>
                <w:color w:val="000000"/>
                <w:sz w:val="24"/>
                <w:highlight w:val="none"/>
                <w:lang w:bidi="ar"/>
              </w:rPr>
              <w:t>系统架构图及简要说明（</w:t>
            </w:r>
            <w:r>
              <w:rPr>
                <w:rFonts w:ascii="宋体" w:hAnsi="宋体" w:cs="微软雅黑"/>
                <w:color w:val="000000"/>
                <w:sz w:val="24"/>
                <w:highlight w:val="none"/>
                <w:lang w:bidi="ar"/>
              </w:rPr>
              <w:t>C/S</w:t>
            </w:r>
            <w:r>
              <w:rPr>
                <w:rFonts w:hint="eastAsia" w:ascii="宋体" w:hAnsi="宋体" w:cs="微软雅黑"/>
                <w:color w:val="000000"/>
                <w:sz w:val="24"/>
                <w:highlight w:val="none"/>
                <w:lang w:bidi="ar"/>
              </w:rPr>
              <w:t>架构与</w:t>
            </w:r>
            <w:r>
              <w:rPr>
                <w:rFonts w:ascii="宋体" w:hAnsi="宋体" w:cs="微软雅黑"/>
                <w:color w:val="000000"/>
                <w:sz w:val="24"/>
                <w:highlight w:val="none"/>
                <w:lang w:bidi="ar"/>
              </w:rPr>
              <w:t>B/S</w:t>
            </w:r>
            <w:r>
              <w:rPr>
                <w:rFonts w:hint="eastAsia" w:ascii="宋体" w:hAnsi="宋体" w:cs="微软雅黑"/>
                <w:color w:val="000000"/>
                <w:sz w:val="24"/>
                <w:highlight w:val="none"/>
                <w:lang w:bidi="ar"/>
              </w:rPr>
              <w:t>相结合，实现与互联网平台对接）</w:t>
            </w:r>
          </w:p>
        </w:tc>
        <w:tc>
          <w:tcPr>
            <w:tcW w:w="4969" w:type="dxa"/>
            <w:tcBorders>
              <w:top w:val="single" w:color="auto" w:sz="4" w:space="0"/>
              <w:left w:val="single" w:color="auto" w:sz="4" w:space="0"/>
              <w:bottom w:val="single" w:color="auto" w:sz="4" w:space="0"/>
              <w:right w:val="single" w:color="auto" w:sz="4" w:space="0"/>
            </w:tcBorders>
          </w:tcPr>
          <w:p>
            <w:pPr>
              <w:rPr>
                <w:rFonts w:ascii="宋体" w:hAnsi="宋体" w:cs="微软雅黑"/>
                <w:color w:val="000000"/>
                <w:sz w:val="24"/>
                <w:highlight w:val="none"/>
                <w:lang w:bidi="ar"/>
              </w:rPr>
            </w:pPr>
            <w:r>
              <w:rPr>
                <w:rFonts w:ascii="宋体" w:hAnsi="宋体" w:cs="微软雅黑"/>
                <w:color w:val="000000"/>
                <w:sz w:val="24"/>
                <w:highlight w:val="none"/>
              </w:rPr>
              <w:drawing>
                <wp:anchor distT="0" distB="0" distL="114300" distR="114300" simplePos="0" relativeHeight="251659264" behindDoc="0" locked="0" layoutInCell="1" allowOverlap="1">
                  <wp:simplePos x="0" y="0"/>
                  <wp:positionH relativeFrom="page">
                    <wp:posOffset>1001395</wp:posOffset>
                  </wp:positionH>
                  <wp:positionV relativeFrom="page">
                    <wp:posOffset>62230</wp:posOffset>
                  </wp:positionV>
                  <wp:extent cx="1605280" cy="1256030"/>
                  <wp:effectExtent l="0" t="0" r="13970" b="1270"/>
                  <wp:wrapSquare wrapText="bothSides"/>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605280" cy="1256030"/>
                          </a:xfrm>
                          <a:prstGeom prst="rect">
                            <a:avLst/>
                          </a:prstGeom>
                          <a:noFill/>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607" w:type="dxa"/>
            <w:tcBorders>
              <w:top w:val="single" w:color="auto" w:sz="4" w:space="0"/>
              <w:left w:val="single" w:color="auto" w:sz="4" w:space="0"/>
              <w:bottom w:val="single" w:color="auto" w:sz="4" w:space="0"/>
              <w:right w:val="single" w:color="auto" w:sz="4" w:space="0"/>
            </w:tcBorders>
            <w:vAlign w:val="center"/>
          </w:tcPr>
          <w:p>
            <w:pPr>
              <w:rPr>
                <w:rFonts w:ascii="宋体" w:hAnsi="宋体" w:cs="微软雅黑"/>
                <w:color w:val="000000"/>
                <w:sz w:val="24"/>
                <w:highlight w:val="none"/>
                <w:lang w:bidi="ar"/>
              </w:rPr>
            </w:pPr>
            <w:r>
              <w:rPr>
                <w:rFonts w:hint="eastAsia" w:ascii="宋体" w:hAnsi="宋体" w:cs="微软雅黑"/>
                <w:color w:val="000000"/>
                <w:sz w:val="24"/>
                <w:highlight w:val="none"/>
                <w:lang w:bidi="ar"/>
              </w:rPr>
              <w:t>开发技术</w:t>
            </w:r>
          </w:p>
        </w:tc>
        <w:tc>
          <w:tcPr>
            <w:tcW w:w="4969" w:type="dxa"/>
            <w:tcBorders>
              <w:top w:val="single" w:color="auto" w:sz="4" w:space="0"/>
              <w:left w:val="single" w:color="auto" w:sz="4" w:space="0"/>
              <w:bottom w:val="single" w:color="auto" w:sz="4" w:space="0"/>
              <w:right w:val="single" w:color="auto" w:sz="4" w:space="0"/>
            </w:tcBorders>
            <w:vAlign w:val="center"/>
          </w:tcPr>
          <w:p>
            <w:pPr>
              <w:rPr>
                <w:rFonts w:ascii="宋体" w:hAnsi="宋体" w:cs="微软雅黑"/>
                <w:color w:val="000000"/>
                <w:sz w:val="24"/>
                <w:highlight w:val="none"/>
                <w:lang w:bidi="ar"/>
              </w:rPr>
            </w:pPr>
            <w:r>
              <w:rPr>
                <w:rFonts w:ascii="宋体" w:hAnsi="宋体" w:cs="微软雅黑"/>
                <w:color w:val="000000"/>
                <w:sz w:val="24"/>
                <w:highlight w:val="none"/>
                <w:lang w:bidi="ar"/>
              </w:rPr>
              <w:t>3D</w:t>
            </w:r>
            <w:r>
              <w:rPr>
                <w:rFonts w:hint="eastAsia" w:ascii="宋体" w:hAnsi="宋体" w:cs="微软雅黑"/>
                <w:color w:val="000000"/>
                <w:sz w:val="24"/>
                <w:highlight w:val="none"/>
                <w:lang w:bidi="ar"/>
              </w:rPr>
              <w:t>仿真、动画技术、</w:t>
            </w:r>
            <w:r>
              <w:rPr>
                <w:rFonts w:ascii="宋体" w:hAnsi="宋体" w:cs="微软雅黑"/>
                <w:color w:val="000000"/>
                <w:sz w:val="24"/>
                <w:highlight w:val="none"/>
                <w:lang w:bidi="ar"/>
              </w:rPr>
              <w:t>WebGL</w:t>
            </w:r>
            <w:r>
              <w:rPr>
                <w:rFonts w:hint="eastAsia" w:ascii="宋体" w:hAnsi="宋体" w:cs="微软雅黑"/>
                <w:color w:val="000000"/>
                <w:sz w:val="24"/>
                <w:highlight w:val="none"/>
                <w:lang w:bidi="ar"/>
              </w:rPr>
              <w:t>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3607" w:type="dxa"/>
            <w:tcBorders>
              <w:top w:val="single" w:color="auto" w:sz="4" w:space="0"/>
              <w:left w:val="single" w:color="auto" w:sz="4" w:space="0"/>
              <w:bottom w:val="single" w:color="auto" w:sz="4" w:space="0"/>
              <w:right w:val="single" w:color="auto" w:sz="4" w:space="0"/>
            </w:tcBorders>
            <w:vAlign w:val="center"/>
          </w:tcPr>
          <w:p>
            <w:pPr>
              <w:rPr>
                <w:rFonts w:ascii="宋体" w:hAnsi="宋体" w:cs="微软雅黑"/>
                <w:color w:val="000000"/>
                <w:sz w:val="24"/>
                <w:highlight w:val="none"/>
                <w:lang w:bidi="ar"/>
              </w:rPr>
            </w:pPr>
            <w:r>
              <w:rPr>
                <w:rFonts w:hint="eastAsia" w:ascii="宋体" w:hAnsi="宋体" w:cs="微软雅黑"/>
                <w:color w:val="000000"/>
                <w:sz w:val="24"/>
                <w:highlight w:val="none"/>
                <w:lang w:bidi="ar"/>
              </w:rPr>
              <w:t>开发工具</w:t>
            </w:r>
          </w:p>
        </w:tc>
        <w:tc>
          <w:tcPr>
            <w:tcW w:w="4969" w:type="dxa"/>
            <w:tcBorders>
              <w:top w:val="single" w:color="auto" w:sz="4" w:space="0"/>
              <w:left w:val="single" w:color="auto" w:sz="4" w:space="0"/>
              <w:bottom w:val="single" w:color="auto" w:sz="4" w:space="0"/>
              <w:right w:val="single" w:color="auto" w:sz="4" w:space="0"/>
            </w:tcBorders>
            <w:vAlign w:val="center"/>
          </w:tcPr>
          <w:p>
            <w:pPr>
              <w:rPr>
                <w:rFonts w:ascii="宋体" w:hAnsi="宋体" w:cs="微软雅黑"/>
                <w:color w:val="000000"/>
                <w:sz w:val="24"/>
                <w:highlight w:val="none"/>
                <w:lang w:bidi="ar"/>
              </w:rPr>
            </w:pPr>
            <w:r>
              <w:rPr>
                <w:rFonts w:ascii="宋体" w:hAnsi="宋体" w:cs="微软雅黑"/>
                <w:color w:val="000000"/>
                <w:sz w:val="24"/>
                <w:highlight w:val="none"/>
                <w:lang w:bidi="ar"/>
              </w:rPr>
              <w:t>Unity3D</w:t>
            </w:r>
            <w:r>
              <w:rPr>
                <w:rFonts w:hint="eastAsia" w:ascii="宋体" w:hAnsi="宋体" w:cs="微软雅黑"/>
                <w:color w:val="000000"/>
                <w:sz w:val="24"/>
                <w:highlight w:val="none"/>
                <w:lang w:bidi="ar"/>
              </w:rPr>
              <w:t>、</w:t>
            </w:r>
            <w:r>
              <w:rPr>
                <w:rFonts w:ascii="宋体" w:hAnsi="宋体" w:cs="微软雅黑"/>
                <w:color w:val="000000"/>
                <w:sz w:val="24"/>
                <w:highlight w:val="none"/>
                <w:lang w:bidi="ar"/>
              </w:rPr>
              <w:t>3dmax</w:t>
            </w:r>
            <w:r>
              <w:rPr>
                <w:rFonts w:hint="eastAsia" w:ascii="宋体" w:hAnsi="宋体" w:cs="微软雅黑"/>
                <w:color w:val="000000"/>
                <w:sz w:val="24"/>
                <w:highlight w:val="none"/>
                <w:lang w:bidi="ar"/>
              </w:rPr>
              <w:t>、</w:t>
            </w:r>
            <w:r>
              <w:rPr>
                <w:rFonts w:ascii="宋体" w:hAnsi="宋体" w:cs="微软雅黑"/>
                <w:color w:val="000000"/>
                <w:sz w:val="24"/>
                <w:highlight w:val="none"/>
                <w:lang w:bidi="ar"/>
              </w:rPr>
              <w:t>Dreamweaver</w:t>
            </w:r>
            <w:r>
              <w:rPr>
                <w:rFonts w:hint="eastAsia" w:ascii="宋体" w:hAnsi="宋体" w:cs="微软雅黑"/>
                <w:color w:val="000000"/>
                <w:sz w:val="24"/>
                <w:highlight w:val="none"/>
                <w:lang w:bidi="ar"/>
              </w:rPr>
              <w:t>、</w:t>
            </w:r>
            <w:r>
              <w:rPr>
                <w:rFonts w:ascii="宋体" w:hAnsi="宋体" w:cs="微软雅黑"/>
                <w:color w:val="000000"/>
                <w:sz w:val="24"/>
                <w:highlight w:val="none"/>
                <w:lang w:bidi="ar"/>
              </w:rPr>
              <w:t>Adobe Photoshop</w:t>
            </w:r>
            <w:r>
              <w:rPr>
                <w:rFonts w:hint="eastAsia" w:ascii="宋体" w:hAnsi="宋体" w:cs="微软雅黑"/>
                <w:color w:val="000000"/>
                <w:sz w:val="24"/>
                <w:highlight w:val="none"/>
                <w:lang w:bidi="ar"/>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3607" w:type="dxa"/>
            <w:tcBorders>
              <w:top w:val="single" w:color="auto" w:sz="4" w:space="0"/>
              <w:left w:val="single" w:color="auto" w:sz="4" w:space="0"/>
              <w:bottom w:val="single" w:color="auto" w:sz="4" w:space="0"/>
              <w:right w:val="single" w:color="auto" w:sz="4" w:space="0"/>
            </w:tcBorders>
            <w:vAlign w:val="center"/>
          </w:tcPr>
          <w:p>
            <w:pPr>
              <w:rPr>
                <w:rFonts w:ascii="宋体" w:hAnsi="宋体" w:cs="微软雅黑"/>
                <w:color w:val="000000"/>
                <w:sz w:val="24"/>
                <w:highlight w:val="none"/>
                <w:lang w:bidi="ar"/>
              </w:rPr>
            </w:pPr>
            <w:r>
              <w:rPr>
                <w:rFonts w:hint="eastAsia" w:ascii="宋体" w:hAnsi="宋体" w:cs="微软雅黑"/>
                <w:color w:val="000000"/>
                <w:sz w:val="24"/>
                <w:highlight w:val="none"/>
                <w:lang w:bidi="ar"/>
              </w:rPr>
              <w:t>项目品质：</w:t>
            </w:r>
          </w:p>
        </w:tc>
        <w:tc>
          <w:tcPr>
            <w:tcW w:w="4969" w:type="dxa"/>
            <w:tcBorders>
              <w:top w:val="single" w:color="auto" w:sz="4" w:space="0"/>
              <w:left w:val="single" w:color="auto" w:sz="4" w:space="0"/>
              <w:bottom w:val="single" w:color="auto" w:sz="4" w:space="0"/>
              <w:right w:val="single" w:color="auto" w:sz="4" w:space="0"/>
            </w:tcBorders>
            <w:vAlign w:val="center"/>
          </w:tcPr>
          <w:p>
            <w:pPr>
              <w:rPr>
                <w:rFonts w:ascii="宋体" w:hAnsi="宋体" w:cs="微软雅黑"/>
                <w:color w:val="000000"/>
                <w:sz w:val="24"/>
                <w:highlight w:val="none"/>
                <w:lang w:bidi="ar"/>
              </w:rPr>
            </w:pPr>
            <w:r>
              <w:rPr>
                <w:rFonts w:hint="eastAsia" w:ascii="宋体" w:hAnsi="宋体" w:cs="微软雅黑"/>
                <w:color w:val="000000"/>
                <w:sz w:val="24"/>
                <w:highlight w:val="none"/>
                <w:lang w:bidi="ar"/>
              </w:rPr>
              <w:t>单场景模型总面数：</w:t>
            </w:r>
            <w:r>
              <w:rPr>
                <w:rFonts w:ascii="宋体" w:hAnsi="宋体" w:cs="微软雅黑"/>
                <w:color w:val="000000"/>
                <w:sz w:val="24"/>
                <w:highlight w:val="none"/>
                <w:lang w:bidi="ar"/>
              </w:rPr>
              <w:t>6</w:t>
            </w:r>
            <w:r>
              <w:rPr>
                <w:rFonts w:hint="eastAsia" w:ascii="宋体" w:hAnsi="宋体" w:cs="微软雅黑"/>
                <w:color w:val="000000"/>
                <w:sz w:val="24"/>
                <w:highlight w:val="none"/>
                <w:lang w:bidi="ar"/>
              </w:rPr>
              <w:t>万左右</w:t>
            </w:r>
          </w:p>
          <w:p>
            <w:pPr>
              <w:rPr>
                <w:rFonts w:ascii="宋体" w:hAnsi="宋体" w:cs="微软雅黑"/>
                <w:color w:val="000000"/>
                <w:sz w:val="24"/>
                <w:highlight w:val="none"/>
                <w:lang w:bidi="ar"/>
              </w:rPr>
            </w:pPr>
            <w:r>
              <w:rPr>
                <w:rFonts w:hint="eastAsia" w:ascii="宋体" w:hAnsi="宋体" w:cs="微软雅黑"/>
                <w:color w:val="000000"/>
                <w:sz w:val="24"/>
                <w:highlight w:val="none"/>
                <w:lang w:bidi="ar"/>
              </w:rPr>
              <w:t>贴图分辨率：</w:t>
            </w:r>
            <w:r>
              <w:rPr>
                <w:rFonts w:ascii="宋体" w:hAnsi="宋体" w:cs="微软雅黑"/>
                <w:color w:val="000000"/>
                <w:sz w:val="24"/>
                <w:highlight w:val="none"/>
                <w:lang w:bidi="ar"/>
              </w:rPr>
              <w:t>1920*1080</w:t>
            </w:r>
          </w:p>
          <w:p>
            <w:pPr>
              <w:rPr>
                <w:rFonts w:ascii="宋体" w:hAnsi="宋体" w:cs="微软雅黑"/>
                <w:color w:val="000000"/>
                <w:sz w:val="24"/>
                <w:highlight w:val="none"/>
                <w:lang w:bidi="ar"/>
              </w:rPr>
            </w:pPr>
            <w:r>
              <w:rPr>
                <w:rFonts w:hint="eastAsia" w:ascii="宋体" w:hAnsi="宋体" w:cs="微软雅黑"/>
                <w:color w:val="000000"/>
                <w:sz w:val="24"/>
                <w:highlight w:val="none"/>
                <w:lang w:bidi="ar"/>
              </w:rPr>
              <w:t>每帧渲染次数：</w:t>
            </w:r>
            <w:r>
              <w:rPr>
                <w:rFonts w:ascii="宋体" w:hAnsi="宋体" w:cs="微软雅黑"/>
                <w:color w:val="000000"/>
                <w:sz w:val="24"/>
                <w:highlight w:val="none"/>
                <w:lang w:bidi="ar"/>
              </w:rPr>
              <w:t>24</w:t>
            </w:r>
            <w:r>
              <w:rPr>
                <w:rFonts w:hint="eastAsia" w:ascii="宋体" w:hAnsi="宋体" w:cs="微软雅黑"/>
                <w:color w:val="000000"/>
                <w:sz w:val="24"/>
                <w:highlight w:val="none"/>
                <w:lang w:bidi="ar"/>
              </w:rPr>
              <w:t>次</w:t>
            </w:r>
          </w:p>
          <w:p>
            <w:pPr>
              <w:rPr>
                <w:rFonts w:ascii="宋体" w:hAnsi="宋体" w:cs="微软雅黑"/>
                <w:color w:val="000000"/>
                <w:sz w:val="24"/>
                <w:highlight w:val="none"/>
                <w:lang w:bidi="ar"/>
              </w:rPr>
            </w:pPr>
            <w:r>
              <w:rPr>
                <w:rFonts w:hint="eastAsia" w:ascii="宋体" w:hAnsi="宋体" w:cs="微软雅黑"/>
                <w:color w:val="000000"/>
                <w:sz w:val="24"/>
                <w:highlight w:val="none"/>
                <w:lang w:bidi="ar"/>
              </w:rPr>
              <w:t>动作反馈时间：</w:t>
            </w:r>
            <w:r>
              <w:rPr>
                <w:rFonts w:ascii="宋体" w:hAnsi="宋体" w:cs="微软雅黑"/>
                <w:color w:val="000000"/>
                <w:sz w:val="24"/>
                <w:highlight w:val="none"/>
                <w:lang w:bidi="ar"/>
              </w:rPr>
              <w:t>≦0.1</w:t>
            </w:r>
            <w:r>
              <w:rPr>
                <w:rFonts w:hint="eastAsia" w:ascii="宋体" w:hAnsi="宋体" w:cs="微软雅黑"/>
                <w:color w:val="000000"/>
                <w:sz w:val="24"/>
                <w:highlight w:val="none"/>
                <w:lang w:bidi="ar"/>
              </w:rPr>
              <w:t>秒</w:t>
            </w:r>
          </w:p>
          <w:p>
            <w:pPr>
              <w:rPr>
                <w:rFonts w:ascii="宋体" w:hAnsi="宋体" w:cs="微软雅黑"/>
                <w:color w:val="000000"/>
                <w:sz w:val="24"/>
                <w:highlight w:val="none"/>
                <w:lang w:bidi="ar"/>
              </w:rPr>
            </w:pPr>
            <w:r>
              <w:rPr>
                <w:rFonts w:hint="eastAsia" w:ascii="宋体" w:hAnsi="宋体" w:cs="微软雅黑"/>
                <w:color w:val="000000"/>
                <w:sz w:val="24"/>
                <w:highlight w:val="none"/>
                <w:lang w:bidi="ar"/>
              </w:rPr>
              <w:t>显示刷新率：实时</w:t>
            </w:r>
          </w:p>
          <w:p>
            <w:pPr>
              <w:rPr>
                <w:rFonts w:ascii="宋体" w:hAnsi="宋体" w:cs="微软雅黑"/>
                <w:color w:val="000000"/>
                <w:sz w:val="24"/>
                <w:highlight w:val="none"/>
                <w:lang w:bidi="ar"/>
              </w:rPr>
            </w:pPr>
            <w:r>
              <w:rPr>
                <w:rFonts w:hint="eastAsia" w:ascii="宋体" w:hAnsi="宋体" w:cs="微软雅黑"/>
                <w:color w:val="000000"/>
                <w:sz w:val="24"/>
                <w:highlight w:val="none"/>
                <w:lang w:bidi="ar"/>
              </w:rPr>
              <w:t>分辨率：</w:t>
            </w:r>
            <w:r>
              <w:rPr>
                <w:rFonts w:ascii="宋体" w:hAnsi="宋体" w:cs="微软雅黑"/>
                <w:color w:val="000000"/>
                <w:sz w:val="24"/>
                <w:highlight w:val="none"/>
                <w:lang w:bidi="ar"/>
              </w:rPr>
              <w:t>1920*1080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3607" w:type="dxa"/>
            <w:tcBorders>
              <w:top w:val="single" w:color="auto" w:sz="4" w:space="0"/>
              <w:left w:val="single" w:color="auto" w:sz="4" w:space="0"/>
              <w:bottom w:val="single" w:color="auto" w:sz="4" w:space="0"/>
              <w:right w:val="single" w:color="auto" w:sz="4" w:space="0"/>
            </w:tcBorders>
            <w:vAlign w:val="center"/>
          </w:tcPr>
          <w:p>
            <w:pPr>
              <w:rPr>
                <w:rFonts w:ascii="宋体" w:hAnsi="宋体" w:cs="微软雅黑"/>
                <w:color w:val="000000"/>
                <w:sz w:val="24"/>
                <w:highlight w:val="none"/>
                <w:lang w:bidi="ar"/>
              </w:rPr>
            </w:pPr>
            <w:r>
              <w:rPr>
                <w:rFonts w:hint="eastAsia" w:ascii="宋体" w:hAnsi="宋体" w:cs="微软雅黑"/>
                <w:color w:val="000000"/>
                <w:sz w:val="24"/>
                <w:highlight w:val="none"/>
                <w:lang w:bidi="ar"/>
              </w:rPr>
              <w:t>开发语言</w:t>
            </w:r>
          </w:p>
        </w:tc>
        <w:tc>
          <w:tcPr>
            <w:tcW w:w="4969" w:type="dxa"/>
            <w:tcBorders>
              <w:top w:val="single" w:color="auto" w:sz="4" w:space="0"/>
              <w:left w:val="single" w:color="auto" w:sz="4" w:space="0"/>
              <w:bottom w:val="single" w:color="auto" w:sz="4" w:space="0"/>
              <w:right w:val="single" w:color="auto" w:sz="4" w:space="0"/>
            </w:tcBorders>
            <w:vAlign w:val="center"/>
          </w:tcPr>
          <w:p>
            <w:pPr>
              <w:rPr>
                <w:rFonts w:ascii="宋体" w:hAnsi="宋体" w:cs="微软雅黑"/>
                <w:color w:val="000000"/>
                <w:sz w:val="24"/>
                <w:highlight w:val="none"/>
                <w:lang w:bidi="ar"/>
              </w:rPr>
            </w:pPr>
            <w:r>
              <w:rPr>
                <w:rFonts w:ascii="宋体" w:hAnsi="宋体" w:cs="微软雅黑"/>
                <w:color w:val="000000"/>
                <w:sz w:val="24"/>
                <w:highlight w:val="none"/>
                <w:lang w:bidi="ar"/>
              </w:rPr>
              <w:t>c#</w:t>
            </w:r>
            <w:r>
              <w:rPr>
                <w:rFonts w:hint="eastAsia" w:ascii="宋体" w:hAnsi="宋体" w:cs="微软雅黑"/>
                <w:color w:val="000000"/>
                <w:sz w:val="24"/>
                <w:highlight w:val="none"/>
                <w:lang w:bidi="ar"/>
              </w:rPr>
              <w:t>、</w:t>
            </w:r>
            <w:r>
              <w:rPr>
                <w:rFonts w:ascii="宋体" w:hAnsi="宋体" w:cs="微软雅黑"/>
                <w:color w:val="000000"/>
                <w:sz w:val="24"/>
                <w:highlight w:val="none"/>
                <w:lang w:bidi="ar"/>
              </w:rPr>
              <w:t>javascript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3607" w:type="dxa"/>
            <w:tcBorders>
              <w:top w:val="single" w:color="auto" w:sz="4" w:space="0"/>
              <w:left w:val="single" w:color="auto" w:sz="4" w:space="0"/>
              <w:bottom w:val="single" w:color="auto" w:sz="4" w:space="0"/>
              <w:right w:val="single" w:color="auto" w:sz="4" w:space="0"/>
            </w:tcBorders>
            <w:vAlign w:val="center"/>
          </w:tcPr>
          <w:p>
            <w:pPr>
              <w:rPr>
                <w:rFonts w:ascii="宋体" w:hAnsi="宋体" w:cs="微软雅黑"/>
                <w:color w:val="000000"/>
                <w:sz w:val="24"/>
                <w:highlight w:val="none"/>
                <w:lang w:bidi="ar"/>
              </w:rPr>
            </w:pPr>
            <w:r>
              <w:rPr>
                <w:rFonts w:hint="eastAsia" w:ascii="宋体" w:hAnsi="宋体" w:cs="微软雅黑"/>
                <w:color w:val="000000"/>
                <w:sz w:val="24"/>
                <w:highlight w:val="none"/>
                <w:lang w:bidi="ar"/>
              </w:rPr>
              <w:t>开发工具</w:t>
            </w:r>
          </w:p>
        </w:tc>
        <w:tc>
          <w:tcPr>
            <w:tcW w:w="4969" w:type="dxa"/>
            <w:tcBorders>
              <w:top w:val="single" w:color="auto" w:sz="4" w:space="0"/>
              <w:left w:val="single" w:color="auto" w:sz="4" w:space="0"/>
              <w:bottom w:val="single" w:color="auto" w:sz="4" w:space="0"/>
              <w:right w:val="single" w:color="auto" w:sz="4" w:space="0"/>
            </w:tcBorders>
            <w:vAlign w:val="center"/>
          </w:tcPr>
          <w:p>
            <w:pPr>
              <w:rPr>
                <w:rFonts w:ascii="宋体" w:hAnsi="宋体" w:cs="微软雅黑"/>
                <w:color w:val="000000"/>
                <w:sz w:val="24"/>
                <w:highlight w:val="none"/>
                <w:lang w:bidi="ar"/>
              </w:rPr>
            </w:pPr>
            <w:r>
              <w:rPr>
                <w:rFonts w:ascii="宋体" w:hAnsi="宋体" w:cs="微软雅黑"/>
                <w:color w:val="000000"/>
                <w:sz w:val="24"/>
                <w:highlight w:val="none"/>
                <w:lang w:bidi="ar"/>
              </w:rPr>
              <w:t>Visual Studio</w:t>
            </w:r>
            <w:r>
              <w:rPr>
                <w:rFonts w:hint="eastAsia" w:ascii="宋体" w:hAnsi="宋体" w:cs="微软雅黑"/>
                <w:color w:val="000000"/>
                <w:sz w:val="24"/>
                <w:highlight w:val="none"/>
                <w:lang w:bidi="ar"/>
              </w:rPr>
              <w:t>、</w:t>
            </w:r>
            <w:r>
              <w:rPr>
                <w:rFonts w:ascii="宋体" w:hAnsi="宋体" w:cs="微软雅黑"/>
                <w:color w:val="000000"/>
                <w:sz w:val="24"/>
                <w:highlight w:val="none"/>
                <w:lang w:bidi="ar"/>
              </w:rPr>
              <w:t>Eclipse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3607" w:type="dxa"/>
            <w:tcBorders>
              <w:top w:val="single" w:color="auto" w:sz="4" w:space="0"/>
              <w:left w:val="single" w:color="auto" w:sz="4" w:space="0"/>
              <w:bottom w:val="single" w:color="auto" w:sz="4" w:space="0"/>
              <w:right w:val="single" w:color="auto" w:sz="4" w:space="0"/>
            </w:tcBorders>
            <w:vAlign w:val="center"/>
          </w:tcPr>
          <w:p>
            <w:pPr>
              <w:rPr>
                <w:rFonts w:ascii="宋体" w:hAnsi="宋体" w:cs="微软雅黑"/>
                <w:color w:val="000000"/>
                <w:sz w:val="24"/>
                <w:highlight w:val="none"/>
                <w:lang w:bidi="ar"/>
              </w:rPr>
            </w:pPr>
            <w:r>
              <w:rPr>
                <w:rFonts w:hint="eastAsia" w:ascii="宋体" w:hAnsi="宋体" w:cs="微软雅黑"/>
                <w:color w:val="000000"/>
                <w:sz w:val="24"/>
                <w:highlight w:val="none"/>
                <w:lang w:bidi="ar"/>
              </w:rPr>
              <w:t>网络条件要求</w:t>
            </w:r>
          </w:p>
        </w:tc>
        <w:tc>
          <w:tcPr>
            <w:tcW w:w="4969" w:type="dxa"/>
            <w:tcBorders>
              <w:top w:val="single" w:color="auto" w:sz="4" w:space="0"/>
              <w:left w:val="single" w:color="auto" w:sz="4" w:space="0"/>
              <w:bottom w:val="single" w:color="auto" w:sz="4" w:space="0"/>
              <w:right w:val="single" w:color="auto" w:sz="4" w:space="0"/>
            </w:tcBorders>
            <w:vAlign w:val="center"/>
          </w:tcPr>
          <w:p>
            <w:pPr>
              <w:rPr>
                <w:rFonts w:ascii="宋体" w:hAnsi="宋体" w:cs="微软雅黑"/>
                <w:color w:val="000000"/>
                <w:sz w:val="24"/>
                <w:highlight w:val="none"/>
                <w:lang w:bidi="ar"/>
              </w:rPr>
            </w:pPr>
            <w:r>
              <w:rPr>
                <w:rFonts w:hint="eastAsia" w:ascii="宋体" w:hAnsi="宋体" w:cs="微软雅黑"/>
                <w:color w:val="000000"/>
                <w:sz w:val="24"/>
                <w:highlight w:val="none"/>
                <w:lang w:bidi="ar"/>
              </w:rPr>
              <w:t>客户端到服务器的网络带宽</w:t>
            </w:r>
            <w:r>
              <w:rPr>
                <w:rFonts w:ascii="宋体" w:hAnsi="宋体" w:cs="微软雅黑"/>
                <w:color w:val="000000"/>
                <w:sz w:val="24"/>
                <w:highlight w:val="none"/>
                <w:lang w:bidi="ar"/>
              </w:rPr>
              <w:t>&gt;10MB</w:t>
            </w:r>
            <w:r>
              <w:rPr>
                <w:rFonts w:hint="eastAsia" w:ascii="宋体" w:hAnsi="宋体" w:cs="微软雅黑"/>
                <w:color w:val="000000"/>
                <w:sz w:val="24"/>
                <w:highlight w:val="none"/>
                <w:lang w:bidi="ar"/>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3607" w:type="dxa"/>
            <w:tcBorders>
              <w:top w:val="single" w:color="auto" w:sz="4" w:space="0"/>
              <w:left w:val="single" w:color="auto" w:sz="4" w:space="0"/>
              <w:bottom w:val="single" w:color="auto" w:sz="4" w:space="0"/>
              <w:right w:val="single" w:color="auto" w:sz="4" w:space="0"/>
            </w:tcBorders>
            <w:vAlign w:val="center"/>
          </w:tcPr>
          <w:p>
            <w:pPr>
              <w:rPr>
                <w:rFonts w:ascii="宋体" w:hAnsi="宋体" w:cs="微软雅黑"/>
                <w:color w:val="000000"/>
                <w:sz w:val="24"/>
                <w:highlight w:val="none"/>
                <w:lang w:bidi="ar"/>
              </w:rPr>
            </w:pPr>
            <w:r>
              <w:rPr>
                <w:rFonts w:hint="eastAsia" w:ascii="宋体" w:hAnsi="宋体" w:cs="微软雅黑"/>
                <w:color w:val="000000"/>
                <w:sz w:val="24"/>
                <w:highlight w:val="none"/>
                <w:lang w:bidi="ar"/>
              </w:rPr>
              <w:t>用户操作系统要求</w:t>
            </w:r>
          </w:p>
        </w:tc>
        <w:tc>
          <w:tcPr>
            <w:tcW w:w="4969" w:type="dxa"/>
            <w:tcBorders>
              <w:top w:val="single" w:color="auto" w:sz="4" w:space="0"/>
              <w:left w:val="single" w:color="auto" w:sz="4" w:space="0"/>
              <w:bottom w:val="single" w:color="auto" w:sz="4" w:space="0"/>
              <w:right w:val="single" w:color="auto" w:sz="4" w:space="0"/>
            </w:tcBorders>
            <w:vAlign w:val="center"/>
          </w:tcPr>
          <w:p>
            <w:pPr>
              <w:rPr>
                <w:rFonts w:ascii="宋体" w:hAnsi="宋体" w:cs="微软雅黑"/>
                <w:color w:val="000000"/>
                <w:sz w:val="24"/>
                <w:highlight w:val="none"/>
                <w:lang w:bidi="ar"/>
              </w:rPr>
            </w:pPr>
            <w:r>
              <w:rPr>
                <w:rFonts w:ascii="宋体" w:hAnsi="宋体" w:cs="微软雅黑"/>
                <w:color w:val="000000"/>
                <w:sz w:val="24"/>
                <w:highlight w:val="none"/>
                <w:lang w:bidi="ar"/>
              </w:rPr>
              <w:t>Windows7 SP1</w:t>
            </w:r>
            <w:r>
              <w:rPr>
                <w:rFonts w:hint="eastAsia" w:ascii="宋体" w:hAnsi="宋体" w:cs="微软雅黑"/>
                <w:color w:val="000000"/>
                <w:sz w:val="24"/>
                <w:highlight w:val="none"/>
                <w:lang w:bidi="ar"/>
              </w:rPr>
              <w:t>及以上操作系统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3607" w:type="dxa"/>
            <w:tcBorders>
              <w:top w:val="single" w:color="auto" w:sz="4" w:space="0"/>
              <w:left w:val="single" w:color="auto" w:sz="4" w:space="0"/>
              <w:bottom w:val="single" w:color="auto" w:sz="4" w:space="0"/>
              <w:right w:val="single" w:color="auto" w:sz="4" w:space="0"/>
            </w:tcBorders>
            <w:vAlign w:val="center"/>
          </w:tcPr>
          <w:p>
            <w:pPr>
              <w:rPr>
                <w:rFonts w:ascii="宋体" w:hAnsi="宋体" w:cs="微软雅黑"/>
                <w:color w:val="000000"/>
                <w:sz w:val="24"/>
                <w:highlight w:val="none"/>
                <w:lang w:bidi="ar"/>
              </w:rPr>
            </w:pPr>
            <w:r>
              <w:rPr>
                <w:rFonts w:hint="eastAsia" w:ascii="宋体" w:hAnsi="宋体" w:cs="微软雅黑"/>
                <w:color w:val="000000"/>
                <w:sz w:val="24"/>
                <w:highlight w:val="none"/>
                <w:lang w:bidi="ar"/>
              </w:rPr>
              <w:t>浏览器</w:t>
            </w:r>
          </w:p>
        </w:tc>
        <w:tc>
          <w:tcPr>
            <w:tcW w:w="4969" w:type="dxa"/>
            <w:tcBorders>
              <w:top w:val="single" w:color="auto" w:sz="4" w:space="0"/>
              <w:left w:val="single" w:color="auto" w:sz="4" w:space="0"/>
              <w:bottom w:val="single" w:color="auto" w:sz="4" w:space="0"/>
              <w:right w:val="single" w:color="auto" w:sz="4" w:space="0"/>
            </w:tcBorders>
            <w:vAlign w:val="center"/>
          </w:tcPr>
          <w:p>
            <w:pPr>
              <w:rPr>
                <w:rFonts w:ascii="宋体" w:hAnsi="宋体" w:cs="微软雅黑"/>
                <w:color w:val="000000"/>
                <w:sz w:val="24"/>
                <w:highlight w:val="none"/>
                <w:lang w:bidi="ar"/>
              </w:rPr>
            </w:pPr>
            <w:r>
              <w:rPr>
                <w:rFonts w:hint="eastAsia" w:ascii="宋体" w:hAnsi="宋体" w:cs="微软雅黑"/>
                <w:color w:val="000000"/>
                <w:sz w:val="24"/>
                <w:highlight w:val="none"/>
                <w:lang w:bidi="ar"/>
              </w:rPr>
              <w:t>推荐使用</w:t>
            </w:r>
            <w:r>
              <w:rPr>
                <w:rFonts w:ascii="宋体" w:hAnsi="宋体" w:cs="微软雅黑"/>
                <w:color w:val="000000"/>
                <w:sz w:val="24"/>
                <w:highlight w:val="none"/>
                <w:lang w:bidi="ar"/>
              </w:rPr>
              <w:t>Edge</w:t>
            </w:r>
            <w:r>
              <w:rPr>
                <w:rFonts w:hint="eastAsia" w:ascii="宋体" w:hAnsi="宋体" w:cs="微软雅黑"/>
                <w:color w:val="000000"/>
                <w:sz w:val="24"/>
                <w:highlight w:val="none"/>
                <w:lang w:bidi="ar"/>
              </w:rPr>
              <w:t>、</w:t>
            </w:r>
            <w:r>
              <w:rPr>
                <w:rFonts w:ascii="宋体" w:hAnsi="宋体" w:cs="微软雅黑"/>
                <w:color w:val="000000"/>
                <w:sz w:val="24"/>
                <w:highlight w:val="none"/>
                <w:lang w:bidi="ar"/>
              </w:rPr>
              <w:t>Firefox</w:t>
            </w:r>
            <w:r>
              <w:rPr>
                <w:rFonts w:hint="eastAsia" w:ascii="宋体" w:hAnsi="宋体" w:cs="微软雅黑"/>
                <w:color w:val="000000"/>
                <w:sz w:val="24"/>
                <w:highlight w:val="none"/>
                <w:lang w:bidi="ar"/>
              </w:rPr>
              <w:t>、</w:t>
            </w:r>
            <w:r>
              <w:rPr>
                <w:rFonts w:ascii="宋体" w:hAnsi="宋体" w:cs="微软雅黑"/>
                <w:color w:val="000000"/>
                <w:sz w:val="24"/>
                <w:highlight w:val="none"/>
                <w:lang w:bidi="ar"/>
              </w:rPr>
              <w:t>Chrome</w:t>
            </w:r>
          </w:p>
        </w:tc>
      </w:tr>
    </w:tbl>
    <w:p>
      <w:pPr>
        <w:widowControl/>
        <w:spacing w:before="156" w:beforeLines="50" w:after="156" w:afterLines="50" w:line="360" w:lineRule="auto"/>
        <w:jc w:val="left"/>
        <w:rPr>
          <w:highlight w:val="none"/>
        </w:rPr>
      </w:pPr>
      <w:r>
        <w:rPr>
          <w:rFonts w:hint="eastAsia" w:ascii="宋体" w:hAnsi="宋体"/>
          <w:b/>
          <w:sz w:val="28"/>
          <w:szCs w:val="28"/>
          <w:highlight w:val="none"/>
        </w:rPr>
        <w:t>五、其他要求</w:t>
      </w:r>
    </w:p>
    <w:p>
      <w:pPr>
        <w:widowControl/>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w:t>
      </w:r>
      <w:r>
        <w:rPr>
          <w:rFonts w:hint="eastAsia" w:cs="微软雅黑"/>
          <w:sz w:val="24"/>
          <w:highlight w:val="none"/>
        </w:rPr>
        <w:t>▲</w:t>
      </w:r>
      <w:r>
        <w:rPr>
          <w:rFonts w:hint="eastAsia" w:ascii="宋体" w:hAnsi="宋体" w:cs="宋体"/>
          <w:kern w:val="0"/>
          <w:sz w:val="24"/>
          <w:highlight w:val="none"/>
        </w:rPr>
        <w:t>本次建设的虚拟仿真实验教学项目供应商必须将项目网页版部署到学校服务器，确保与江苏省高等学校虚拟仿真实验教学共享平台实现无缝集成，实验项目资源能够直接接入共享平台，无需进行二次开发与格式转换</w:t>
      </w:r>
      <w:r>
        <w:rPr>
          <w:rFonts w:hint="eastAsia" w:ascii="宋体" w:hAnsi="宋体" w:cs="宋体"/>
          <w:kern w:val="0"/>
          <w:sz w:val="24"/>
          <w:highlight w:val="none"/>
        </w:rPr>
        <w:t>，相关费用由项目供应商承担</w:t>
      </w:r>
      <w:r>
        <w:rPr>
          <w:rFonts w:hint="eastAsia" w:ascii="宋体" w:hAnsi="宋体" w:cs="宋体"/>
          <w:kern w:val="0"/>
          <w:sz w:val="24"/>
          <w:highlight w:val="none"/>
        </w:rPr>
        <w:t>。</w:t>
      </w:r>
    </w:p>
    <w:p>
      <w:pPr>
        <w:widowControl/>
        <w:spacing w:line="360" w:lineRule="auto"/>
        <w:ind w:firstLine="480" w:firstLineChars="200"/>
        <w:rPr>
          <w:rFonts w:ascii="宋体" w:hAnsi="宋体" w:cs="宋体"/>
          <w:kern w:val="0"/>
          <w:sz w:val="24"/>
          <w:highlight w:val="none"/>
        </w:rPr>
      </w:pPr>
      <w:r>
        <w:rPr>
          <w:rFonts w:ascii="宋体" w:hAnsi="宋体" w:cs="宋体"/>
          <w:kern w:val="0"/>
          <w:sz w:val="24"/>
          <w:highlight w:val="none"/>
        </w:rPr>
        <w:t>2</w:t>
      </w:r>
      <w:r>
        <w:rPr>
          <w:rFonts w:hint="eastAsia" w:ascii="宋体" w:hAnsi="宋体" w:cs="宋体"/>
          <w:kern w:val="0"/>
          <w:sz w:val="24"/>
          <w:highlight w:val="none"/>
        </w:rPr>
        <w:t>、</w:t>
      </w:r>
      <w:r>
        <w:rPr>
          <w:rFonts w:hint="eastAsia" w:cs="微软雅黑"/>
          <w:sz w:val="24"/>
          <w:highlight w:val="none"/>
        </w:rPr>
        <w:t>▲</w:t>
      </w:r>
      <w:r>
        <w:rPr>
          <w:rFonts w:hint="eastAsia" w:ascii="宋体" w:hAnsi="宋体" w:cs="宋体"/>
          <w:kern w:val="0"/>
          <w:sz w:val="24"/>
          <w:highlight w:val="none"/>
        </w:rPr>
        <w:t>本次建设的</w:t>
      </w:r>
      <w:r>
        <w:rPr>
          <w:rFonts w:ascii="宋体" w:hAnsi="宋体" w:cs="宋体"/>
          <w:kern w:val="0"/>
          <w:sz w:val="24"/>
          <w:highlight w:val="none"/>
        </w:rPr>
        <w:t>虚拟仿真实验</w:t>
      </w:r>
      <w:r>
        <w:rPr>
          <w:rFonts w:hint="eastAsia" w:ascii="宋体" w:hAnsi="宋体" w:cs="宋体"/>
          <w:kern w:val="0"/>
          <w:sz w:val="24"/>
          <w:highlight w:val="none"/>
        </w:rPr>
        <w:t>教学项目均必须接入学校已经建设的地球科学虚拟仿真实验教学共享平台</w:t>
      </w:r>
      <w:r>
        <w:rPr>
          <w:rFonts w:hint="eastAsia" w:ascii="宋体" w:hAnsi="宋体" w:cs="宋体"/>
          <w:kern w:val="0"/>
          <w:sz w:val="24"/>
          <w:highlight w:val="none"/>
        </w:rPr>
        <w:t>，相关费用由项目供应商承担</w:t>
      </w:r>
      <w:r>
        <w:rPr>
          <w:rFonts w:hint="eastAsia" w:ascii="宋体" w:hAnsi="宋体" w:cs="宋体"/>
          <w:kern w:val="0"/>
          <w:sz w:val="24"/>
          <w:highlight w:val="none"/>
        </w:rPr>
        <w:t>。</w:t>
      </w:r>
    </w:p>
    <w:p>
      <w:pPr>
        <w:tabs>
          <w:tab w:val="left" w:pos="0"/>
        </w:tabs>
        <w:spacing w:line="360" w:lineRule="auto"/>
        <w:ind w:firstLine="480" w:firstLineChars="200"/>
        <w:rPr>
          <w:rFonts w:ascii="宋体" w:hAnsi="宋体" w:cs="微软雅黑"/>
          <w:color w:val="000000"/>
          <w:kern w:val="0"/>
          <w:sz w:val="24"/>
          <w:highlight w:val="none"/>
        </w:rPr>
      </w:pPr>
      <w:r>
        <w:rPr>
          <w:rFonts w:hint="eastAsia" w:ascii="宋体" w:hAnsi="宋体"/>
          <w:sz w:val="24"/>
          <w:highlight w:val="none"/>
        </w:rPr>
        <w:t>3、</w:t>
      </w:r>
      <w:r>
        <w:rPr>
          <w:rFonts w:hint="eastAsia" w:ascii="宋体" w:hAnsi="宋体" w:cs="微软雅黑"/>
          <w:color w:val="000000"/>
          <w:sz w:val="24"/>
          <w:highlight w:val="none"/>
        </w:rPr>
        <w:t>所有资源最终全部生成可在互联网上直接运行的格式，客户端使用时无须下载或安装任何程序、插件即可直接运行使用。</w:t>
      </w:r>
    </w:p>
    <w:p>
      <w:pPr>
        <w:tabs>
          <w:tab w:val="left" w:pos="0"/>
        </w:tabs>
        <w:spacing w:line="360" w:lineRule="auto"/>
        <w:ind w:firstLine="480" w:firstLineChars="200"/>
        <w:rPr>
          <w:rFonts w:ascii="宋体" w:hAnsi="宋体" w:cs="微软雅黑"/>
          <w:color w:val="000000"/>
          <w:kern w:val="0"/>
          <w:sz w:val="24"/>
          <w:highlight w:val="none"/>
        </w:rPr>
      </w:pPr>
      <w:r>
        <w:rPr>
          <w:rFonts w:hint="eastAsia" w:ascii="宋体" w:hAnsi="宋体"/>
          <w:sz w:val="24"/>
          <w:highlight w:val="none"/>
        </w:rPr>
        <w:t>4、</w:t>
      </w:r>
      <w:r>
        <w:rPr>
          <w:rFonts w:hint="eastAsia" w:ascii="宋体" w:hAnsi="宋体" w:cs="微软雅黑"/>
          <w:color w:val="000000"/>
          <w:sz w:val="24"/>
          <w:highlight w:val="none"/>
        </w:rPr>
        <w:t>所有资源在开发过程中可根据用户方的具体要求配合开发，用户和中标方当面交流不少于10次，并可以不断完善已建资源内容。</w:t>
      </w:r>
    </w:p>
    <w:p>
      <w:pPr>
        <w:tabs>
          <w:tab w:val="left" w:pos="0"/>
        </w:tabs>
        <w:spacing w:line="360" w:lineRule="auto"/>
        <w:ind w:firstLine="480" w:firstLineChars="200"/>
        <w:rPr>
          <w:rFonts w:ascii="宋体" w:hAnsi="宋体" w:cs="微软雅黑"/>
          <w:color w:val="000000"/>
          <w:kern w:val="0"/>
          <w:sz w:val="24"/>
          <w:highlight w:val="none"/>
        </w:rPr>
      </w:pPr>
      <w:r>
        <w:rPr>
          <w:rFonts w:hint="eastAsia" w:ascii="宋体" w:hAnsi="宋体"/>
          <w:sz w:val="24"/>
          <w:highlight w:val="none"/>
        </w:rPr>
        <w:t>5、</w:t>
      </w:r>
      <w:r>
        <w:rPr>
          <w:rFonts w:hint="eastAsia" w:ascii="宋体" w:hAnsi="宋体" w:cs="微软雅黑"/>
          <w:color w:val="000000"/>
          <w:sz w:val="24"/>
          <w:highlight w:val="none"/>
        </w:rPr>
        <w:t>所有资源开发必须在签订合同后</w:t>
      </w:r>
      <w:r>
        <w:rPr>
          <w:rFonts w:ascii="宋体" w:hAnsi="宋体" w:cs="微软雅黑"/>
          <w:color w:val="000000"/>
          <w:sz w:val="24"/>
          <w:highlight w:val="none"/>
        </w:rPr>
        <w:t>5</w:t>
      </w:r>
      <w:r>
        <w:rPr>
          <w:rFonts w:hint="eastAsia" w:ascii="宋体" w:hAnsi="宋体" w:cs="微软雅黑"/>
          <w:color w:val="000000"/>
          <w:sz w:val="24"/>
          <w:highlight w:val="none"/>
        </w:rPr>
        <w:t>0日历天内安装调试完成。</w:t>
      </w:r>
    </w:p>
    <w:p>
      <w:pPr>
        <w:pStyle w:val="7"/>
        <w:spacing w:after="0" w:line="360" w:lineRule="auto"/>
        <w:ind w:left="0" w:leftChars="0" w:right="0" w:rightChars="0" w:firstLine="480" w:firstLineChars="200"/>
        <w:rPr>
          <w:rFonts w:ascii="宋体" w:hAnsi="宋体" w:cs="微软雅黑"/>
          <w:color w:val="000000"/>
          <w:kern w:val="0"/>
          <w:sz w:val="24"/>
          <w:highlight w:val="none"/>
        </w:rPr>
      </w:pPr>
      <w:r>
        <w:rPr>
          <w:rFonts w:ascii="宋体" w:hAnsi="宋体"/>
          <w:sz w:val="24"/>
          <w:highlight w:val="none"/>
        </w:rPr>
        <w:t>6</w:t>
      </w:r>
      <w:r>
        <w:rPr>
          <w:rFonts w:hint="eastAsia" w:ascii="宋体" w:hAnsi="宋体"/>
          <w:sz w:val="24"/>
          <w:highlight w:val="none"/>
        </w:rPr>
        <w:t>、</w:t>
      </w:r>
      <w:r>
        <w:rPr>
          <w:rFonts w:hint="eastAsia" w:cs="微软雅黑"/>
          <w:sz w:val="24"/>
          <w:highlight w:val="none"/>
        </w:rPr>
        <w:t>▲</w:t>
      </w:r>
      <w:r>
        <w:rPr>
          <w:rFonts w:hint="eastAsia" w:ascii="宋体" w:hAnsi="宋体" w:cs="微软雅黑"/>
          <w:color w:val="000000"/>
          <w:kern w:val="0"/>
          <w:sz w:val="24"/>
          <w:highlight w:val="none"/>
        </w:rPr>
        <w:t>开发完成的软件，学校享有本项目开发成果的知识产权。</w:t>
      </w:r>
    </w:p>
    <w:p>
      <w:pPr>
        <w:spacing w:line="360" w:lineRule="auto"/>
        <w:ind w:firstLine="480" w:firstLineChars="200"/>
        <w:rPr>
          <w:rFonts w:ascii="宋体" w:hAnsi="宋体" w:cs="微软雅黑"/>
          <w:color w:val="000000"/>
          <w:kern w:val="0"/>
          <w:sz w:val="24"/>
          <w:highlight w:val="none"/>
        </w:rPr>
      </w:pPr>
      <w:r>
        <w:rPr>
          <w:rFonts w:ascii="宋体" w:hAnsi="宋体" w:cs="微软雅黑"/>
          <w:color w:val="000000"/>
          <w:kern w:val="0"/>
          <w:sz w:val="24"/>
          <w:highlight w:val="none"/>
        </w:rPr>
        <w:t>7</w:t>
      </w:r>
      <w:r>
        <w:rPr>
          <w:rFonts w:hint="eastAsia" w:ascii="宋体" w:hAnsi="宋体" w:cs="微软雅黑"/>
          <w:color w:val="000000"/>
          <w:kern w:val="0"/>
          <w:sz w:val="24"/>
          <w:highlight w:val="none"/>
        </w:rPr>
        <w:t>、供应商免费提供至少三年技术服务，在此免费维护期内，提供免费的升级、更新服务，并负责后续维护、维修和故障排除等技术工作。实验投入使用3年内，提供虚拟仿真实验web版和PC版的维护服务。</w:t>
      </w:r>
    </w:p>
    <w:p>
      <w:pPr>
        <w:pStyle w:val="7"/>
        <w:spacing w:after="0" w:line="360" w:lineRule="auto"/>
        <w:ind w:left="0" w:leftChars="0" w:right="0" w:rightChars="0" w:firstLine="480" w:firstLineChars="200"/>
        <w:rPr>
          <w:rFonts w:ascii="宋体" w:hAnsi="宋体" w:cs="微软雅黑"/>
          <w:color w:val="000000"/>
          <w:kern w:val="0"/>
          <w:sz w:val="24"/>
          <w:highlight w:val="none"/>
        </w:rPr>
      </w:pPr>
      <w:r>
        <w:rPr>
          <w:rFonts w:hint="eastAsia" w:ascii="宋体" w:hAnsi="宋体" w:cs="微软雅黑"/>
          <w:color w:val="000000"/>
          <w:kern w:val="0"/>
          <w:sz w:val="24"/>
          <w:highlight w:val="none"/>
        </w:rPr>
        <w:t>8、</w:t>
      </w:r>
      <w:r>
        <w:rPr>
          <w:rFonts w:ascii="宋体" w:hAnsi="宋体" w:cs="微软雅黑"/>
          <w:color w:val="000000"/>
          <w:kern w:val="0"/>
          <w:sz w:val="24"/>
          <w:highlight w:val="none"/>
        </w:rPr>
        <w:t>有服务于各大高校</w:t>
      </w:r>
      <w:r>
        <w:rPr>
          <w:rFonts w:hint="eastAsia" w:ascii="宋体" w:hAnsi="宋体" w:cs="微软雅黑"/>
          <w:color w:val="000000"/>
          <w:kern w:val="0"/>
          <w:sz w:val="24"/>
          <w:highlight w:val="none"/>
        </w:rPr>
        <w:t>等</w:t>
      </w:r>
      <w:r>
        <w:rPr>
          <w:rFonts w:ascii="宋体" w:hAnsi="宋体" w:cs="微软雅黑"/>
          <w:color w:val="000000"/>
          <w:kern w:val="0"/>
          <w:sz w:val="24"/>
          <w:highlight w:val="none"/>
        </w:rPr>
        <w:t>国家级虚拟仿真项目申报任务的经验，并成功获得国家级认定项目数量达3项</w:t>
      </w:r>
      <w:r>
        <w:rPr>
          <w:rFonts w:hint="eastAsia" w:ascii="宋体" w:hAnsi="宋体" w:cs="微软雅黑"/>
          <w:color w:val="000000"/>
          <w:kern w:val="0"/>
          <w:sz w:val="24"/>
          <w:highlight w:val="none"/>
        </w:rPr>
        <w:t>及</w:t>
      </w:r>
      <w:r>
        <w:rPr>
          <w:rFonts w:ascii="宋体" w:hAnsi="宋体" w:cs="微软雅黑"/>
          <w:color w:val="000000"/>
          <w:kern w:val="0"/>
          <w:sz w:val="24"/>
          <w:highlight w:val="none"/>
        </w:rPr>
        <w:t>以上</w:t>
      </w:r>
      <w:r>
        <w:rPr>
          <w:rFonts w:hint="eastAsia" w:ascii="宋体" w:hAnsi="宋体" w:cs="微软雅黑"/>
          <w:color w:val="000000"/>
          <w:kern w:val="0"/>
          <w:sz w:val="24"/>
          <w:highlight w:val="none"/>
        </w:rPr>
        <w:t>。</w:t>
      </w:r>
    </w:p>
    <w:p>
      <w:pPr>
        <w:widowControl/>
        <w:jc w:val="left"/>
        <w:rPr>
          <w:rFonts w:hAnsi="宋体"/>
          <w:b/>
          <w:sz w:val="28"/>
          <w:szCs w:val="28"/>
          <w:highlight w:val="none"/>
        </w:rPr>
      </w:pPr>
    </w:p>
    <w:p>
      <w:pPr>
        <w:pStyle w:val="7"/>
        <w:ind w:left="1470" w:right="1470"/>
        <w:rPr>
          <w:rFonts w:hAnsi="宋体"/>
          <w:b/>
          <w:sz w:val="28"/>
          <w:szCs w:val="28"/>
          <w:highlight w:val="none"/>
        </w:rPr>
      </w:pPr>
    </w:p>
    <w:p>
      <w:pPr>
        <w:pStyle w:val="7"/>
        <w:ind w:left="1470" w:right="1470"/>
        <w:rPr>
          <w:rFonts w:hAnsi="宋体"/>
          <w:b/>
          <w:sz w:val="28"/>
          <w:szCs w:val="28"/>
          <w:highlight w:val="none"/>
        </w:rPr>
      </w:pPr>
    </w:p>
    <w:p>
      <w:pPr>
        <w:pStyle w:val="7"/>
        <w:ind w:left="1470" w:right="1470"/>
        <w:rPr>
          <w:rFonts w:hAnsi="宋体"/>
          <w:b/>
          <w:sz w:val="28"/>
          <w:szCs w:val="28"/>
          <w:highlight w:val="none"/>
        </w:rPr>
      </w:pPr>
    </w:p>
    <w:p>
      <w:pPr>
        <w:pStyle w:val="7"/>
        <w:ind w:left="1470" w:right="1470"/>
        <w:rPr>
          <w:rFonts w:hAnsi="宋体"/>
          <w:b/>
          <w:sz w:val="28"/>
          <w:szCs w:val="28"/>
          <w:highlight w:val="none"/>
        </w:rPr>
      </w:pPr>
    </w:p>
    <w:p>
      <w:pPr>
        <w:pStyle w:val="7"/>
        <w:ind w:left="1470" w:right="1470"/>
        <w:rPr>
          <w:rFonts w:hAnsi="宋体"/>
          <w:b/>
          <w:sz w:val="28"/>
          <w:szCs w:val="28"/>
          <w:highlight w:val="none"/>
        </w:rPr>
      </w:pPr>
    </w:p>
    <w:p>
      <w:pPr>
        <w:widowControl/>
        <w:jc w:val="left"/>
        <w:rPr>
          <w:rFonts w:hAnsi="宋体"/>
          <w:b/>
          <w:sz w:val="28"/>
          <w:szCs w:val="28"/>
          <w:highlight w:val="none"/>
        </w:rPr>
      </w:pPr>
    </w:p>
    <w:p>
      <w:pPr>
        <w:pStyle w:val="7"/>
        <w:ind w:left="1470" w:right="1470"/>
        <w:rPr>
          <w:rFonts w:hAnsi="宋体"/>
          <w:b/>
          <w:sz w:val="28"/>
          <w:szCs w:val="28"/>
          <w:highlight w:val="none"/>
        </w:rPr>
      </w:pPr>
    </w:p>
    <w:p>
      <w:pPr>
        <w:pStyle w:val="7"/>
        <w:ind w:left="1470" w:right="1470"/>
        <w:rPr>
          <w:rFonts w:hAnsi="宋体"/>
          <w:b/>
          <w:sz w:val="28"/>
          <w:szCs w:val="28"/>
          <w:highlight w:val="none"/>
        </w:rPr>
      </w:pPr>
    </w:p>
    <w:p>
      <w:pPr>
        <w:pStyle w:val="7"/>
        <w:ind w:left="1470" w:right="1470"/>
        <w:rPr>
          <w:rFonts w:hAnsi="宋体"/>
          <w:b/>
          <w:sz w:val="28"/>
          <w:szCs w:val="28"/>
          <w:highlight w:val="none"/>
        </w:rPr>
      </w:pPr>
    </w:p>
    <w:p>
      <w:pPr>
        <w:pStyle w:val="7"/>
        <w:ind w:left="1470" w:right="1470"/>
        <w:rPr>
          <w:rFonts w:hAnsi="宋体"/>
          <w:b/>
          <w:sz w:val="28"/>
          <w:szCs w:val="28"/>
          <w:highlight w:val="none"/>
        </w:rPr>
      </w:pPr>
    </w:p>
    <w:p>
      <w:pPr>
        <w:pStyle w:val="7"/>
        <w:ind w:left="1470" w:right="1470"/>
        <w:rPr>
          <w:rFonts w:hAnsi="宋体"/>
          <w:b/>
          <w:sz w:val="28"/>
          <w:szCs w:val="28"/>
          <w:highlight w:val="none"/>
        </w:rPr>
      </w:pPr>
    </w:p>
    <w:p>
      <w:pPr>
        <w:pStyle w:val="7"/>
        <w:ind w:left="1470" w:right="1470"/>
        <w:rPr>
          <w:rFonts w:hAnsi="宋体"/>
          <w:b/>
          <w:sz w:val="28"/>
          <w:szCs w:val="28"/>
          <w:highlight w:val="none"/>
        </w:rPr>
      </w:pPr>
    </w:p>
    <w:p>
      <w:pPr>
        <w:pStyle w:val="7"/>
        <w:ind w:left="1470" w:right="1470"/>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36"/>
          <w:szCs w:val="36"/>
          <w:highlight w:val="none"/>
        </w:rPr>
      </w:pPr>
      <w:r>
        <w:rPr>
          <w:rFonts w:hint="eastAsia" w:hAnsi="宋体"/>
          <w:b/>
          <w:sz w:val="28"/>
          <w:szCs w:val="28"/>
          <w:highlight w:val="none"/>
        </w:rPr>
        <w:t>附件</w:t>
      </w:r>
      <w:r>
        <w:rPr>
          <w:rFonts w:hAnsi="宋体"/>
          <w:b/>
          <w:sz w:val="28"/>
          <w:szCs w:val="28"/>
          <w:highlight w:val="none"/>
        </w:rPr>
        <w:t>2</w:t>
      </w:r>
      <w:r>
        <w:rPr>
          <w:rFonts w:hint="eastAsia" w:hAnsi="宋体"/>
          <w:b/>
          <w:sz w:val="28"/>
          <w:szCs w:val="28"/>
          <w:highlight w:val="none"/>
        </w:rPr>
        <w:t>：</w:t>
      </w:r>
    </w:p>
    <w:p>
      <w:pPr>
        <w:tabs>
          <w:tab w:val="left" w:pos="3270"/>
        </w:tabs>
        <w:autoSpaceDE w:val="0"/>
        <w:autoSpaceDN w:val="0"/>
        <w:adjustRightInd w:val="0"/>
        <w:spacing w:line="360" w:lineRule="exact"/>
        <w:rPr>
          <w:rFonts w:ascii="宋体" w:hAnsi="宋体"/>
          <w:b/>
          <w:sz w:val="24"/>
          <w:highlight w:val="none"/>
          <w:lang w:val="zh-CN"/>
        </w:rPr>
      </w:pPr>
      <w:bookmarkStart w:id="11" w:name="_Hlk9862420"/>
    </w:p>
    <w:p>
      <w:pPr>
        <w:autoSpaceDE w:val="0"/>
        <w:autoSpaceDN w:val="0"/>
        <w:adjustRightInd w:val="0"/>
        <w:spacing w:line="360" w:lineRule="exact"/>
        <w:ind w:firstLine="723" w:firstLineChars="200"/>
        <w:jc w:val="center"/>
        <w:rPr>
          <w:rFonts w:ascii="宋体" w:hAnsi="宋体"/>
          <w:b/>
          <w:sz w:val="36"/>
          <w:szCs w:val="36"/>
          <w:highlight w:val="none"/>
          <w:lang w:val="zh-CN"/>
        </w:rPr>
      </w:pPr>
      <w:r>
        <w:rPr>
          <w:rFonts w:hint="eastAsia" w:ascii="宋体" w:hAnsi="宋体"/>
          <w:b/>
          <w:sz w:val="36"/>
          <w:szCs w:val="36"/>
          <w:highlight w:val="none"/>
          <w:lang w:val="zh-CN"/>
        </w:rPr>
        <w:t>投标函</w:t>
      </w:r>
    </w:p>
    <w:p>
      <w:pPr>
        <w:autoSpaceDE w:val="0"/>
        <w:autoSpaceDN w:val="0"/>
        <w:adjustRightInd w:val="0"/>
        <w:spacing w:line="300" w:lineRule="auto"/>
        <w:rPr>
          <w:rFonts w:ascii="宋体" w:hAnsi="宋体"/>
          <w:sz w:val="24"/>
          <w:highlight w:val="none"/>
          <w:lang w:val="zh-CN"/>
        </w:rPr>
      </w:pPr>
      <w:r>
        <w:rPr>
          <w:rFonts w:hint="eastAsia" w:ascii="宋体" w:hAnsi="宋体"/>
          <w:sz w:val="24"/>
          <w:highlight w:val="none"/>
          <w:lang w:val="zh-CN"/>
        </w:rPr>
        <w:t>致：南京信息工程大学</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根据贵方（项目名称）（项目编号）投标邀请，正式授权下述签字人</w:t>
      </w:r>
      <w:r>
        <w:rPr>
          <w:rFonts w:ascii="宋体" w:hAnsi="宋体"/>
          <w:sz w:val="24"/>
          <w:highlight w:val="none"/>
          <w:lang w:val="zh-CN"/>
        </w:rPr>
        <w:t>(</w:t>
      </w:r>
      <w:r>
        <w:rPr>
          <w:rFonts w:hint="eastAsia" w:ascii="宋体" w:hAnsi="宋体"/>
          <w:sz w:val="24"/>
          <w:highlight w:val="none"/>
          <w:lang w:val="zh-CN"/>
        </w:rPr>
        <w:t>姓名和职务</w:t>
      </w:r>
      <w:r>
        <w:rPr>
          <w:rFonts w:ascii="宋体" w:hAnsi="宋体"/>
          <w:sz w:val="24"/>
          <w:highlight w:val="none"/>
          <w:lang w:val="zh-CN"/>
        </w:rPr>
        <w:t>)</w:t>
      </w:r>
      <w:r>
        <w:rPr>
          <w:rFonts w:hint="eastAsia" w:ascii="宋体" w:hAnsi="宋体"/>
          <w:sz w:val="24"/>
          <w:highlight w:val="none"/>
          <w:lang w:val="zh-CN"/>
        </w:rPr>
        <w:t>代表投标人 （投标人名称），提交投标文件。</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据此函，签字人兹宣布声明和承诺如下：</w:t>
      </w:r>
    </w:p>
    <w:p>
      <w:pPr>
        <w:autoSpaceDE w:val="0"/>
        <w:autoSpaceDN w:val="0"/>
        <w:adjustRightInd w:val="0"/>
        <w:spacing w:line="300" w:lineRule="auto"/>
        <w:ind w:firstLine="480" w:firstLineChars="200"/>
        <w:rPr>
          <w:rFonts w:ascii="宋体" w:hAnsi="宋体"/>
          <w:sz w:val="24"/>
          <w:highlight w:val="none"/>
        </w:rPr>
      </w:pPr>
      <w:r>
        <w:rPr>
          <w:rFonts w:ascii="宋体" w:hAnsi="宋体"/>
          <w:sz w:val="24"/>
          <w:highlight w:val="none"/>
          <w:lang w:val="zh-CN"/>
        </w:rPr>
        <w:t>1</w:t>
      </w:r>
      <w:r>
        <w:rPr>
          <w:rFonts w:hint="eastAsia" w:ascii="宋体" w:hAnsi="宋体"/>
          <w:sz w:val="24"/>
          <w:highlight w:val="none"/>
          <w:lang w:val="zh-CN"/>
        </w:rPr>
        <w:t>、</w:t>
      </w:r>
      <w:r>
        <w:rPr>
          <w:rFonts w:hint="eastAsia" w:ascii="宋体" w:hAnsi="宋体"/>
          <w:b/>
          <w:sz w:val="24"/>
          <w:highlight w:val="none"/>
          <w:lang w:val="zh-CN"/>
        </w:rPr>
        <w:t>我们的资格条件完全符合政府采购法和本次招标要求</w:t>
      </w:r>
      <w:r>
        <w:rPr>
          <w:rFonts w:hint="eastAsia" w:ascii="宋体" w:hAnsi="宋体"/>
          <w:sz w:val="24"/>
          <w:highlight w:val="none"/>
          <w:lang w:val="zh-CN"/>
        </w:rPr>
        <w:t>，</w:t>
      </w:r>
      <w:r>
        <w:rPr>
          <w:rFonts w:hint="eastAsia" w:ascii="宋体" w:hAnsi="宋体"/>
          <w:sz w:val="24"/>
          <w:highlight w:val="none"/>
        </w:rPr>
        <w:t>我们</w:t>
      </w:r>
      <w:r>
        <w:rPr>
          <w:rFonts w:hint="eastAsia" w:ascii="宋体" w:hAnsi="宋体"/>
          <w:sz w:val="24"/>
          <w:highlight w:val="none"/>
          <w:lang w:val="zh-CN"/>
        </w:rPr>
        <w:t>同意并向贵方提供了与投标有关的所有证据和资料。</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rPr>
        <w:t>2</w:t>
      </w:r>
      <w:r>
        <w:rPr>
          <w:rFonts w:hint="eastAsia" w:ascii="宋体" w:hAnsi="宋体"/>
          <w:sz w:val="24"/>
          <w:highlight w:val="none"/>
        </w:rPr>
        <w:t>、</w:t>
      </w:r>
      <w:r>
        <w:rPr>
          <w:rFonts w:hint="eastAsia" w:ascii="宋体" w:hAnsi="宋体"/>
          <w:sz w:val="24"/>
          <w:highlight w:val="none"/>
          <w:lang w:val="zh-CN"/>
        </w:rPr>
        <w:t>按招标要求，我们的投标总报价为人民币大写</w:t>
      </w:r>
      <w:r>
        <w:rPr>
          <w:rFonts w:hint="eastAsia" w:ascii="宋体" w:hAnsi="宋体"/>
          <w:sz w:val="24"/>
          <w:highlight w:val="none"/>
          <w:u w:val="single"/>
          <w:lang w:val="zh-CN"/>
        </w:rPr>
        <w:t xml:space="preserve">                        ，</w:t>
      </w:r>
      <w:r>
        <w:rPr>
          <w:rFonts w:hint="eastAsia" w:ascii="宋体" w:hAnsi="宋体"/>
          <w:sz w:val="24"/>
          <w:highlight w:val="none"/>
          <w:lang w:val="zh-CN"/>
        </w:rPr>
        <w:t>小写：</w:t>
      </w:r>
      <w:r>
        <w:rPr>
          <w:rFonts w:hint="eastAsia" w:ascii="宋体" w:hAnsi="宋体"/>
          <w:sz w:val="24"/>
          <w:highlight w:val="none"/>
          <w:u w:val="single"/>
          <w:lang w:val="zh-CN"/>
        </w:rPr>
        <w:t>￥         。</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3、项目负责人</w:t>
      </w:r>
      <w:r>
        <w:rPr>
          <w:rFonts w:ascii="宋体" w:hAnsi="宋体"/>
          <w:sz w:val="24"/>
          <w:highlight w:val="none"/>
          <w:lang w:val="zh-CN"/>
        </w:rPr>
        <w:t>(</w:t>
      </w:r>
      <w:r>
        <w:rPr>
          <w:rFonts w:hint="eastAsia" w:ascii="宋体" w:hAnsi="宋体"/>
          <w:sz w:val="24"/>
          <w:highlight w:val="none"/>
          <w:lang w:val="zh-CN"/>
        </w:rPr>
        <w:t>姓名</w:t>
      </w:r>
      <w:r>
        <w:rPr>
          <w:rFonts w:ascii="宋体" w:hAnsi="宋体"/>
          <w:sz w:val="24"/>
          <w:highlight w:val="none"/>
          <w:lang w:val="zh-CN"/>
        </w:rPr>
        <w:t>)</w:t>
      </w:r>
      <w:r>
        <w:rPr>
          <w:rFonts w:hint="eastAsia" w:ascii="宋体" w:hAnsi="宋体"/>
          <w:sz w:val="24"/>
          <w:highlight w:val="none"/>
          <w:lang w:val="zh-CN"/>
        </w:rPr>
        <w:t>，身份证号。</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4、我们已详细审核全部招标文件及其有效补充文件，我们放弃对招标文件任何误解的权利，提交投标文件后，</w:t>
      </w:r>
      <w:r>
        <w:rPr>
          <w:rFonts w:hint="eastAsia" w:ascii="宋体" w:hAnsi="宋体"/>
          <w:b/>
          <w:sz w:val="24"/>
          <w:highlight w:val="none"/>
          <w:lang w:val="zh-CN"/>
        </w:rPr>
        <w:t>不对招标文件本身提出质疑</w:t>
      </w:r>
      <w:r>
        <w:rPr>
          <w:rFonts w:hint="eastAsia" w:ascii="宋体" w:hAnsi="宋体"/>
          <w:sz w:val="24"/>
          <w:highlight w:val="none"/>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6、一旦我方中标，我方将根据招标文件的规定严格履行合同，并保证于承诺的时间完成服务的启动</w:t>
      </w:r>
      <w:r>
        <w:rPr>
          <w:rFonts w:ascii="宋体" w:hAnsi="宋体"/>
          <w:sz w:val="24"/>
          <w:highlight w:val="none"/>
          <w:lang w:val="zh-CN"/>
        </w:rPr>
        <w:t>/</w:t>
      </w:r>
      <w:r>
        <w:rPr>
          <w:rFonts w:hint="eastAsia" w:ascii="宋体" w:hAnsi="宋体"/>
          <w:sz w:val="24"/>
          <w:highlight w:val="none"/>
          <w:lang w:val="zh-CN"/>
        </w:rPr>
        <w:t>集成、调试等服务，交付采购人验收、使用。</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lang w:val="zh-CN"/>
        </w:rPr>
        <w:t>8</w:t>
      </w:r>
      <w:r>
        <w:rPr>
          <w:rFonts w:hint="eastAsia" w:ascii="宋体" w:hAnsi="宋体"/>
          <w:sz w:val="24"/>
          <w:highlight w:val="none"/>
          <w:lang w:val="zh-CN"/>
        </w:rPr>
        <w:t>、与本投标有关的正式联系方式为：</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地址：</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电话：</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传真：</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开户银行：</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银行账号：</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投标人法定代表人姓名（签字）：</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投标人名称：（盖章）</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日期：     年   月    日</w:t>
      </w:r>
    </w:p>
    <w:p>
      <w:pPr>
        <w:spacing w:line="360" w:lineRule="auto"/>
        <w:rPr>
          <w:rFonts w:ascii="宋体"/>
          <w:b/>
          <w:sz w:val="28"/>
          <w:szCs w:val="28"/>
          <w:highlight w:val="none"/>
        </w:rPr>
      </w:pPr>
      <w:r>
        <w:rPr>
          <w:rFonts w:ascii="宋体" w:hAnsi="宋体"/>
          <w:b/>
          <w:sz w:val="28"/>
          <w:szCs w:val="28"/>
          <w:highlight w:val="none"/>
        </w:rPr>
        <w:br w:type="page"/>
      </w:r>
      <w:r>
        <w:rPr>
          <w:rFonts w:hint="eastAsia" w:ascii="宋体" w:hAnsi="宋体"/>
          <w:b/>
          <w:sz w:val="28"/>
          <w:szCs w:val="28"/>
          <w:highlight w:val="none"/>
        </w:rPr>
        <w:t>附件</w:t>
      </w:r>
      <w:r>
        <w:rPr>
          <w:rFonts w:ascii="宋体" w:hAnsi="宋体"/>
          <w:b/>
          <w:sz w:val="28"/>
          <w:szCs w:val="28"/>
          <w:highlight w:val="none"/>
        </w:rPr>
        <w:t>3</w:t>
      </w:r>
      <w:r>
        <w:rPr>
          <w:rFonts w:hint="eastAsia" w:ascii="宋体" w:hAnsi="宋体"/>
          <w:b/>
          <w:sz w:val="28"/>
          <w:szCs w:val="28"/>
          <w:highlight w:val="none"/>
        </w:rPr>
        <w:t>：</w:t>
      </w:r>
    </w:p>
    <w:p>
      <w:pPr>
        <w:spacing w:line="360" w:lineRule="auto"/>
        <w:jc w:val="center"/>
        <w:rPr>
          <w:rFonts w:ascii="宋体"/>
          <w:sz w:val="44"/>
          <w:szCs w:val="44"/>
          <w:highlight w:val="none"/>
        </w:rPr>
      </w:pPr>
      <w:r>
        <w:rPr>
          <w:rFonts w:hint="eastAsia" w:ascii="宋体" w:hAnsi="宋体"/>
          <w:sz w:val="44"/>
          <w:szCs w:val="44"/>
          <w:highlight w:val="none"/>
        </w:rPr>
        <w:t>投标项目报价明细表</w:t>
      </w:r>
    </w:p>
    <w:p>
      <w:pPr>
        <w:spacing w:line="360" w:lineRule="auto"/>
        <w:rPr>
          <w:rFonts w:ascii="宋体"/>
          <w:sz w:val="28"/>
          <w:szCs w:val="28"/>
          <w:highlight w:val="none"/>
          <w:u w:val="single"/>
        </w:rPr>
      </w:pPr>
      <w:r>
        <w:rPr>
          <w:rFonts w:hint="eastAsia" w:ascii="宋体" w:hAnsi="宋体"/>
          <w:sz w:val="28"/>
          <w:szCs w:val="28"/>
          <w:highlight w:val="none"/>
        </w:rPr>
        <w:t>投标人</w:t>
      </w:r>
    </w:p>
    <w:p>
      <w:pPr>
        <w:spacing w:line="360" w:lineRule="auto"/>
        <w:rPr>
          <w:rFonts w:ascii="宋体"/>
          <w:sz w:val="28"/>
          <w:szCs w:val="28"/>
          <w:highlight w:val="none"/>
          <w:u w:val="single"/>
        </w:rPr>
      </w:pPr>
      <w:r>
        <w:rPr>
          <w:rFonts w:hint="eastAsia" w:ascii="宋体" w:hAnsi="宋体"/>
          <w:sz w:val="28"/>
          <w:szCs w:val="28"/>
          <w:highlight w:val="none"/>
        </w:rPr>
        <w:t>招标编号及分包号</w:t>
      </w:r>
    </w:p>
    <w:p>
      <w:pPr>
        <w:spacing w:line="360" w:lineRule="auto"/>
        <w:rPr>
          <w:rFonts w:ascii="宋体"/>
          <w:sz w:val="28"/>
          <w:szCs w:val="28"/>
          <w:highlight w:val="none"/>
          <w:u w:val="single"/>
        </w:rPr>
      </w:pPr>
      <w:r>
        <w:rPr>
          <w:rFonts w:hint="eastAsia" w:ascii="宋体" w:hAnsi="宋体"/>
          <w:sz w:val="28"/>
          <w:szCs w:val="28"/>
          <w:highlight w:val="none"/>
        </w:rPr>
        <w:t>投标报价</w:t>
      </w:r>
    </w:p>
    <w:tbl>
      <w:tblPr>
        <w:tblStyle w:val="16"/>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rPr>
                <w:rFonts w:ascii="宋体"/>
                <w:b/>
                <w:sz w:val="28"/>
                <w:szCs w:val="28"/>
                <w:highlight w:val="none"/>
              </w:rPr>
            </w:pPr>
            <w:r>
              <w:rPr>
                <w:rFonts w:hint="eastAsia" w:ascii="宋体" w:hAnsi="宋体"/>
                <w:b/>
                <w:sz w:val="28"/>
                <w:szCs w:val="28"/>
                <w:highlight w:val="none"/>
              </w:rPr>
              <w:t>分包号</w:t>
            </w:r>
          </w:p>
        </w:tc>
        <w:tc>
          <w:tcPr>
            <w:tcW w:w="1065" w:type="dxa"/>
            <w:vAlign w:val="center"/>
          </w:tcPr>
          <w:p>
            <w:pPr>
              <w:spacing w:line="360" w:lineRule="auto"/>
              <w:jc w:val="center"/>
              <w:rPr>
                <w:rFonts w:ascii="宋体" w:hAnsi="宋体"/>
                <w:b/>
                <w:sz w:val="28"/>
                <w:szCs w:val="28"/>
                <w:highlight w:val="none"/>
              </w:rPr>
            </w:pPr>
            <w:r>
              <w:rPr>
                <w:rFonts w:hint="eastAsia" w:ascii="宋体" w:hAnsi="宋体"/>
                <w:b/>
                <w:sz w:val="28"/>
                <w:szCs w:val="28"/>
                <w:highlight w:val="none"/>
              </w:rPr>
              <w:t>品牌</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货物</w:t>
            </w:r>
          </w:p>
          <w:p>
            <w:pPr>
              <w:spacing w:line="360" w:lineRule="auto"/>
              <w:jc w:val="center"/>
              <w:rPr>
                <w:rFonts w:ascii="宋体"/>
                <w:b/>
                <w:sz w:val="28"/>
                <w:szCs w:val="28"/>
                <w:highlight w:val="none"/>
              </w:rPr>
            </w:pPr>
            <w:r>
              <w:rPr>
                <w:rFonts w:hint="eastAsia" w:ascii="宋体" w:hAnsi="宋体"/>
                <w:b/>
                <w:sz w:val="28"/>
                <w:szCs w:val="28"/>
                <w:highlight w:val="none"/>
              </w:rPr>
              <w:t>名称</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货物</w:t>
            </w:r>
          </w:p>
          <w:p>
            <w:pPr>
              <w:spacing w:line="360" w:lineRule="auto"/>
              <w:jc w:val="center"/>
              <w:rPr>
                <w:rFonts w:ascii="宋体"/>
                <w:b/>
                <w:sz w:val="28"/>
                <w:szCs w:val="28"/>
                <w:highlight w:val="none"/>
              </w:rPr>
            </w:pPr>
            <w:r>
              <w:rPr>
                <w:rFonts w:hint="eastAsia" w:ascii="宋体" w:hAnsi="宋体"/>
                <w:b/>
                <w:sz w:val="28"/>
                <w:szCs w:val="28"/>
                <w:highlight w:val="none"/>
              </w:rPr>
              <w:t>描述</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计量</w:t>
            </w:r>
          </w:p>
          <w:p>
            <w:pPr>
              <w:spacing w:line="360" w:lineRule="auto"/>
              <w:jc w:val="center"/>
              <w:rPr>
                <w:rFonts w:ascii="宋体"/>
                <w:b/>
                <w:sz w:val="28"/>
                <w:szCs w:val="28"/>
                <w:highlight w:val="none"/>
              </w:rPr>
            </w:pPr>
            <w:r>
              <w:rPr>
                <w:rFonts w:hint="eastAsia" w:ascii="宋体" w:hAnsi="宋体"/>
                <w:b/>
                <w:sz w:val="28"/>
                <w:szCs w:val="28"/>
                <w:highlight w:val="none"/>
              </w:rPr>
              <w:t>单位</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数量</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单价</w:t>
            </w:r>
          </w:p>
        </w:tc>
        <w:tc>
          <w:tcPr>
            <w:tcW w:w="1066"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每项</w:t>
            </w:r>
          </w:p>
          <w:p>
            <w:pPr>
              <w:spacing w:line="360" w:lineRule="auto"/>
              <w:jc w:val="center"/>
              <w:rPr>
                <w:rFonts w:ascii="宋体"/>
                <w:b/>
                <w:sz w:val="28"/>
                <w:szCs w:val="28"/>
                <w:highlight w:val="none"/>
              </w:rPr>
            </w:pPr>
            <w:r>
              <w:rPr>
                <w:rFonts w:hint="eastAsia" w:ascii="宋体" w:hAnsi="宋体"/>
                <w:b/>
                <w:sz w:val="28"/>
                <w:szCs w:val="28"/>
                <w:highlight w:val="none"/>
              </w:rPr>
              <w:t>总价</w:t>
            </w:r>
          </w:p>
        </w:tc>
        <w:tc>
          <w:tcPr>
            <w:tcW w:w="1066" w:type="dxa"/>
          </w:tcPr>
          <w:p>
            <w:pPr>
              <w:spacing w:line="360" w:lineRule="auto"/>
              <w:jc w:val="center"/>
              <w:rPr>
                <w:rFonts w:ascii="宋体"/>
                <w:b/>
                <w:sz w:val="28"/>
                <w:szCs w:val="28"/>
                <w:highlight w:val="none"/>
              </w:rPr>
            </w:pPr>
            <w:r>
              <w:rPr>
                <w:rFonts w:hint="eastAsia" w:ascii="宋体" w:hAnsi="宋体"/>
                <w:b/>
                <w:sz w:val="28"/>
                <w:szCs w:val="28"/>
                <w:highlight w:val="none"/>
              </w:rPr>
              <w:t>质保</w:t>
            </w:r>
          </w:p>
          <w:p>
            <w:pPr>
              <w:spacing w:line="360" w:lineRule="auto"/>
              <w:jc w:val="center"/>
              <w:rPr>
                <w:rFonts w:ascii="宋体"/>
                <w:b/>
                <w:sz w:val="28"/>
                <w:szCs w:val="28"/>
                <w:highlight w:val="none"/>
              </w:rPr>
            </w:pPr>
            <w:r>
              <w:rPr>
                <w:rFonts w:hint="eastAsia" w:ascii="宋体" w:hAnsi="宋体"/>
                <w:b/>
                <w:sz w:val="28"/>
                <w:szCs w:val="28"/>
                <w:highlight w: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Pr>
          <w:p>
            <w:pPr>
              <w:spacing w:line="360" w:lineRule="auto"/>
              <w:jc w:val="center"/>
              <w:rPr>
                <w:rFonts w:ascii="宋体" w:hAnsi="宋体"/>
                <w:sz w:val="28"/>
                <w:szCs w:val="28"/>
                <w:highlight w:val="none"/>
              </w:rPr>
            </w:pPr>
          </w:p>
        </w:tc>
        <w:tc>
          <w:tcPr>
            <w:tcW w:w="2130" w:type="dxa"/>
            <w:gridSpan w:val="2"/>
            <w:vAlign w:val="center"/>
          </w:tcPr>
          <w:p>
            <w:pPr>
              <w:spacing w:line="360" w:lineRule="auto"/>
              <w:jc w:val="center"/>
              <w:rPr>
                <w:rFonts w:ascii="宋体"/>
                <w:sz w:val="28"/>
                <w:szCs w:val="28"/>
                <w:highlight w:val="none"/>
              </w:rPr>
            </w:pPr>
            <w:r>
              <w:rPr>
                <w:rFonts w:hint="eastAsia" w:ascii="宋体" w:hAnsi="宋体"/>
                <w:sz w:val="28"/>
                <w:szCs w:val="28"/>
                <w:highlight w:val="none"/>
              </w:rPr>
              <w:t>合计总价</w:t>
            </w:r>
          </w:p>
        </w:tc>
        <w:tc>
          <w:tcPr>
            <w:tcW w:w="6392" w:type="dxa"/>
            <w:gridSpan w:val="6"/>
            <w:vAlign w:val="center"/>
          </w:tcPr>
          <w:p>
            <w:pPr>
              <w:spacing w:line="360" w:lineRule="auto"/>
              <w:rPr>
                <w:rFonts w:ascii="宋体"/>
                <w:sz w:val="28"/>
                <w:szCs w:val="28"/>
                <w:highlight w:val="none"/>
                <w:u w:val="single"/>
              </w:rPr>
            </w:pPr>
            <w:r>
              <w:rPr>
                <w:rFonts w:hint="eastAsia" w:ascii="宋体" w:hAnsi="宋体"/>
                <w:sz w:val="28"/>
                <w:szCs w:val="28"/>
                <w:highlight w:val="none"/>
              </w:rPr>
              <w:t>大写：小写：元</w:t>
            </w:r>
          </w:p>
        </w:tc>
      </w:tr>
    </w:tbl>
    <w:p>
      <w:pPr>
        <w:spacing w:line="360" w:lineRule="auto"/>
        <w:rPr>
          <w:rFonts w:ascii="宋体"/>
          <w:sz w:val="28"/>
          <w:szCs w:val="28"/>
          <w:highlight w:val="none"/>
        </w:rPr>
      </w:pPr>
      <w:r>
        <w:rPr>
          <w:rFonts w:hint="eastAsia" w:ascii="宋体" w:hAnsi="宋体"/>
          <w:sz w:val="28"/>
          <w:szCs w:val="28"/>
          <w:highlight w:val="none"/>
        </w:rPr>
        <w:t>（可续页）</w:t>
      </w:r>
    </w:p>
    <w:p>
      <w:pPr>
        <w:spacing w:line="360" w:lineRule="auto"/>
        <w:rPr>
          <w:rFonts w:ascii="宋体"/>
          <w:sz w:val="28"/>
          <w:szCs w:val="28"/>
          <w:highlight w:val="none"/>
        </w:rPr>
      </w:pPr>
    </w:p>
    <w:p>
      <w:pPr>
        <w:spacing w:line="360" w:lineRule="auto"/>
        <w:rPr>
          <w:rFonts w:ascii="宋体"/>
          <w:sz w:val="28"/>
          <w:szCs w:val="28"/>
          <w:highlight w:val="none"/>
          <w:u w:val="single"/>
        </w:rPr>
      </w:pPr>
      <w:r>
        <w:rPr>
          <w:rFonts w:hint="eastAsia" w:ascii="宋体" w:hAnsi="宋体"/>
          <w:sz w:val="28"/>
          <w:szCs w:val="28"/>
          <w:highlight w:val="none"/>
        </w:rPr>
        <w:t>单位盖章：</w:t>
      </w:r>
    </w:p>
    <w:p>
      <w:pPr>
        <w:spacing w:line="360" w:lineRule="auto"/>
        <w:rPr>
          <w:rFonts w:ascii="宋体"/>
          <w:sz w:val="28"/>
          <w:szCs w:val="28"/>
          <w:highlight w:val="none"/>
          <w:u w:val="single"/>
        </w:rPr>
      </w:pPr>
      <w:r>
        <w:rPr>
          <w:rFonts w:hint="eastAsia" w:ascii="宋体" w:hAnsi="宋体"/>
          <w:sz w:val="28"/>
          <w:szCs w:val="28"/>
          <w:highlight w:val="none"/>
        </w:rPr>
        <w:t>授权代表签字：</w:t>
      </w:r>
    </w:p>
    <w:p>
      <w:pPr>
        <w:spacing w:line="360" w:lineRule="auto"/>
        <w:rPr>
          <w:rFonts w:ascii="宋体"/>
          <w:sz w:val="28"/>
          <w:szCs w:val="28"/>
          <w:highlight w:val="none"/>
        </w:rPr>
      </w:pPr>
    </w:p>
    <w:p>
      <w:pPr>
        <w:spacing w:line="360" w:lineRule="auto"/>
        <w:rPr>
          <w:rFonts w:ascii="宋体"/>
          <w:sz w:val="28"/>
          <w:szCs w:val="28"/>
          <w:highlight w:val="none"/>
        </w:rPr>
      </w:pPr>
      <w:r>
        <w:rPr>
          <w:rFonts w:hint="eastAsia" w:ascii="宋体" w:hAnsi="宋体"/>
          <w:sz w:val="28"/>
          <w:szCs w:val="28"/>
          <w:highlight w:val="none"/>
        </w:rPr>
        <w:t>年月日</w:t>
      </w:r>
    </w:p>
    <w:p>
      <w:pPr>
        <w:jc w:val="left"/>
        <w:rPr>
          <w:b/>
          <w:sz w:val="28"/>
          <w:szCs w:val="28"/>
          <w:highlight w:val="none"/>
        </w:rPr>
      </w:pPr>
    </w:p>
    <w:bookmarkEnd w:id="10"/>
    <w:bookmarkEnd w:id="11"/>
    <w:p>
      <w:pPr>
        <w:jc w:val="left"/>
        <w:rPr>
          <w:b/>
          <w:sz w:val="28"/>
          <w:szCs w:val="28"/>
          <w:highlight w:val="none"/>
        </w:rPr>
      </w:pPr>
      <w:r>
        <w:rPr>
          <w:rFonts w:hint="eastAsia"/>
          <w:b/>
          <w:sz w:val="28"/>
          <w:szCs w:val="28"/>
          <w:highlight w:val="none"/>
        </w:rPr>
        <w:t>附件</w:t>
      </w:r>
      <w:r>
        <w:rPr>
          <w:b/>
          <w:sz w:val="28"/>
          <w:szCs w:val="28"/>
          <w:highlight w:val="none"/>
        </w:rPr>
        <w:t>4</w:t>
      </w:r>
      <w:r>
        <w:rPr>
          <w:rFonts w:hint="eastAsia"/>
          <w:b/>
          <w:sz w:val="28"/>
          <w:szCs w:val="28"/>
          <w:highlight w:val="none"/>
        </w:rPr>
        <w:t>：服务要求</w:t>
      </w:r>
    </w:p>
    <w:p>
      <w:pPr>
        <w:widowControl/>
        <w:spacing w:line="360" w:lineRule="auto"/>
        <w:ind w:firstLine="480" w:firstLineChars="200"/>
        <w:textAlignment w:val="center"/>
        <w:rPr>
          <w:rFonts w:ascii="宋体" w:hAnsi="宋体"/>
          <w:bCs/>
          <w:sz w:val="24"/>
          <w:highlight w:val="none"/>
        </w:rPr>
      </w:pPr>
      <w:r>
        <w:rPr>
          <w:rFonts w:hint="eastAsia" w:ascii="宋体" w:hAnsi="宋体"/>
          <w:bCs/>
          <w:sz w:val="24"/>
          <w:highlight w:val="none"/>
        </w:rPr>
        <w:t>1、本项目供货期：签订合同后</w:t>
      </w:r>
      <w:r>
        <w:rPr>
          <w:rFonts w:ascii="宋体" w:hAnsi="宋体"/>
          <w:bCs/>
          <w:sz w:val="24"/>
          <w:highlight w:val="none"/>
        </w:rPr>
        <w:t>50</w:t>
      </w:r>
      <w:r>
        <w:rPr>
          <w:rFonts w:hint="eastAsia" w:ascii="宋体" w:hAnsi="宋体"/>
          <w:bCs/>
          <w:sz w:val="24"/>
          <w:highlight w:val="none"/>
        </w:rPr>
        <w:t>日历天内安装调试完成。</w:t>
      </w:r>
    </w:p>
    <w:p>
      <w:pPr>
        <w:spacing w:line="360" w:lineRule="auto"/>
        <w:ind w:firstLine="420"/>
        <w:rPr>
          <w:rFonts w:ascii="宋体" w:hAnsi="宋体"/>
          <w:bCs/>
          <w:sz w:val="24"/>
          <w:highlight w:val="none"/>
        </w:rPr>
      </w:pPr>
      <w:r>
        <w:rPr>
          <w:rFonts w:hint="eastAsia" w:ascii="宋体" w:hAnsi="宋体"/>
          <w:bCs/>
          <w:sz w:val="24"/>
          <w:highlight w:val="none"/>
        </w:rPr>
        <w:t>2、质量要求：为了保证产品质量,所有产品必须</w:t>
      </w:r>
      <w:r>
        <w:rPr>
          <w:rFonts w:hint="eastAsia" w:ascii="宋体" w:hAnsi="宋体"/>
          <w:bCs/>
          <w:sz w:val="24"/>
          <w:highlight w:val="none"/>
        </w:rPr>
        <w:t>是未拆封且未经使用的新品</w:t>
      </w:r>
      <w:r>
        <w:rPr>
          <w:rFonts w:hint="eastAsia" w:ascii="宋体" w:hAnsi="宋体"/>
          <w:bCs/>
          <w:sz w:val="24"/>
          <w:highlight w:val="none"/>
        </w:rPr>
        <w:t>。</w:t>
      </w:r>
    </w:p>
    <w:p>
      <w:pPr>
        <w:widowControl/>
        <w:spacing w:line="360" w:lineRule="auto"/>
        <w:ind w:firstLine="480" w:firstLineChars="200"/>
        <w:textAlignment w:val="center"/>
        <w:rPr>
          <w:highlight w:val="none"/>
        </w:rPr>
      </w:pPr>
      <w:r>
        <w:rPr>
          <w:rFonts w:hint="eastAsia" w:ascii="宋体" w:hAnsi="宋体"/>
          <w:bCs/>
          <w:sz w:val="24"/>
          <w:highlight w:val="none"/>
        </w:rPr>
        <w:t>3、培训要求：供应商须提供优质的培训服务，根据不同需要分批为使用单位操作及工程技术人员提供培训，保证操作及工程技术人员能够熟悉运用、正常使用设备的各种功能并提供相关使用文档</w:t>
      </w:r>
      <w:r>
        <w:rPr>
          <w:rFonts w:hint="eastAsia" w:ascii="宋体" w:hAnsi="宋体"/>
          <w:bCs/>
          <w:sz w:val="24"/>
          <w:highlight w:val="none"/>
        </w:rPr>
        <w:t>，培训相关费用由项目供应商承担</w:t>
      </w:r>
      <w:r>
        <w:rPr>
          <w:rFonts w:hint="eastAsia" w:ascii="宋体" w:hAnsi="宋体"/>
          <w:bCs/>
          <w:sz w:val="24"/>
          <w:highlight w:val="none"/>
        </w:rPr>
        <w:t>；</w:t>
      </w:r>
    </w:p>
    <w:p>
      <w:pPr>
        <w:widowControl/>
        <w:spacing w:line="360" w:lineRule="auto"/>
        <w:ind w:firstLine="480" w:firstLineChars="200"/>
        <w:textAlignment w:val="center"/>
        <w:rPr>
          <w:rFonts w:ascii="宋体" w:hAnsi="宋体"/>
          <w:bCs/>
          <w:sz w:val="24"/>
          <w:highlight w:val="none"/>
        </w:rPr>
      </w:pPr>
      <w:r>
        <w:rPr>
          <w:rFonts w:ascii="宋体" w:hAnsi="宋体"/>
          <w:bCs/>
          <w:sz w:val="24"/>
          <w:highlight w:val="none"/>
        </w:rPr>
        <w:t>4</w:t>
      </w:r>
      <w:r>
        <w:rPr>
          <w:rFonts w:hint="eastAsia" w:ascii="宋体" w:hAnsi="宋体"/>
          <w:bCs/>
          <w:sz w:val="24"/>
          <w:highlight w:val="none"/>
        </w:rPr>
        <w:t>、其他要求及补充说明</w:t>
      </w:r>
    </w:p>
    <w:p>
      <w:pPr>
        <w:widowControl/>
        <w:spacing w:line="360" w:lineRule="auto"/>
        <w:ind w:firstLine="480" w:firstLineChars="200"/>
        <w:textAlignment w:val="center"/>
        <w:rPr>
          <w:rFonts w:ascii="宋体" w:hAnsi="宋体"/>
          <w:bCs/>
          <w:sz w:val="24"/>
          <w:highlight w:val="none"/>
        </w:rPr>
      </w:pPr>
      <w:r>
        <w:rPr>
          <w:rFonts w:hint="eastAsia" w:ascii="宋体" w:hAnsi="宋体"/>
          <w:bCs/>
          <w:sz w:val="24"/>
          <w:highlight w:val="none"/>
        </w:rPr>
        <w:t>1）运输、安装、调试：由供应商免费承担，在合同签署后15天内设备到达使用单位,30天内完成安装、调试等服务并协助使用单位组织验收，最终通过用户及有关部门验收交付使用；商检、计量费用：由供应商免费承担；</w:t>
      </w:r>
    </w:p>
    <w:p>
      <w:pPr>
        <w:widowControl/>
        <w:spacing w:line="360" w:lineRule="auto"/>
        <w:ind w:firstLine="480" w:firstLineChars="200"/>
        <w:textAlignment w:val="center"/>
        <w:rPr>
          <w:rFonts w:ascii="宋体" w:hAnsi="宋体"/>
          <w:bCs/>
          <w:sz w:val="24"/>
          <w:highlight w:val="none"/>
        </w:rPr>
      </w:pPr>
      <w:r>
        <w:rPr>
          <w:rFonts w:hint="eastAsia" w:ascii="宋体" w:hAnsi="宋体"/>
          <w:bCs/>
          <w:sz w:val="24"/>
          <w:highlight w:val="none"/>
        </w:rPr>
        <w:t>2）供应商提供各硬件设备物理安装、操作系统安装、新软件平台环境的搭建，系统软件的安装调试，数据的备份转储，并对整体系统进行优化等服务；</w:t>
      </w:r>
    </w:p>
    <w:p>
      <w:pPr>
        <w:widowControl/>
        <w:spacing w:line="360" w:lineRule="auto"/>
        <w:ind w:firstLine="480" w:firstLineChars="200"/>
        <w:textAlignment w:val="center"/>
        <w:rPr>
          <w:rFonts w:ascii="宋体" w:hAnsi="宋体"/>
          <w:bCs/>
          <w:sz w:val="24"/>
          <w:highlight w:val="none"/>
        </w:rPr>
      </w:pPr>
      <w:r>
        <w:rPr>
          <w:rFonts w:hint="eastAsia" w:ascii="宋体" w:hAnsi="宋体"/>
          <w:bCs/>
          <w:sz w:val="24"/>
          <w:highlight w:val="none"/>
        </w:rPr>
        <w:t>3）投标总报价包括满足本项目要求的所有产品及其配件、包装、运杂、安装调试及售后服务等从项目中标起到项目正式交付以及质保期内所发生的一切费用；</w:t>
      </w:r>
    </w:p>
    <w:p>
      <w:pPr>
        <w:widowControl/>
        <w:spacing w:line="360" w:lineRule="auto"/>
        <w:ind w:firstLine="480" w:firstLineChars="200"/>
        <w:textAlignment w:val="center"/>
        <w:rPr>
          <w:rFonts w:ascii="宋体" w:hAnsi="宋体"/>
          <w:bCs/>
          <w:sz w:val="24"/>
          <w:highlight w:val="none"/>
        </w:rPr>
      </w:pPr>
      <w:r>
        <w:rPr>
          <w:rFonts w:hint="eastAsia" w:ascii="宋体" w:hAnsi="宋体"/>
          <w:bCs/>
          <w:sz w:val="24"/>
          <w:highlight w:val="none"/>
        </w:rPr>
        <w:t>4）投标人必须在满足招标文件要求的基础上进行报价，如有技术偏离请于投标偏离表中说明。</w:t>
      </w: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r>
        <w:rPr>
          <w:rFonts w:hint="eastAsia" w:ascii="宋体" w:hAnsi="宋体" w:cs="仿宋"/>
          <w:b/>
          <w:bCs/>
          <w:sz w:val="28"/>
          <w:szCs w:val="28"/>
          <w:highlight w:val="none"/>
        </w:rPr>
        <w:t>附件</w:t>
      </w:r>
      <w:r>
        <w:rPr>
          <w:rFonts w:ascii="宋体" w:hAnsi="宋体" w:cs="仿宋"/>
          <w:b/>
          <w:bCs/>
          <w:sz w:val="28"/>
          <w:szCs w:val="28"/>
          <w:highlight w:val="none"/>
        </w:rPr>
        <w:t>5</w:t>
      </w:r>
      <w:r>
        <w:rPr>
          <w:rFonts w:hint="eastAsia" w:ascii="宋体" w:hAnsi="宋体" w:cs="仿宋"/>
          <w:b/>
          <w:bCs/>
          <w:sz w:val="28"/>
          <w:szCs w:val="28"/>
          <w:highlight w:val="none"/>
        </w:rPr>
        <w:t>：评标办法</w:t>
      </w:r>
    </w:p>
    <w:p>
      <w:pPr>
        <w:spacing w:line="360" w:lineRule="auto"/>
        <w:ind w:firstLine="482" w:firstLineChars="200"/>
        <w:rPr>
          <w:rFonts w:ascii="宋体" w:hAnsi="宋体"/>
          <w:b/>
          <w:bCs/>
          <w:sz w:val="24"/>
          <w:highlight w:val="none"/>
        </w:rPr>
      </w:pPr>
      <w:r>
        <w:rPr>
          <w:rFonts w:hint="eastAsia" w:ascii="宋体" w:hAnsi="宋体"/>
          <w:b/>
          <w:bCs/>
          <w:sz w:val="24"/>
          <w:highlight w:val="none"/>
        </w:rPr>
        <w:t>本项目采用综合评分法，总分为：</w:t>
      </w:r>
      <w:r>
        <w:rPr>
          <w:rFonts w:ascii="宋体" w:hAnsi="宋体"/>
          <w:b/>
          <w:bCs/>
          <w:sz w:val="24"/>
          <w:highlight w:val="none"/>
        </w:rPr>
        <w:t>100</w:t>
      </w:r>
      <w:r>
        <w:rPr>
          <w:rFonts w:hint="eastAsia" w:ascii="宋体" w:hAnsi="宋体"/>
          <w:b/>
          <w:bCs/>
          <w:sz w:val="24"/>
          <w:highlight w:val="none"/>
        </w:rPr>
        <w:t>分。</w:t>
      </w:r>
    </w:p>
    <w:p>
      <w:pPr>
        <w:pStyle w:val="7"/>
        <w:ind w:left="1470" w:right="1470"/>
        <w:rPr>
          <w:highlight w:val="none"/>
        </w:rPr>
      </w:pPr>
    </w:p>
    <w:tbl>
      <w:tblPr>
        <w:tblStyle w:val="16"/>
        <w:tblW w:w="9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340"/>
        <w:gridCol w:w="724"/>
        <w:gridCol w:w="6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仿宋"/>
                <w:b/>
                <w:bCs/>
                <w:kern w:val="0"/>
                <w:sz w:val="24"/>
                <w:highlight w:val="none"/>
              </w:rPr>
            </w:pPr>
            <w:r>
              <w:rPr>
                <w:rFonts w:hint="eastAsia" w:ascii="宋体" w:hAnsi="宋体" w:cs="仿宋"/>
                <w:b/>
                <w:bCs/>
                <w:kern w:val="0"/>
                <w:sz w:val="24"/>
                <w:highlight w:val="none"/>
              </w:rPr>
              <w:br w:type="page"/>
            </w:r>
            <w:r>
              <w:rPr>
                <w:rFonts w:hint="eastAsia" w:ascii="宋体" w:hAnsi="宋体" w:cs="仿宋"/>
                <w:b/>
                <w:bCs/>
                <w:kern w:val="0"/>
                <w:sz w:val="24"/>
                <w:highlight w:val="none"/>
              </w:rPr>
              <w:t>序号</w:t>
            </w:r>
          </w:p>
        </w:tc>
        <w:tc>
          <w:tcPr>
            <w:tcW w:w="1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仿宋"/>
                <w:b/>
                <w:bCs/>
                <w:kern w:val="0"/>
                <w:sz w:val="24"/>
                <w:highlight w:val="none"/>
              </w:rPr>
            </w:pPr>
            <w:r>
              <w:rPr>
                <w:rFonts w:hint="eastAsia" w:ascii="宋体" w:hAnsi="宋体" w:cs="仿宋"/>
                <w:b/>
                <w:bCs/>
                <w:kern w:val="0"/>
                <w:sz w:val="24"/>
                <w:highlight w:val="none"/>
              </w:rPr>
              <w:t>评审因素</w:t>
            </w:r>
          </w:p>
        </w:tc>
        <w:tc>
          <w:tcPr>
            <w:tcW w:w="758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仿宋"/>
                <w:b/>
                <w:bCs/>
                <w:kern w:val="0"/>
                <w:sz w:val="24"/>
                <w:highlight w:val="none"/>
              </w:rPr>
            </w:pPr>
            <w:r>
              <w:rPr>
                <w:rFonts w:hint="eastAsia" w:ascii="宋体" w:hAnsi="宋体" w:cs="仿宋"/>
                <w:b/>
                <w:bCs/>
                <w:kern w:val="0"/>
                <w:sz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仿宋"/>
                <w:kern w:val="0"/>
                <w:sz w:val="24"/>
                <w:highlight w:val="none"/>
              </w:rPr>
            </w:pPr>
            <w:r>
              <w:rPr>
                <w:rFonts w:hint="eastAsia" w:ascii="宋体" w:hAnsi="宋体" w:cs="仿宋"/>
                <w:kern w:val="0"/>
                <w:sz w:val="24"/>
                <w:highlight w:val="none"/>
              </w:rPr>
              <w:t>1</w:t>
            </w:r>
          </w:p>
        </w:tc>
        <w:tc>
          <w:tcPr>
            <w:tcW w:w="134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仿宋"/>
                <w:kern w:val="0"/>
                <w:sz w:val="24"/>
                <w:highlight w:val="none"/>
              </w:rPr>
            </w:pPr>
            <w:r>
              <w:rPr>
                <w:rFonts w:hint="eastAsia" w:ascii="宋体" w:hAnsi="宋体" w:cs="仿宋"/>
                <w:kern w:val="0"/>
                <w:sz w:val="24"/>
                <w:highlight w:val="none"/>
              </w:rPr>
              <w:t>投标报价</w:t>
            </w:r>
          </w:p>
          <w:p>
            <w:pPr>
              <w:snapToGrid w:val="0"/>
              <w:spacing w:line="360" w:lineRule="auto"/>
              <w:jc w:val="center"/>
              <w:rPr>
                <w:rFonts w:ascii="宋体" w:hAnsi="宋体" w:cs="仿宋"/>
                <w:kern w:val="0"/>
                <w:sz w:val="24"/>
                <w:highlight w:val="none"/>
              </w:rPr>
            </w:pPr>
            <w:r>
              <w:rPr>
                <w:rFonts w:hint="eastAsia" w:ascii="宋体" w:hAnsi="宋体" w:cs="仿宋"/>
                <w:kern w:val="0"/>
                <w:sz w:val="24"/>
                <w:highlight w:val="none"/>
              </w:rPr>
              <w:t>（30分）</w:t>
            </w:r>
          </w:p>
        </w:tc>
        <w:tc>
          <w:tcPr>
            <w:tcW w:w="7581" w:type="dxa"/>
            <w:gridSpan w:val="2"/>
            <w:tcBorders>
              <w:top w:val="single" w:color="auto" w:sz="4" w:space="0"/>
              <w:left w:val="single" w:color="auto" w:sz="4" w:space="0"/>
              <w:right w:val="single" w:color="auto" w:sz="4" w:space="0"/>
            </w:tcBorders>
            <w:vAlign w:val="center"/>
          </w:tcPr>
          <w:p>
            <w:pPr>
              <w:snapToGrid w:val="0"/>
              <w:spacing w:line="360" w:lineRule="auto"/>
              <w:jc w:val="left"/>
              <w:rPr>
                <w:rFonts w:ascii="宋体" w:hAnsi="宋体" w:cs="仿宋"/>
                <w:kern w:val="0"/>
                <w:sz w:val="24"/>
                <w:highlight w:val="none"/>
              </w:rPr>
            </w:pPr>
            <w:r>
              <w:rPr>
                <w:rFonts w:hint="eastAsia" w:ascii="宋体" w:hAnsi="宋体" w:cs="仿宋"/>
                <w:kern w:val="0"/>
                <w:sz w:val="24"/>
                <w:highlight w:val="none"/>
              </w:rPr>
              <w:t>价格分采用低价优先法计算，即满足招标文件要求且投标价格最低的投标报价为评标基准价，其价格分为满分30分。其他投标人的价格分按照下列公式计算：</w:t>
            </w:r>
          </w:p>
          <w:p>
            <w:pPr>
              <w:snapToGrid w:val="0"/>
              <w:spacing w:line="360" w:lineRule="auto"/>
              <w:jc w:val="left"/>
              <w:rPr>
                <w:rFonts w:ascii="宋体" w:hAnsi="宋体" w:cs="仿宋"/>
                <w:kern w:val="0"/>
                <w:sz w:val="24"/>
                <w:highlight w:val="none"/>
              </w:rPr>
            </w:pPr>
            <w:r>
              <w:rPr>
                <w:rFonts w:hint="eastAsia" w:ascii="宋体" w:hAnsi="宋体" w:cs="仿宋"/>
                <w:kern w:val="0"/>
                <w:sz w:val="24"/>
                <w:highlight w:val="none"/>
              </w:rPr>
              <w:t>投标报价得分=（评标基准价／投标报价）×30（精确到小数点后两位）。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jc w:val="center"/>
        </w:trPr>
        <w:tc>
          <w:tcPr>
            <w:tcW w:w="766" w:type="dxa"/>
            <w:tcBorders>
              <w:top w:val="single" w:color="auto" w:sz="4" w:space="0"/>
              <w:left w:val="single" w:color="auto" w:sz="4" w:space="0"/>
              <w:right w:val="single" w:color="auto" w:sz="4" w:space="0"/>
            </w:tcBorders>
            <w:vAlign w:val="center"/>
          </w:tcPr>
          <w:p>
            <w:pPr>
              <w:snapToGrid w:val="0"/>
              <w:jc w:val="center"/>
              <w:rPr>
                <w:rFonts w:ascii="宋体" w:hAnsi="宋体" w:cs="仿宋"/>
                <w:kern w:val="0"/>
                <w:sz w:val="24"/>
                <w:highlight w:val="none"/>
              </w:rPr>
            </w:pPr>
            <w:r>
              <w:rPr>
                <w:rFonts w:hint="eastAsia" w:ascii="宋体" w:hAnsi="宋体" w:cs="仿宋"/>
                <w:kern w:val="0"/>
                <w:sz w:val="24"/>
                <w:highlight w:val="none"/>
              </w:rPr>
              <w:t>2</w:t>
            </w:r>
          </w:p>
        </w:tc>
        <w:tc>
          <w:tcPr>
            <w:tcW w:w="1340" w:type="dxa"/>
            <w:tcBorders>
              <w:top w:val="single" w:color="auto" w:sz="4" w:space="0"/>
              <w:left w:val="single" w:color="auto" w:sz="4" w:space="0"/>
              <w:right w:val="single" w:color="auto" w:sz="4" w:space="0"/>
            </w:tcBorders>
            <w:vAlign w:val="center"/>
          </w:tcPr>
          <w:p>
            <w:pPr>
              <w:snapToGrid w:val="0"/>
              <w:spacing w:line="360" w:lineRule="auto"/>
              <w:jc w:val="center"/>
              <w:rPr>
                <w:rFonts w:ascii="宋体" w:hAnsi="宋体" w:cs="仿宋"/>
                <w:kern w:val="0"/>
                <w:sz w:val="24"/>
                <w:highlight w:val="none"/>
              </w:rPr>
            </w:pPr>
            <w:r>
              <w:rPr>
                <w:rFonts w:hint="eastAsia" w:ascii="宋体" w:hAnsi="宋体" w:cs="仿宋"/>
                <w:kern w:val="0"/>
                <w:sz w:val="24"/>
                <w:highlight w:val="none"/>
              </w:rPr>
              <w:t>技术能力及其整体设计</w:t>
            </w:r>
          </w:p>
          <w:p>
            <w:pPr>
              <w:snapToGrid w:val="0"/>
              <w:spacing w:line="360" w:lineRule="auto"/>
              <w:jc w:val="center"/>
              <w:rPr>
                <w:rFonts w:ascii="宋体" w:hAnsi="宋体" w:cs="仿宋"/>
                <w:kern w:val="0"/>
                <w:sz w:val="24"/>
                <w:highlight w:val="none"/>
              </w:rPr>
            </w:pPr>
            <w:r>
              <w:rPr>
                <w:rFonts w:hint="eastAsia" w:ascii="宋体" w:hAnsi="宋体" w:cs="仿宋"/>
                <w:kern w:val="0"/>
                <w:sz w:val="24"/>
                <w:highlight w:val="none"/>
              </w:rPr>
              <w:t>（</w:t>
            </w:r>
            <w:r>
              <w:rPr>
                <w:rFonts w:ascii="宋体" w:hAnsi="宋体" w:cs="仿宋"/>
                <w:kern w:val="0"/>
                <w:sz w:val="24"/>
                <w:highlight w:val="none"/>
              </w:rPr>
              <w:t>30</w:t>
            </w:r>
            <w:r>
              <w:rPr>
                <w:rFonts w:hint="eastAsia" w:ascii="宋体" w:hAnsi="宋体" w:cs="仿宋"/>
                <w:kern w:val="0"/>
                <w:sz w:val="24"/>
                <w:highlight w:val="none"/>
              </w:rPr>
              <w:t>分）</w:t>
            </w:r>
          </w:p>
        </w:tc>
        <w:tc>
          <w:tcPr>
            <w:tcW w:w="7581" w:type="dxa"/>
            <w:gridSpan w:val="2"/>
            <w:tcBorders>
              <w:top w:val="single" w:color="auto" w:sz="4" w:space="0"/>
              <w:left w:val="single" w:color="auto" w:sz="4" w:space="0"/>
              <w:right w:val="single" w:color="auto" w:sz="4" w:space="0"/>
            </w:tcBorders>
            <w:vAlign w:val="center"/>
          </w:tcPr>
          <w:p>
            <w:pPr>
              <w:pStyle w:val="46"/>
              <w:snapToGrid w:val="0"/>
              <w:spacing w:line="360" w:lineRule="auto"/>
              <w:jc w:val="both"/>
              <w:rPr>
                <w:rFonts w:cs="仿宋"/>
                <w:sz w:val="24"/>
                <w:szCs w:val="24"/>
                <w:highlight w:val="none"/>
                <w:lang w:val="en-US" w:bidi="ar-SA"/>
              </w:rPr>
            </w:pPr>
            <w:r>
              <w:rPr>
                <w:rFonts w:hint="eastAsia" w:cs="仿宋"/>
                <w:sz w:val="24"/>
                <w:szCs w:val="24"/>
                <w:highlight w:val="none"/>
                <w:lang w:val="en-US" w:bidi="ar-SA"/>
              </w:rPr>
              <w:t>从对项目建设要求和主要建设内容的理解程度，总体思路是否符合采购人需求，系统技术路线和架构是否合理，是否具有实用性、稳定性和创新性等方面酌情评分。评分标准</w:t>
            </w:r>
            <w:r>
              <w:rPr>
                <w:rFonts w:cs="仿宋"/>
                <w:sz w:val="24"/>
                <w:szCs w:val="24"/>
                <w:highlight w:val="none"/>
                <w:lang w:val="en-US" w:bidi="ar-SA"/>
              </w:rPr>
              <w:t>：</w:t>
            </w:r>
            <w:r>
              <w:rPr>
                <w:rFonts w:hint="eastAsia" w:cs="仿宋"/>
                <w:sz w:val="24"/>
                <w:szCs w:val="24"/>
                <w:highlight w:val="none"/>
                <w:lang w:val="en-US" w:bidi="ar-SA"/>
              </w:rPr>
              <w:t>方案体系框架、技术路线、功能模块等设计具有科学性、先进性和合理性，与项目需求的吻合度高</w:t>
            </w:r>
            <w:r>
              <w:rPr>
                <w:rFonts w:cs="仿宋"/>
                <w:sz w:val="24"/>
                <w:szCs w:val="24"/>
                <w:highlight w:val="none"/>
                <w:lang w:val="en-US" w:bidi="ar-SA"/>
              </w:rPr>
              <w:t>得</w:t>
            </w:r>
            <w:r>
              <w:rPr>
                <w:rFonts w:hint="eastAsia" w:cs="仿宋"/>
                <w:sz w:val="24"/>
                <w:szCs w:val="24"/>
                <w:highlight w:val="none"/>
                <w:lang w:val="en-US" w:bidi="ar-SA"/>
              </w:rPr>
              <w:t>21-</w:t>
            </w:r>
            <w:r>
              <w:rPr>
                <w:rFonts w:cs="仿宋"/>
                <w:sz w:val="24"/>
                <w:szCs w:val="24"/>
                <w:highlight w:val="none"/>
                <w:lang w:val="en-US" w:bidi="ar-SA"/>
              </w:rPr>
              <w:t>30</w:t>
            </w:r>
            <w:r>
              <w:rPr>
                <w:rFonts w:hint="eastAsia" w:cs="仿宋"/>
                <w:sz w:val="24"/>
                <w:szCs w:val="24"/>
                <w:highlight w:val="none"/>
                <w:lang w:val="en-US" w:bidi="ar-SA"/>
              </w:rPr>
              <w:t>分；方案基本完整</w:t>
            </w:r>
            <w:r>
              <w:rPr>
                <w:rFonts w:cs="仿宋"/>
                <w:sz w:val="24"/>
                <w:szCs w:val="24"/>
                <w:highlight w:val="none"/>
                <w:lang w:val="en-US" w:bidi="ar-SA"/>
              </w:rPr>
              <w:t>，需求基本满足得1</w:t>
            </w:r>
            <w:r>
              <w:rPr>
                <w:rFonts w:hint="eastAsia" w:cs="仿宋"/>
                <w:sz w:val="24"/>
                <w:szCs w:val="24"/>
                <w:highlight w:val="none"/>
                <w:lang w:val="en-US" w:bidi="ar-SA"/>
              </w:rPr>
              <w:t>1-20分；</w:t>
            </w:r>
            <w:r>
              <w:rPr>
                <w:rFonts w:cs="仿宋"/>
                <w:sz w:val="24"/>
                <w:szCs w:val="24"/>
                <w:highlight w:val="none"/>
                <w:lang w:val="en-US" w:bidi="ar-SA"/>
              </w:rPr>
              <w:t>方案不</w:t>
            </w:r>
            <w:r>
              <w:rPr>
                <w:rFonts w:hint="eastAsia" w:cs="仿宋"/>
                <w:sz w:val="24"/>
                <w:szCs w:val="24"/>
                <w:highlight w:val="none"/>
                <w:lang w:val="en-US" w:bidi="ar-SA"/>
              </w:rPr>
              <w:t>完整或</w:t>
            </w:r>
            <w:r>
              <w:rPr>
                <w:rFonts w:cs="仿宋"/>
                <w:sz w:val="24"/>
                <w:szCs w:val="24"/>
                <w:highlight w:val="none"/>
                <w:lang w:val="en-US" w:bidi="ar-SA"/>
              </w:rPr>
              <w:t>不合理</w:t>
            </w:r>
            <w:r>
              <w:rPr>
                <w:rFonts w:hint="eastAsia" w:cs="仿宋"/>
                <w:sz w:val="24"/>
                <w:szCs w:val="24"/>
                <w:highlight w:val="none"/>
                <w:lang w:val="en-US" w:bidi="ar-SA"/>
              </w:rPr>
              <w:t>得</w:t>
            </w:r>
            <w:r>
              <w:rPr>
                <w:rFonts w:cs="仿宋"/>
                <w:sz w:val="24"/>
                <w:szCs w:val="24"/>
                <w:highlight w:val="none"/>
                <w:lang w:val="en-US" w:bidi="ar-SA"/>
              </w:rPr>
              <w:t>0</w:t>
            </w:r>
            <w:r>
              <w:rPr>
                <w:rFonts w:hint="eastAsia" w:cs="仿宋"/>
                <w:sz w:val="24"/>
                <w:szCs w:val="24"/>
                <w:highlight w:val="none"/>
                <w:lang w:val="en-US" w:bidi="ar-SA"/>
              </w:rPr>
              <w:t>-10分</w:t>
            </w:r>
            <w:r>
              <w:rPr>
                <w:rFonts w:cs="仿宋"/>
                <w:sz w:val="24"/>
                <w:szCs w:val="24"/>
                <w:highlight w:val="none"/>
                <w:lang w:val="en-US" w:bidi="ar-SA"/>
              </w:rPr>
              <w:t>。</w:t>
            </w:r>
          </w:p>
          <w:p>
            <w:pPr>
              <w:pStyle w:val="46"/>
              <w:snapToGrid w:val="0"/>
              <w:spacing w:line="360" w:lineRule="auto"/>
              <w:jc w:val="both"/>
              <w:rPr>
                <w:rFonts w:cs="仿宋"/>
                <w:sz w:val="24"/>
                <w:szCs w:val="24"/>
                <w:highlight w:val="none"/>
                <w:lang w:val="en-US" w:bidi="ar-SA"/>
              </w:rPr>
            </w:pPr>
            <w:r>
              <w:rPr>
                <w:rFonts w:hint="eastAsia" w:cs="仿宋"/>
                <w:sz w:val="24"/>
                <w:szCs w:val="24"/>
                <w:highlight w:val="none"/>
                <w:lang w:val="en-US" w:bidi="ar-SA"/>
              </w:rPr>
              <w:t>技术参数:</w:t>
            </w:r>
          </w:p>
          <w:p>
            <w:pPr>
              <w:pStyle w:val="46"/>
              <w:snapToGrid w:val="0"/>
              <w:spacing w:line="360" w:lineRule="auto"/>
              <w:jc w:val="both"/>
              <w:rPr>
                <w:rFonts w:cs="仿宋"/>
                <w:sz w:val="24"/>
                <w:szCs w:val="24"/>
                <w:highlight w:val="none"/>
                <w:lang w:val="en-US" w:bidi="ar-SA"/>
              </w:rPr>
            </w:pPr>
            <w:r>
              <w:rPr>
                <w:rFonts w:hint="eastAsia" w:cs="仿宋"/>
                <w:sz w:val="24"/>
                <w:szCs w:val="24"/>
                <w:highlight w:val="none"/>
                <w:lang w:val="en-US" w:bidi="ar-SA"/>
              </w:rPr>
              <w:t>技术参数全部满足招标要求的得满分；打</w:t>
            </w:r>
            <w:r>
              <w:rPr>
                <w:rFonts w:hint="eastAsia" w:cs="微软雅黑"/>
                <w:sz w:val="24"/>
                <w:szCs w:val="24"/>
                <w:highlight w:val="none"/>
              </w:rPr>
              <w:t>▲</w:t>
            </w:r>
            <w:r>
              <w:rPr>
                <w:rFonts w:hint="eastAsia" w:cs="仿宋"/>
                <w:sz w:val="24"/>
                <w:szCs w:val="24"/>
                <w:highlight w:val="none"/>
                <w:lang w:val="en-US" w:bidi="ar-SA"/>
              </w:rPr>
              <w:t>号指标为重要指标项，有一项负偏离扣3分，有三项加</w:t>
            </w:r>
            <w:r>
              <w:rPr>
                <w:rFonts w:hint="eastAsia" w:cs="微软雅黑"/>
                <w:sz w:val="24"/>
                <w:szCs w:val="24"/>
                <w:highlight w:val="none"/>
              </w:rPr>
              <w:t>▲</w:t>
            </w:r>
            <w:r>
              <w:rPr>
                <w:rFonts w:hint="eastAsia" w:cs="仿宋"/>
                <w:sz w:val="24"/>
                <w:szCs w:val="24"/>
                <w:highlight w:val="none"/>
                <w:lang w:val="en-US" w:bidi="ar-SA"/>
              </w:rPr>
              <w:t>项负偏离的本项不得分；非打</w:t>
            </w:r>
            <w:r>
              <w:rPr>
                <w:rFonts w:hint="eastAsia" w:cs="微软雅黑"/>
                <w:sz w:val="24"/>
                <w:szCs w:val="24"/>
                <w:highlight w:val="none"/>
              </w:rPr>
              <w:t>▲</w:t>
            </w:r>
            <w:r>
              <w:rPr>
                <w:rFonts w:hint="eastAsia" w:cs="仿宋"/>
                <w:sz w:val="24"/>
                <w:szCs w:val="24"/>
                <w:highlight w:val="none"/>
                <w:lang w:val="en-US" w:bidi="ar-SA"/>
              </w:rPr>
              <w:t>号指标,有一项负偏离扣2分，扣完为止。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66" w:type="dxa"/>
            <w:vMerge w:val="restart"/>
            <w:tcBorders>
              <w:top w:val="single" w:color="auto" w:sz="4" w:space="0"/>
              <w:left w:val="single" w:color="auto" w:sz="4" w:space="0"/>
              <w:right w:val="single" w:color="auto" w:sz="4" w:space="0"/>
            </w:tcBorders>
            <w:vAlign w:val="center"/>
          </w:tcPr>
          <w:p>
            <w:pPr>
              <w:snapToGrid w:val="0"/>
              <w:jc w:val="center"/>
              <w:rPr>
                <w:rFonts w:ascii="宋体" w:hAnsi="宋体" w:cs="仿宋"/>
                <w:kern w:val="0"/>
                <w:sz w:val="24"/>
                <w:highlight w:val="none"/>
              </w:rPr>
            </w:pPr>
            <w:r>
              <w:rPr>
                <w:rFonts w:hint="eastAsia" w:ascii="宋体" w:hAnsi="宋体" w:cs="仿宋"/>
                <w:kern w:val="0"/>
                <w:sz w:val="24"/>
                <w:highlight w:val="none"/>
              </w:rPr>
              <w:t>3</w:t>
            </w:r>
          </w:p>
        </w:tc>
        <w:tc>
          <w:tcPr>
            <w:tcW w:w="1340" w:type="dxa"/>
            <w:vMerge w:val="restart"/>
            <w:tcBorders>
              <w:top w:val="single" w:color="auto" w:sz="4" w:space="0"/>
              <w:left w:val="single" w:color="auto" w:sz="4" w:space="0"/>
              <w:right w:val="single" w:color="auto" w:sz="4" w:space="0"/>
            </w:tcBorders>
            <w:vAlign w:val="center"/>
          </w:tcPr>
          <w:p>
            <w:pPr>
              <w:snapToGrid w:val="0"/>
              <w:spacing w:line="360" w:lineRule="auto"/>
              <w:jc w:val="center"/>
              <w:rPr>
                <w:rFonts w:ascii="宋体" w:hAnsi="宋体" w:cs="仿宋"/>
                <w:kern w:val="0"/>
                <w:sz w:val="24"/>
                <w:highlight w:val="none"/>
              </w:rPr>
            </w:pPr>
            <w:r>
              <w:rPr>
                <w:rFonts w:hint="eastAsia" w:ascii="宋体" w:hAnsi="宋体" w:cs="仿宋"/>
                <w:kern w:val="0"/>
                <w:sz w:val="24"/>
                <w:highlight w:val="none"/>
              </w:rPr>
              <w:t>售后服务体系及能力</w:t>
            </w:r>
          </w:p>
          <w:p>
            <w:pPr>
              <w:snapToGrid w:val="0"/>
              <w:spacing w:line="360" w:lineRule="auto"/>
              <w:jc w:val="center"/>
              <w:rPr>
                <w:rFonts w:ascii="宋体" w:hAnsi="宋体" w:cs="仿宋"/>
                <w:kern w:val="0"/>
                <w:sz w:val="24"/>
                <w:highlight w:val="none"/>
              </w:rPr>
            </w:pPr>
            <w:r>
              <w:rPr>
                <w:rFonts w:hint="eastAsia" w:ascii="宋体" w:hAnsi="宋体" w:cs="仿宋"/>
                <w:kern w:val="0"/>
                <w:sz w:val="24"/>
                <w:highlight w:val="none"/>
              </w:rPr>
              <w:t>（18分）</w:t>
            </w:r>
          </w:p>
        </w:tc>
        <w:tc>
          <w:tcPr>
            <w:tcW w:w="724" w:type="dxa"/>
            <w:tcBorders>
              <w:top w:val="single" w:color="auto" w:sz="4" w:space="0"/>
              <w:left w:val="single" w:color="auto" w:sz="4" w:space="0"/>
              <w:right w:val="single" w:color="auto" w:sz="4" w:space="0"/>
            </w:tcBorders>
            <w:vAlign w:val="center"/>
          </w:tcPr>
          <w:p>
            <w:pPr>
              <w:snapToGrid w:val="0"/>
              <w:jc w:val="center"/>
              <w:rPr>
                <w:rFonts w:ascii="宋体" w:hAnsi="宋体" w:cs="仿宋"/>
                <w:kern w:val="0"/>
                <w:sz w:val="24"/>
                <w:highlight w:val="none"/>
              </w:rPr>
            </w:pPr>
            <w:r>
              <w:rPr>
                <w:rFonts w:hint="eastAsia" w:ascii="宋体" w:hAnsi="宋体" w:cs="仿宋"/>
                <w:kern w:val="0"/>
                <w:sz w:val="24"/>
                <w:highlight w:val="none"/>
              </w:rPr>
              <w:t>3</w:t>
            </w:r>
          </w:p>
        </w:tc>
        <w:tc>
          <w:tcPr>
            <w:tcW w:w="6857" w:type="dxa"/>
            <w:tcBorders>
              <w:top w:val="single" w:color="auto" w:sz="4" w:space="0"/>
              <w:left w:val="single" w:color="auto" w:sz="4" w:space="0"/>
              <w:right w:val="single" w:color="auto" w:sz="4" w:space="0"/>
            </w:tcBorders>
            <w:vAlign w:val="center"/>
          </w:tcPr>
          <w:p>
            <w:pPr>
              <w:snapToGrid w:val="0"/>
              <w:spacing w:line="360" w:lineRule="auto"/>
              <w:jc w:val="left"/>
              <w:rPr>
                <w:rFonts w:ascii="宋体" w:hAnsi="宋体" w:cs="仿宋"/>
                <w:kern w:val="0"/>
                <w:sz w:val="24"/>
                <w:highlight w:val="none"/>
              </w:rPr>
            </w:pPr>
            <w:r>
              <w:rPr>
                <w:rFonts w:hint="eastAsia" w:ascii="宋体" w:hAnsi="宋体" w:cs="仿宋"/>
                <w:kern w:val="0"/>
                <w:sz w:val="24"/>
                <w:highlight w:val="none"/>
              </w:rPr>
              <w:t>提供免费售后服务和免费质保期至少3年，3年的不得分；大于3年的，每增加一年的得1分，本项最高得3分。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766" w:type="dxa"/>
            <w:vMerge w:val="continue"/>
            <w:tcBorders>
              <w:left w:val="single" w:color="auto" w:sz="4" w:space="0"/>
              <w:right w:val="single" w:color="auto" w:sz="4" w:space="0"/>
            </w:tcBorders>
            <w:vAlign w:val="center"/>
          </w:tcPr>
          <w:p>
            <w:pPr>
              <w:snapToGrid w:val="0"/>
              <w:jc w:val="center"/>
              <w:rPr>
                <w:rFonts w:ascii="宋体" w:hAnsi="宋体" w:cs="仿宋"/>
                <w:kern w:val="0"/>
                <w:sz w:val="24"/>
                <w:highlight w:val="none"/>
              </w:rPr>
            </w:pPr>
          </w:p>
        </w:tc>
        <w:tc>
          <w:tcPr>
            <w:tcW w:w="1340" w:type="dxa"/>
            <w:vMerge w:val="continue"/>
            <w:tcBorders>
              <w:left w:val="single" w:color="auto" w:sz="4" w:space="0"/>
              <w:right w:val="single" w:color="auto" w:sz="4" w:space="0"/>
            </w:tcBorders>
            <w:vAlign w:val="center"/>
          </w:tcPr>
          <w:p>
            <w:pPr>
              <w:snapToGrid w:val="0"/>
              <w:jc w:val="center"/>
              <w:rPr>
                <w:rFonts w:ascii="宋体" w:hAnsi="宋体" w:cs="仿宋"/>
                <w:kern w:val="0"/>
                <w:sz w:val="24"/>
                <w:highlight w:val="none"/>
              </w:rPr>
            </w:pPr>
          </w:p>
        </w:tc>
        <w:tc>
          <w:tcPr>
            <w:tcW w:w="724" w:type="dxa"/>
            <w:tcBorders>
              <w:top w:val="single" w:color="auto" w:sz="4" w:space="0"/>
              <w:left w:val="single" w:color="auto" w:sz="4" w:space="0"/>
              <w:right w:val="single" w:color="auto" w:sz="4" w:space="0"/>
            </w:tcBorders>
            <w:vAlign w:val="center"/>
          </w:tcPr>
          <w:p>
            <w:pPr>
              <w:snapToGrid w:val="0"/>
              <w:jc w:val="center"/>
              <w:rPr>
                <w:rFonts w:ascii="宋体" w:hAnsi="宋体" w:cs="仿宋"/>
                <w:kern w:val="0"/>
                <w:sz w:val="24"/>
                <w:highlight w:val="none"/>
              </w:rPr>
            </w:pPr>
            <w:r>
              <w:rPr>
                <w:rFonts w:hint="eastAsia" w:ascii="宋体" w:hAnsi="宋体" w:cs="仿宋"/>
                <w:kern w:val="0"/>
                <w:sz w:val="24"/>
                <w:highlight w:val="none"/>
              </w:rPr>
              <w:t>10</w:t>
            </w:r>
          </w:p>
        </w:tc>
        <w:tc>
          <w:tcPr>
            <w:tcW w:w="6857" w:type="dxa"/>
            <w:tcBorders>
              <w:top w:val="single" w:color="auto" w:sz="4" w:space="0"/>
              <w:left w:val="single" w:color="auto" w:sz="4" w:space="0"/>
              <w:right w:val="single" w:color="auto" w:sz="4" w:space="0"/>
            </w:tcBorders>
            <w:vAlign w:val="center"/>
          </w:tcPr>
          <w:p>
            <w:pPr>
              <w:snapToGrid w:val="0"/>
              <w:spacing w:line="360" w:lineRule="auto"/>
              <w:rPr>
                <w:rFonts w:ascii="宋体" w:hAnsi="宋体" w:cs="仿宋"/>
                <w:kern w:val="0"/>
                <w:sz w:val="24"/>
                <w:highlight w:val="none"/>
              </w:rPr>
            </w:pPr>
            <w:r>
              <w:rPr>
                <w:rFonts w:hint="eastAsia" w:ascii="宋体" w:hAnsi="宋体" w:cs="仿宋"/>
                <w:kern w:val="0"/>
                <w:sz w:val="24"/>
                <w:highlight w:val="none"/>
              </w:rPr>
              <w:t>评委根据供应商提供的售后服务方案（如服务体系、服务内容、故障解决方案、响应时间、专业技术人员保障、服务电话及对操作、质保期外的软件升级费用等）进行综合评分，</w:t>
            </w:r>
          </w:p>
          <w:p>
            <w:pPr>
              <w:snapToGrid w:val="0"/>
              <w:spacing w:line="360" w:lineRule="auto"/>
              <w:rPr>
                <w:rFonts w:ascii="宋体" w:hAnsi="宋体" w:cs="仿宋"/>
                <w:kern w:val="0"/>
                <w:sz w:val="24"/>
                <w:highlight w:val="none"/>
              </w:rPr>
            </w:pPr>
            <w:r>
              <w:rPr>
                <w:rFonts w:hint="eastAsia" w:ascii="宋体" w:hAnsi="宋体" w:cs="仿宋"/>
                <w:kern w:val="0"/>
                <w:sz w:val="24"/>
                <w:highlight w:val="none"/>
              </w:rPr>
              <w:t>需求理解全面准确，方案清晰完整、无缺失、针对性强、切实可行、质保期外的软件升级费用合理，得8-10分；</w:t>
            </w:r>
          </w:p>
          <w:p>
            <w:pPr>
              <w:snapToGrid w:val="0"/>
              <w:spacing w:line="360" w:lineRule="auto"/>
              <w:rPr>
                <w:rFonts w:ascii="宋体" w:hAnsi="宋体" w:cs="仿宋"/>
                <w:kern w:val="0"/>
                <w:sz w:val="24"/>
                <w:highlight w:val="none"/>
              </w:rPr>
            </w:pPr>
            <w:r>
              <w:rPr>
                <w:rFonts w:hint="eastAsia" w:ascii="宋体" w:hAnsi="宋体" w:cs="仿宋"/>
                <w:kern w:val="0"/>
                <w:sz w:val="24"/>
                <w:highlight w:val="none"/>
              </w:rPr>
              <w:t>需求理解较全面准确，方案较清晰完整、无缺失、针对性较强、较切实可行、质保期外的软件升级费用较合理，得5-7分；</w:t>
            </w:r>
          </w:p>
          <w:p>
            <w:pPr>
              <w:snapToGrid w:val="0"/>
              <w:spacing w:line="360" w:lineRule="auto"/>
              <w:rPr>
                <w:rFonts w:ascii="宋体" w:hAnsi="宋体" w:cs="仿宋"/>
                <w:kern w:val="0"/>
                <w:sz w:val="24"/>
                <w:highlight w:val="none"/>
              </w:rPr>
            </w:pPr>
            <w:r>
              <w:rPr>
                <w:rFonts w:hint="eastAsia" w:ascii="宋体" w:hAnsi="宋体" w:cs="仿宋"/>
                <w:kern w:val="0"/>
                <w:sz w:val="24"/>
                <w:highlight w:val="none"/>
              </w:rPr>
              <w:t>基本理解需求，提供了相应方案但比较粗略，针对性一般，基本可行，质保期外的软件升级费用基本合理，得3-4分；</w:t>
            </w:r>
          </w:p>
          <w:p>
            <w:pPr>
              <w:snapToGrid w:val="0"/>
              <w:spacing w:line="360" w:lineRule="auto"/>
              <w:rPr>
                <w:rFonts w:ascii="宋体" w:hAnsi="宋体" w:cs="仿宋"/>
                <w:kern w:val="0"/>
                <w:sz w:val="24"/>
                <w:highlight w:val="none"/>
              </w:rPr>
            </w:pPr>
            <w:r>
              <w:rPr>
                <w:rFonts w:hint="eastAsia" w:ascii="宋体" w:hAnsi="宋体" w:cs="仿宋"/>
                <w:kern w:val="0"/>
                <w:sz w:val="24"/>
                <w:highlight w:val="none"/>
              </w:rPr>
              <w:t>需求理解不准确，方案简单或有缺失，针对性不强或无针对性，质保期外的软件升级费用不合理，得1-2分；</w:t>
            </w:r>
          </w:p>
          <w:p>
            <w:pPr>
              <w:snapToGrid w:val="0"/>
              <w:spacing w:line="360" w:lineRule="auto"/>
              <w:rPr>
                <w:rFonts w:ascii="宋体" w:hAnsi="宋体" w:cs="仿宋"/>
                <w:kern w:val="0"/>
                <w:sz w:val="24"/>
                <w:highlight w:val="none"/>
              </w:rPr>
            </w:pPr>
            <w:r>
              <w:rPr>
                <w:rFonts w:hint="eastAsia" w:ascii="宋体" w:hAnsi="宋体" w:cs="仿宋"/>
                <w:kern w:val="0"/>
                <w:sz w:val="24"/>
                <w:highlight w:val="none"/>
              </w:rPr>
              <w:t>其他的不得分。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766" w:type="dxa"/>
            <w:vMerge w:val="continue"/>
            <w:tcBorders>
              <w:left w:val="single" w:color="auto" w:sz="4" w:space="0"/>
              <w:right w:val="single" w:color="auto" w:sz="4" w:space="0"/>
            </w:tcBorders>
            <w:vAlign w:val="center"/>
          </w:tcPr>
          <w:p>
            <w:pPr>
              <w:snapToGrid w:val="0"/>
              <w:jc w:val="center"/>
              <w:rPr>
                <w:rFonts w:ascii="宋体" w:hAnsi="宋体" w:cs="仿宋"/>
                <w:kern w:val="0"/>
                <w:sz w:val="24"/>
                <w:highlight w:val="none"/>
              </w:rPr>
            </w:pPr>
          </w:p>
        </w:tc>
        <w:tc>
          <w:tcPr>
            <w:tcW w:w="1340" w:type="dxa"/>
            <w:vMerge w:val="continue"/>
            <w:tcBorders>
              <w:left w:val="single" w:color="auto" w:sz="4" w:space="0"/>
              <w:right w:val="single" w:color="auto" w:sz="4" w:space="0"/>
            </w:tcBorders>
            <w:vAlign w:val="center"/>
          </w:tcPr>
          <w:p>
            <w:pPr>
              <w:snapToGrid w:val="0"/>
              <w:jc w:val="center"/>
              <w:rPr>
                <w:rFonts w:ascii="宋体" w:hAnsi="宋体" w:cs="仿宋"/>
                <w:kern w:val="0"/>
                <w:sz w:val="24"/>
                <w:highlight w:val="none"/>
              </w:rPr>
            </w:pPr>
          </w:p>
        </w:tc>
        <w:tc>
          <w:tcPr>
            <w:tcW w:w="724" w:type="dxa"/>
            <w:tcBorders>
              <w:top w:val="single" w:color="auto" w:sz="4" w:space="0"/>
              <w:left w:val="single" w:color="auto" w:sz="4" w:space="0"/>
              <w:right w:val="single" w:color="auto" w:sz="4" w:space="0"/>
            </w:tcBorders>
            <w:vAlign w:val="center"/>
          </w:tcPr>
          <w:p>
            <w:pPr>
              <w:snapToGrid w:val="0"/>
              <w:spacing w:line="360" w:lineRule="auto"/>
              <w:jc w:val="center"/>
              <w:rPr>
                <w:rFonts w:ascii="宋体" w:hAnsi="宋体" w:cs="仿宋"/>
                <w:kern w:val="0"/>
                <w:sz w:val="24"/>
                <w:highlight w:val="none"/>
              </w:rPr>
            </w:pPr>
            <w:r>
              <w:rPr>
                <w:rFonts w:hint="eastAsia" w:ascii="宋体" w:hAnsi="宋体" w:cs="仿宋"/>
                <w:kern w:val="0"/>
                <w:sz w:val="24"/>
                <w:highlight w:val="none"/>
              </w:rPr>
              <w:t>5</w:t>
            </w:r>
          </w:p>
        </w:tc>
        <w:tc>
          <w:tcPr>
            <w:tcW w:w="6857" w:type="dxa"/>
            <w:tcBorders>
              <w:top w:val="single" w:color="auto" w:sz="4" w:space="0"/>
              <w:left w:val="single" w:color="auto" w:sz="4" w:space="0"/>
              <w:right w:val="single" w:color="auto" w:sz="4" w:space="0"/>
            </w:tcBorders>
            <w:vAlign w:val="center"/>
          </w:tcPr>
          <w:p>
            <w:pPr>
              <w:snapToGrid w:val="0"/>
              <w:spacing w:line="360" w:lineRule="auto"/>
              <w:rPr>
                <w:rFonts w:ascii="宋体" w:hAnsi="宋体" w:cs="仿宋"/>
                <w:kern w:val="0"/>
                <w:sz w:val="24"/>
                <w:highlight w:val="none"/>
              </w:rPr>
            </w:pPr>
            <w:r>
              <w:rPr>
                <w:rFonts w:hint="eastAsia" w:ascii="宋体" w:hAnsi="宋体" w:cs="仿宋"/>
                <w:kern w:val="0"/>
                <w:sz w:val="24"/>
                <w:highlight w:val="none"/>
              </w:rPr>
              <w:t>培训方案：评委根据供应商提供的培训方案进行评分，包括：培训人员数量及资质；培训时间与次数；培训课程全面性与合理性；培训团队资质与实力；培训计划完整性与合理性等。优得4-5分，良得2-3分，一般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jc w:val="center"/>
        </w:trPr>
        <w:tc>
          <w:tcPr>
            <w:tcW w:w="766" w:type="dxa"/>
            <w:tcBorders>
              <w:left w:val="single" w:color="auto" w:sz="4" w:space="0"/>
              <w:right w:val="single" w:color="auto" w:sz="4" w:space="0"/>
            </w:tcBorders>
            <w:vAlign w:val="center"/>
          </w:tcPr>
          <w:p>
            <w:pPr>
              <w:snapToGrid w:val="0"/>
              <w:jc w:val="center"/>
              <w:rPr>
                <w:rFonts w:ascii="宋体" w:hAnsi="宋体" w:cs="仿宋"/>
                <w:kern w:val="0"/>
                <w:sz w:val="24"/>
                <w:highlight w:val="none"/>
              </w:rPr>
            </w:pPr>
            <w:r>
              <w:rPr>
                <w:rFonts w:ascii="宋体" w:hAnsi="宋体" w:cs="仿宋"/>
                <w:kern w:val="0"/>
                <w:sz w:val="24"/>
                <w:highlight w:val="none"/>
              </w:rPr>
              <w:t>4</w:t>
            </w:r>
          </w:p>
        </w:tc>
        <w:tc>
          <w:tcPr>
            <w:tcW w:w="1340" w:type="dxa"/>
            <w:tcBorders>
              <w:left w:val="single" w:color="auto" w:sz="4" w:space="0"/>
              <w:right w:val="single" w:color="auto" w:sz="4" w:space="0"/>
            </w:tcBorders>
            <w:vAlign w:val="center"/>
          </w:tcPr>
          <w:p>
            <w:pPr>
              <w:snapToGrid w:val="0"/>
              <w:spacing w:line="360" w:lineRule="auto"/>
              <w:jc w:val="center"/>
              <w:rPr>
                <w:rFonts w:ascii="宋体" w:hAnsi="宋体" w:cs="仿宋"/>
                <w:kern w:val="0"/>
                <w:sz w:val="24"/>
                <w:highlight w:val="none"/>
              </w:rPr>
            </w:pPr>
            <w:r>
              <w:rPr>
                <w:rFonts w:hint="eastAsia" w:ascii="宋体" w:hAnsi="宋体" w:cs="仿宋"/>
                <w:kern w:val="0"/>
                <w:sz w:val="24"/>
                <w:highlight w:val="none"/>
              </w:rPr>
              <w:t>业绩</w:t>
            </w:r>
          </w:p>
          <w:p>
            <w:pPr>
              <w:snapToGrid w:val="0"/>
              <w:spacing w:line="360" w:lineRule="auto"/>
              <w:jc w:val="center"/>
              <w:rPr>
                <w:rFonts w:ascii="宋体" w:hAnsi="宋体" w:cs="仿宋"/>
                <w:kern w:val="0"/>
                <w:sz w:val="24"/>
                <w:highlight w:val="none"/>
              </w:rPr>
            </w:pPr>
            <w:r>
              <w:rPr>
                <w:rFonts w:hint="eastAsia" w:ascii="宋体" w:hAnsi="宋体" w:cs="仿宋"/>
                <w:kern w:val="0"/>
                <w:sz w:val="24"/>
                <w:highlight w:val="none"/>
              </w:rPr>
              <w:t>（10分）</w:t>
            </w:r>
          </w:p>
        </w:tc>
        <w:tc>
          <w:tcPr>
            <w:tcW w:w="7581" w:type="dxa"/>
            <w:gridSpan w:val="2"/>
            <w:tcBorders>
              <w:top w:val="single" w:color="auto" w:sz="4" w:space="0"/>
              <w:left w:val="single" w:color="auto" w:sz="4" w:space="0"/>
              <w:right w:val="single" w:color="auto" w:sz="4" w:space="0"/>
            </w:tcBorders>
            <w:vAlign w:val="center"/>
          </w:tcPr>
          <w:p>
            <w:pPr>
              <w:pStyle w:val="46"/>
              <w:snapToGrid w:val="0"/>
              <w:spacing w:line="360" w:lineRule="auto"/>
              <w:jc w:val="both"/>
              <w:rPr>
                <w:rFonts w:cs="仿宋"/>
                <w:sz w:val="24"/>
                <w:szCs w:val="24"/>
                <w:highlight w:val="none"/>
                <w:lang w:val="en-US" w:bidi="ar-SA"/>
              </w:rPr>
            </w:pPr>
            <w:r>
              <w:rPr>
                <w:rFonts w:hint="eastAsia" w:cs="仿宋"/>
                <w:sz w:val="24"/>
                <w:szCs w:val="24"/>
                <w:highlight w:val="none"/>
                <w:lang w:val="en-US" w:bidi="ar-SA"/>
              </w:rPr>
              <w:t>投标人提供所投产品自2017年1月1日以来完成的同类虚拟仿真实验项目的成功案例，每提供一份得2分，最多10分（提供销售合同复印件并加盖公章，拟中标单位原件备查）。无案例或未能提供相关符合条件的证明文件的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仿宋"/>
                <w:kern w:val="0"/>
                <w:sz w:val="24"/>
                <w:highlight w:val="none"/>
              </w:rPr>
            </w:pPr>
            <w:r>
              <w:rPr>
                <w:rFonts w:hint="eastAsia" w:ascii="宋体" w:hAnsi="宋体" w:cs="仿宋"/>
                <w:kern w:val="0"/>
                <w:sz w:val="24"/>
                <w:highlight w:val="none"/>
              </w:rPr>
              <w:t>5</w:t>
            </w:r>
          </w:p>
        </w:tc>
        <w:tc>
          <w:tcPr>
            <w:tcW w:w="134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仿宋"/>
                <w:kern w:val="0"/>
                <w:sz w:val="24"/>
                <w:highlight w:val="none"/>
              </w:rPr>
            </w:pPr>
            <w:r>
              <w:rPr>
                <w:rFonts w:hint="eastAsia" w:ascii="宋体" w:hAnsi="宋体" w:cs="仿宋"/>
                <w:kern w:val="0"/>
                <w:sz w:val="24"/>
                <w:highlight w:val="none"/>
              </w:rPr>
              <w:t>成功案例演示与讲解</w:t>
            </w:r>
          </w:p>
          <w:p>
            <w:pPr>
              <w:snapToGrid w:val="0"/>
              <w:spacing w:line="360" w:lineRule="auto"/>
              <w:jc w:val="center"/>
              <w:rPr>
                <w:rFonts w:ascii="宋体" w:hAnsi="宋体" w:cs="仿宋"/>
                <w:kern w:val="0"/>
                <w:sz w:val="24"/>
                <w:highlight w:val="none"/>
              </w:rPr>
            </w:pPr>
            <w:r>
              <w:rPr>
                <w:rFonts w:ascii="宋体" w:hAnsi="宋体" w:cs="仿宋"/>
                <w:kern w:val="0"/>
                <w:sz w:val="24"/>
                <w:highlight w:val="none"/>
              </w:rPr>
              <w:t>(</w:t>
            </w:r>
            <w:r>
              <w:rPr>
                <w:rFonts w:hint="eastAsia" w:ascii="宋体" w:hAnsi="宋体" w:cs="仿宋"/>
                <w:kern w:val="0"/>
                <w:sz w:val="24"/>
                <w:highlight w:val="none"/>
              </w:rPr>
              <w:t>10分)</w:t>
            </w:r>
          </w:p>
        </w:tc>
        <w:tc>
          <w:tcPr>
            <w:tcW w:w="758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仿宋"/>
                <w:kern w:val="0"/>
                <w:sz w:val="24"/>
                <w:highlight w:val="none"/>
              </w:rPr>
            </w:pPr>
            <w:r>
              <w:rPr>
                <w:rFonts w:hint="eastAsia" w:ascii="宋体" w:hAnsi="宋体" w:cs="仿宋"/>
                <w:kern w:val="0"/>
                <w:sz w:val="24"/>
                <w:highlight w:val="none"/>
              </w:rPr>
              <w:t>类似项目案例视频展示，总时间不得超过</w:t>
            </w:r>
            <w:r>
              <w:rPr>
                <w:rFonts w:ascii="宋体" w:hAnsi="宋体" w:cs="仿宋"/>
                <w:kern w:val="0"/>
                <w:sz w:val="24"/>
                <w:highlight w:val="none"/>
              </w:rPr>
              <w:t>10</w:t>
            </w:r>
            <w:r>
              <w:rPr>
                <w:rFonts w:hint="eastAsia" w:ascii="宋体" w:hAnsi="宋体" w:cs="仿宋"/>
                <w:kern w:val="0"/>
                <w:sz w:val="24"/>
                <w:highlight w:val="none"/>
              </w:rPr>
              <w:t>分钟，视频格式mp4，以U盘存储提交</w:t>
            </w:r>
          </w:p>
          <w:p>
            <w:pPr>
              <w:snapToGrid w:val="0"/>
              <w:spacing w:line="360" w:lineRule="auto"/>
              <w:rPr>
                <w:rFonts w:ascii="宋体" w:hAnsi="宋体" w:cs="仿宋"/>
                <w:kern w:val="0"/>
                <w:sz w:val="24"/>
                <w:highlight w:val="none"/>
              </w:rPr>
            </w:pPr>
            <w:r>
              <w:rPr>
                <w:rFonts w:hint="eastAsia" w:ascii="宋体" w:hAnsi="宋体" w:cs="仿宋"/>
                <w:kern w:val="0"/>
                <w:sz w:val="24"/>
                <w:highlight w:val="none"/>
              </w:rPr>
              <w:t>内容包括：虚仿实验项目展示（满分10分，共演示虚仿实验项目两个每个分值为5分）：近两年服务同类项目的案例演示（网页版介绍），网页版演示功能齐全且符合虚拟仿真教学实验项目要求，演示效果优异得5分，演示效果中等得</w:t>
            </w:r>
            <w:r>
              <w:rPr>
                <w:rFonts w:ascii="宋体" w:hAnsi="宋体" w:cs="仿宋"/>
                <w:kern w:val="0"/>
                <w:sz w:val="24"/>
                <w:highlight w:val="none"/>
              </w:rPr>
              <w:t>3</w:t>
            </w:r>
            <w:r>
              <w:rPr>
                <w:rFonts w:hint="eastAsia" w:ascii="宋体" w:hAnsi="宋体" w:cs="仿宋"/>
                <w:kern w:val="0"/>
                <w:sz w:val="24"/>
                <w:highlight w:val="none"/>
              </w:rPr>
              <w:t>分，一般得2分，不演示得0分。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仿宋"/>
                <w:kern w:val="0"/>
                <w:sz w:val="24"/>
                <w:highlight w:val="none"/>
              </w:rPr>
            </w:pPr>
            <w:r>
              <w:rPr>
                <w:rFonts w:hint="eastAsia" w:ascii="宋体" w:hAnsi="宋体" w:cs="仿宋"/>
                <w:kern w:val="0"/>
                <w:sz w:val="24"/>
                <w:highlight w:val="none"/>
              </w:rPr>
              <w:t>6</w:t>
            </w:r>
          </w:p>
        </w:tc>
        <w:tc>
          <w:tcPr>
            <w:tcW w:w="134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仿宋"/>
                <w:kern w:val="0"/>
                <w:sz w:val="24"/>
                <w:highlight w:val="none"/>
              </w:rPr>
            </w:pPr>
            <w:r>
              <w:rPr>
                <w:rFonts w:hint="eastAsia" w:ascii="宋体" w:hAnsi="宋体" w:cs="仿宋"/>
                <w:kern w:val="0"/>
                <w:sz w:val="24"/>
                <w:highlight w:val="none"/>
              </w:rPr>
              <w:t>投标文件制作</w:t>
            </w:r>
          </w:p>
          <w:p>
            <w:pPr>
              <w:snapToGrid w:val="0"/>
              <w:spacing w:line="360" w:lineRule="auto"/>
              <w:rPr>
                <w:rFonts w:ascii="宋体" w:hAnsi="宋体" w:cs="仿宋"/>
                <w:kern w:val="0"/>
                <w:sz w:val="24"/>
                <w:highlight w:val="none"/>
              </w:rPr>
            </w:pPr>
            <w:r>
              <w:rPr>
                <w:rFonts w:hint="eastAsia" w:ascii="宋体" w:hAnsi="宋体" w:cs="仿宋"/>
                <w:kern w:val="0"/>
                <w:sz w:val="24"/>
                <w:highlight w:val="none"/>
              </w:rPr>
              <w:t>（2分）</w:t>
            </w:r>
          </w:p>
        </w:tc>
        <w:tc>
          <w:tcPr>
            <w:tcW w:w="758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仿宋"/>
                <w:kern w:val="0"/>
                <w:sz w:val="24"/>
                <w:highlight w:val="none"/>
              </w:rPr>
            </w:pPr>
            <w:r>
              <w:rPr>
                <w:rFonts w:hint="eastAsia" w:ascii="宋体" w:hAnsi="宋体" w:cs="仿宋"/>
                <w:kern w:val="0"/>
                <w:sz w:val="24"/>
                <w:highlight w:val="none"/>
              </w:rPr>
              <w:t>文件内容完备，格式规范，封装整齐，满足招标文件要求得2分。未经胶封（如文件夹或订书机等）此项不得分。</w:t>
            </w:r>
          </w:p>
        </w:tc>
      </w:tr>
    </w:tbl>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r>
        <w:rPr>
          <w:rFonts w:hint="eastAsia"/>
          <w:b/>
          <w:sz w:val="28"/>
          <w:szCs w:val="28"/>
          <w:highlight w:val="none"/>
        </w:rPr>
        <w:t>附件</w:t>
      </w:r>
      <w:r>
        <w:rPr>
          <w:b/>
          <w:sz w:val="28"/>
          <w:szCs w:val="28"/>
          <w:highlight w:val="none"/>
        </w:rPr>
        <w:t>6</w:t>
      </w:r>
      <w:r>
        <w:rPr>
          <w:rFonts w:hint="eastAsia"/>
          <w:b/>
          <w:sz w:val="28"/>
          <w:szCs w:val="28"/>
          <w:highlight w:val="none"/>
        </w:rPr>
        <w:t>：</w:t>
      </w:r>
    </w:p>
    <w:p>
      <w:pPr>
        <w:adjustRightInd w:val="0"/>
        <w:snapToGrid w:val="0"/>
        <w:spacing w:before="156" w:beforeLines="50" w:after="156" w:afterLines="50" w:line="360" w:lineRule="auto"/>
        <w:jc w:val="center"/>
        <w:outlineLvl w:val="0"/>
        <w:rPr>
          <w:rFonts w:ascii="黑体" w:hAnsi="黑体" w:eastAsia="黑体"/>
          <w:b/>
          <w:bCs/>
          <w:sz w:val="34"/>
          <w:highlight w:val="none"/>
        </w:rPr>
      </w:pPr>
      <w:r>
        <w:rPr>
          <w:rFonts w:hint="eastAsia" w:ascii="黑体" w:hAnsi="黑体" w:eastAsia="黑体"/>
          <w:b/>
          <w:sz w:val="34"/>
          <w:highlight w:val="none"/>
        </w:rPr>
        <w:t>采购合同</w:t>
      </w:r>
    </w:p>
    <w:p>
      <w:pPr>
        <w:pStyle w:val="9"/>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项目名称：</w:t>
      </w:r>
    </w:p>
    <w:p>
      <w:pPr>
        <w:pStyle w:val="9"/>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项目编号：</w:t>
      </w:r>
    </w:p>
    <w:p>
      <w:pPr>
        <w:pStyle w:val="9"/>
        <w:adjustRightInd w:val="0"/>
        <w:snapToGrid w:val="0"/>
        <w:spacing w:before="120" w:after="120" w:line="360" w:lineRule="auto"/>
        <w:ind w:firstLine="658"/>
        <w:rPr>
          <w:rFonts w:hAnsi="宋体"/>
          <w:sz w:val="24"/>
          <w:szCs w:val="24"/>
          <w:highlight w:val="none"/>
          <w:u w:val="single"/>
        </w:rPr>
      </w:pPr>
      <w:r>
        <w:rPr>
          <w:rFonts w:hint="eastAsia" w:hAnsi="宋体"/>
          <w:sz w:val="24"/>
          <w:szCs w:val="24"/>
          <w:highlight w:val="none"/>
        </w:rPr>
        <w:t>甲方：（买方）</w:t>
      </w:r>
      <w:r>
        <w:rPr>
          <w:rFonts w:hAnsi="宋体"/>
          <w:sz w:val="24"/>
          <w:szCs w:val="24"/>
          <w:highlight w:val="none"/>
        </w:rPr>
        <w:t>__________________</w:t>
      </w:r>
    </w:p>
    <w:p>
      <w:pPr>
        <w:pStyle w:val="9"/>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乙方：（卖方）</w:t>
      </w:r>
      <w:r>
        <w:rPr>
          <w:rFonts w:hAnsi="宋体"/>
          <w:sz w:val="24"/>
          <w:szCs w:val="24"/>
          <w:highlight w:val="none"/>
        </w:rPr>
        <w:t>__________________</w:t>
      </w:r>
    </w:p>
    <w:p>
      <w:pPr>
        <w:pStyle w:val="9"/>
        <w:adjustRightInd w:val="0"/>
        <w:snapToGrid w:val="0"/>
        <w:spacing w:before="120" w:after="120" w:line="360" w:lineRule="auto"/>
        <w:ind w:firstLine="658"/>
        <w:rPr>
          <w:rFonts w:hAnsi="宋体"/>
          <w:b/>
          <w:sz w:val="24"/>
          <w:szCs w:val="24"/>
          <w:highlight w:val="none"/>
        </w:rPr>
      </w:pPr>
      <w:r>
        <w:rPr>
          <w:rFonts w:hint="eastAsia" w:hAnsi="宋体"/>
          <w:sz w:val="24"/>
          <w:szCs w:val="24"/>
          <w:highlight w:val="none"/>
        </w:rPr>
        <w:t>甲、乙双方根据甲方项目采购谈判的结果，签署本合同。</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一、货物内容</w:t>
      </w:r>
    </w:p>
    <w:tbl>
      <w:tblPr>
        <w:tblStyle w:val="16"/>
        <w:tblW w:w="10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165"/>
        <w:gridCol w:w="1115"/>
        <w:gridCol w:w="1160"/>
        <w:gridCol w:w="1160"/>
        <w:gridCol w:w="1160"/>
        <w:gridCol w:w="1160"/>
        <w:gridCol w:w="116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b/>
                <w:sz w:val="24"/>
                <w:highlight w:val="none"/>
              </w:rPr>
            </w:pPr>
            <w:r>
              <w:rPr>
                <w:rFonts w:hint="eastAsia" w:ascii="宋体" w:hAnsi="宋体"/>
                <w:b/>
                <w:sz w:val="24"/>
                <w:highlight w:val="none"/>
              </w:rPr>
              <w:t>分包号</w:t>
            </w:r>
          </w:p>
        </w:tc>
        <w:tc>
          <w:tcPr>
            <w:tcW w:w="1165" w:type="dxa"/>
            <w:vAlign w:val="center"/>
          </w:tcPr>
          <w:p>
            <w:pPr>
              <w:spacing w:line="360" w:lineRule="auto"/>
              <w:jc w:val="center"/>
              <w:rPr>
                <w:rFonts w:ascii="宋体"/>
                <w:b/>
                <w:sz w:val="24"/>
                <w:highlight w:val="none"/>
              </w:rPr>
            </w:pPr>
            <w:r>
              <w:rPr>
                <w:rFonts w:hint="eastAsia" w:ascii="宋体" w:hAnsi="宋体"/>
                <w:b/>
                <w:sz w:val="24"/>
                <w:highlight w:val="none"/>
              </w:rPr>
              <w:t>货物</w:t>
            </w:r>
          </w:p>
          <w:p>
            <w:pPr>
              <w:spacing w:line="360" w:lineRule="auto"/>
              <w:jc w:val="center"/>
              <w:rPr>
                <w:rFonts w:ascii="宋体"/>
                <w:b/>
                <w:sz w:val="24"/>
                <w:highlight w:val="none"/>
              </w:rPr>
            </w:pPr>
            <w:r>
              <w:rPr>
                <w:rFonts w:hint="eastAsia" w:ascii="宋体" w:hAnsi="宋体"/>
                <w:b/>
                <w:sz w:val="24"/>
                <w:highlight w:val="none"/>
              </w:rPr>
              <w:t>名称</w:t>
            </w:r>
          </w:p>
        </w:tc>
        <w:tc>
          <w:tcPr>
            <w:tcW w:w="1115" w:type="dxa"/>
            <w:vAlign w:val="center"/>
          </w:tcPr>
          <w:p>
            <w:pPr>
              <w:spacing w:line="360" w:lineRule="auto"/>
              <w:jc w:val="center"/>
              <w:rPr>
                <w:rFonts w:ascii="宋体"/>
                <w:b/>
                <w:sz w:val="24"/>
                <w:highlight w:val="none"/>
              </w:rPr>
            </w:pPr>
            <w:r>
              <w:rPr>
                <w:rFonts w:hint="eastAsia" w:ascii="宋体" w:hAnsi="宋体"/>
                <w:b/>
                <w:sz w:val="24"/>
                <w:highlight w:val="none"/>
              </w:rPr>
              <w:t>型号</w:t>
            </w:r>
            <w:r>
              <w:rPr>
                <w:rFonts w:ascii="宋体" w:hAnsi="宋体"/>
                <w:b/>
                <w:sz w:val="24"/>
                <w:highlight w:val="none"/>
              </w:rPr>
              <w:t>/</w:t>
            </w:r>
          </w:p>
          <w:p>
            <w:pPr>
              <w:spacing w:line="360" w:lineRule="auto"/>
              <w:jc w:val="center"/>
              <w:rPr>
                <w:rFonts w:ascii="宋体"/>
                <w:b/>
                <w:sz w:val="24"/>
                <w:highlight w:val="none"/>
              </w:rPr>
            </w:pPr>
            <w:r>
              <w:rPr>
                <w:rFonts w:hint="eastAsia" w:ascii="宋体" w:hAnsi="宋体"/>
                <w:b/>
                <w:sz w:val="24"/>
                <w:highlight w:val="none"/>
              </w:rPr>
              <w:t>规格</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品牌</w:t>
            </w:r>
            <w:r>
              <w:rPr>
                <w:rFonts w:ascii="宋体" w:hAnsi="宋体"/>
                <w:b/>
                <w:sz w:val="24"/>
                <w:highlight w:val="none"/>
              </w:rPr>
              <w:t>/</w:t>
            </w:r>
            <w:r>
              <w:rPr>
                <w:rFonts w:hint="eastAsia" w:ascii="宋体" w:hAnsi="宋体"/>
                <w:b/>
                <w:sz w:val="24"/>
                <w:highlight w:val="none"/>
              </w:rPr>
              <w:t>生产厂家</w:t>
            </w:r>
            <w:r>
              <w:rPr>
                <w:rFonts w:ascii="宋体" w:hAnsi="宋体"/>
                <w:b/>
                <w:sz w:val="24"/>
                <w:highlight w:val="none"/>
              </w:rPr>
              <w:t>/</w:t>
            </w:r>
            <w:r>
              <w:rPr>
                <w:rFonts w:hint="eastAsia" w:ascii="宋体" w:hAnsi="宋体"/>
                <w:b/>
                <w:sz w:val="24"/>
                <w:highlight w:val="none"/>
              </w:rPr>
              <w:t>国别</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计量</w:t>
            </w:r>
          </w:p>
          <w:p>
            <w:pPr>
              <w:spacing w:line="360" w:lineRule="auto"/>
              <w:jc w:val="center"/>
              <w:rPr>
                <w:rFonts w:ascii="宋体"/>
                <w:b/>
                <w:sz w:val="24"/>
                <w:highlight w:val="none"/>
              </w:rPr>
            </w:pPr>
            <w:r>
              <w:rPr>
                <w:rFonts w:hint="eastAsia" w:ascii="宋体" w:hAnsi="宋体"/>
                <w:b/>
                <w:sz w:val="24"/>
                <w:highlight w:val="none"/>
              </w:rPr>
              <w:t>单位</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数量</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单价</w:t>
            </w:r>
          </w:p>
        </w:tc>
        <w:tc>
          <w:tcPr>
            <w:tcW w:w="1162" w:type="dxa"/>
            <w:vAlign w:val="center"/>
          </w:tcPr>
          <w:p>
            <w:pPr>
              <w:spacing w:line="360" w:lineRule="auto"/>
              <w:jc w:val="center"/>
              <w:rPr>
                <w:rFonts w:ascii="宋体"/>
                <w:b/>
                <w:sz w:val="24"/>
                <w:highlight w:val="none"/>
              </w:rPr>
            </w:pPr>
            <w:r>
              <w:rPr>
                <w:rFonts w:hint="eastAsia" w:ascii="宋体" w:hAnsi="宋体"/>
                <w:b/>
                <w:sz w:val="24"/>
                <w:highlight w:val="none"/>
              </w:rPr>
              <w:t>每项</w:t>
            </w:r>
          </w:p>
          <w:p>
            <w:pPr>
              <w:spacing w:line="360" w:lineRule="auto"/>
              <w:jc w:val="center"/>
              <w:rPr>
                <w:rFonts w:ascii="宋体"/>
                <w:b/>
                <w:sz w:val="24"/>
                <w:highlight w:val="none"/>
              </w:rPr>
            </w:pPr>
            <w:r>
              <w:rPr>
                <w:rFonts w:hint="eastAsia" w:ascii="宋体" w:hAnsi="宋体"/>
                <w:b/>
                <w:sz w:val="24"/>
                <w:highlight w:val="none"/>
              </w:rPr>
              <w:t>总价</w:t>
            </w:r>
          </w:p>
        </w:tc>
        <w:tc>
          <w:tcPr>
            <w:tcW w:w="1171" w:type="dxa"/>
            <w:vAlign w:val="center"/>
          </w:tcPr>
          <w:p>
            <w:pPr>
              <w:spacing w:line="360" w:lineRule="auto"/>
              <w:jc w:val="center"/>
              <w:rPr>
                <w:rFonts w:ascii="宋体"/>
                <w:b/>
                <w:sz w:val="24"/>
                <w:highlight w:val="none"/>
              </w:rPr>
            </w:pPr>
            <w:r>
              <w:rPr>
                <w:rFonts w:hint="eastAsia" w:ascii="宋体" w:hAnsi="宋体"/>
                <w:b/>
                <w:sz w:val="24"/>
                <w:highlight w:val="none"/>
              </w:rPr>
              <w:t>质保时间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gridSpan w:val="2"/>
            <w:vAlign w:val="center"/>
          </w:tcPr>
          <w:p>
            <w:pPr>
              <w:spacing w:line="360" w:lineRule="auto"/>
              <w:jc w:val="center"/>
              <w:rPr>
                <w:rFonts w:ascii="宋体"/>
                <w:sz w:val="24"/>
                <w:highlight w:val="none"/>
              </w:rPr>
            </w:pPr>
            <w:r>
              <w:rPr>
                <w:rFonts w:hint="eastAsia" w:ascii="宋体" w:hAnsi="宋体"/>
                <w:sz w:val="24"/>
                <w:highlight w:val="none"/>
              </w:rPr>
              <w:t>合计总价</w:t>
            </w:r>
          </w:p>
        </w:tc>
        <w:tc>
          <w:tcPr>
            <w:tcW w:w="8088" w:type="dxa"/>
            <w:gridSpan w:val="7"/>
            <w:vAlign w:val="center"/>
          </w:tcPr>
          <w:p>
            <w:pPr>
              <w:spacing w:line="360" w:lineRule="auto"/>
              <w:rPr>
                <w:rFonts w:ascii="宋体"/>
                <w:sz w:val="24"/>
                <w:highlight w:val="none"/>
                <w:u w:val="single"/>
              </w:rPr>
            </w:pPr>
            <w:r>
              <w:rPr>
                <w:rFonts w:hint="eastAsia" w:ascii="宋体" w:hAnsi="宋体"/>
                <w:sz w:val="24"/>
                <w:highlight w:val="none"/>
              </w:rPr>
              <w:t>大写：      小写：      元</w:t>
            </w:r>
          </w:p>
        </w:tc>
      </w:tr>
    </w:tbl>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二、合同金额</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2.1 </w:t>
      </w:r>
      <w:r>
        <w:rPr>
          <w:rFonts w:hint="eastAsia" w:hAnsi="宋体"/>
          <w:sz w:val="24"/>
          <w:szCs w:val="24"/>
          <w:highlight w:val="none"/>
        </w:rPr>
        <w:t>本合同金额为（大写）：</w:t>
      </w:r>
      <w:r>
        <w:rPr>
          <w:rFonts w:hAnsi="宋体"/>
          <w:sz w:val="24"/>
          <w:szCs w:val="24"/>
          <w:highlight w:val="none"/>
        </w:rPr>
        <w:t>________________________</w:t>
      </w:r>
      <w:r>
        <w:rPr>
          <w:rFonts w:hint="eastAsia" w:hAnsi="宋体"/>
          <w:sz w:val="24"/>
          <w:szCs w:val="24"/>
          <w:highlight w:val="none"/>
        </w:rPr>
        <w:t>元人民币。</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三、技术资料</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3.1</w:t>
      </w:r>
      <w:r>
        <w:rPr>
          <w:rFonts w:hint="eastAsia" w:hAnsi="宋体"/>
          <w:sz w:val="24"/>
          <w:szCs w:val="24"/>
          <w:highlight w:val="none"/>
        </w:rPr>
        <w:t>乙方应按采购文件规定的时间向甲方提供使用货物的有关技术资料。</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3.2 </w:t>
      </w:r>
      <w:r>
        <w:rPr>
          <w:rFonts w:hint="eastAsia" w:hAnsi="宋体"/>
          <w:sz w:val="24"/>
          <w:szCs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9"/>
        <w:adjustRightInd w:val="0"/>
        <w:snapToGrid w:val="0"/>
        <w:spacing w:before="120" w:after="120" w:line="360" w:lineRule="auto"/>
        <w:ind w:left="50" w:firstLine="660"/>
        <w:rPr>
          <w:rFonts w:hAnsi="宋体"/>
          <w:b/>
          <w:sz w:val="24"/>
          <w:szCs w:val="24"/>
          <w:highlight w:val="none"/>
        </w:rPr>
      </w:pPr>
      <w:r>
        <w:rPr>
          <w:rFonts w:hint="eastAsia" w:hAnsi="宋体"/>
          <w:b/>
          <w:sz w:val="24"/>
          <w:szCs w:val="24"/>
          <w:highlight w:val="none"/>
        </w:rPr>
        <w:t>四、知识产权</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4.1</w:t>
      </w:r>
      <w:r>
        <w:rPr>
          <w:rFonts w:hint="eastAsia" w:hAnsi="宋体"/>
          <w:sz w:val="24"/>
          <w:szCs w:val="24"/>
          <w:highlight w:val="none"/>
        </w:rPr>
        <w:t>乙方应保证甲方在使用、接受本合同货物和服务或其任何一部分时不受第三方提出侵犯其专利权、版权、商标权和工业设计权等知识产权的起诉。一旦出现侵权，由乙方负全部责任。</w:t>
      </w:r>
    </w:p>
    <w:p>
      <w:pPr>
        <w:pStyle w:val="9"/>
        <w:adjustRightInd w:val="0"/>
        <w:snapToGrid w:val="0"/>
        <w:spacing w:before="120" w:after="120" w:line="360" w:lineRule="auto"/>
        <w:ind w:firstLine="660"/>
        <w:rPr>
          <w:rFonts w:hAnsi="宋体"/>
          <w:sz w:val="24"/>
          <w:szCs w:val="24"/>
          <w:highlight w:val="none"/>
          <w:u w:val="single"/>
        </w:rPr>
      </w:pPr>
      <w:r>
        <w:rPr>
          <w:rFonts w:hint="eastAsia" w:hAnsi="宋体"/>
          <w:b/>
          <w:sz w:val="24"/>
          <w:szCs w:val="24"/>
          <w:highlight w:val="none"/>
        </w:rPr>
        <w:t>五、产权担保</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5.1 </w:t>
      </w:r>
      <w:r>
        <w:rPr>
          <w:rFonts w:hint="eastAsia" w:hAnsi="宋体"/>
          <w:sz w:val="24"/>
          <w:szCs w:val="24"/>
          <w:highlight w:val="none"/>
        </w:rPr>
        <w:t>乙方保证所交付的货物的所有权完全属于乙方且无任何抵押、查封等产权瑕疵。</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六、履约保证金</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6.1 </w:t>
      </w:r>
      <w:r>
        <w:rPr>
          <w:rFonts w:hint="eastAsia" w:hAnsi="宋体"/>
          <w:sz w:val="24"/>
          <w:szCs w:val="24"/>
          <w:highlight w:val="none"/>
        </w:rPr>
        <w:t>乙方交纳人民币</w:t>
      </w:r>
      <w:r>
        <w:rPr>
          <w:rFonts w:hAnsi="宋体"/>
          <w:sz w:val="24"/>
          <w:szCs w:val="24"/>
          <w:highlight w:val="none"/>
        </w:rPr>
        <w:t>_____</w:t>
      </w:r>
      <w:r>
        <w:rPr>
          <w:rFonts w:hint="eastAsia" w:hAnsi="宋体"/>
          <w:sz w:val="24"/>
          <w:szCs w:val="24"/>
          <w:highlight w:val="none"/>
        </w:rPr>
        <w:t>元作为本合同的履约保证金。</w:t>
      </w:r>
    </w:p>
    <w:p>
      <w:pPr>
        <w:adjustRightInd w:val="0"/>
        <w:snapToGrid w:val="0"/>
        <w:spacing w:before="156" w:beforeLines="50" w:after="156" w:afterLines="50" w:line="360" w:lineRule="auto"/>
        <w:ind w:firstLine="480"/>
        <w:rPr>
          <w:rFonts w:ascii="宋体" w:cs="Courier New"/>
          <w:b/>
          <w:sz w:val="24"/>
          <w:highlight w:val="none"/>
        </w:rPr>
      </w:pPr>
      <w:r>
        <w:rPr>
          <w:rFonts w:hint="eastAsia" w:ascii="宋体" w:hAnsi="宋体" w:cs="Courier New"/>
          <w:b/>
          <w:sz w:val="24"/>
          <w:highlight w:val="none"/>
        </w:rPr>
        <w:t>七</w:t>
      </w:r>
      <w:r>
        <w:rPr>
          <w:rFonts w:ascii="宋体" w:cs="Courier New"/>
          <w:b/>
          <w:sz w:val="24"/>
          <w:highlight w:val="none"/>
        </w:rPr>
        <w:t>.</w:t>
      </w:r>
      <w:r>
        <w:rPr>
          <w:rFonts w:hint="eastAsia" w:ascii="宋体" w:hAnsi="宋体" w:cs="Courier New"/>
          <w:b/>
          <w:sz w:val="24"/>
          <w:highlight w:val="none"/>
        </w:rPr>
        <w:t>转包或分包</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7.1</w:t>
      </w:r>
      <w:r>
        <w:rPr>
          <w:rFonts w:hint="eastAsia" w:hAnsi="宋体"/>
          <w:sz w:val="24"/>
          <w:szCs w:val="24"/>
          <w:highlight w:val="none"/>
        </w:rPr>
        <w:t>本合同范围的货物，应由乙方直接供应，不得转让他人供应；</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7.2</w:t>
      </w:r>
      <w:r>
        <w:rPr>
          <w:rFonts w:hint="eastAsia" w:hAnsi="宋体"/>
          <w:sz w:val="24"/>
          <w:szCs w:val="24"/>
          <w:highlight w:val="none"/>
        </w:rPr>
        <w:t>除非得到甲方的书面同意，乙方不得部分分包给他人供应。</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7.3</w:t>
      </w:r>
      <w:r>
        <w:rPr>
          <w:rFonts w:hint="eastAsia" w:hAnsi="宋体"/>
          <w:sz w:val="24"/>
          <w:szCs w:val="24"/>
          <w:highlight w:val="none"/>
        </w:rPr>
        <w:t>如有转让和未经甲方同意的分包行为，甲方有权给予终止合同。</w:t>
      </w:r>
    </w:p>
    <w:p>
      <w:pPr>
        <w:pStyle w:val="9"/>
        <w:adjustRightInd w:val="0"/>
        <w:snapToGrid w:val="0"/>
        <w:spacing w:before="120" w:after="120" w:line="360" w:lineRule="auto"/>
        <w:ind w:firstLine="660"/>
        <w:rPr>
          <w:rFonts w:hAnsi="宋体"/>
          <w:sz w:val="24"/>
          <w:szCs w:val="24"/>
          <w:highlight w:val="none"/>
        </w:rPr>
      </w:pPr>
      <w:r>
        <w:rPr>
          <w:rFonts w:hint="eastAsia" w:hAnsi="宋体"/>
          <w:b/>
          <w:sz w:val="24"/>
          <w:szCs w:val="24"/>
          <w:highlight w:val="none"/>
        </w:rPr>
        <w:t>八、质保期</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8.1 </w:t>
      </w:r>
      <w:r>
        <w:rPr>
          <w:rFonts w:hint="eastAsia" w:hAnsi="宋体"/>
          <w:sz w:val="24"/>
          <w:szCs w:val="24"/>
          <w:highlight w:val="none"/>
        </w:rPr>
        <w:t>质保期3年。（自交货验收合格之日起计）</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九、交货期、交货方式及交货地点</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9.1 </w:t>
      </w:r>
      <w:r>
        <w:rPr>
          <w:rFonts w:hint="eastAsia" w:hAnsi="宋体"/>
          <w:sz w:val="24"/>
          <w:szCs w:val="24"/>
          <w:highlight w:val="none"/>
        </w:rPr>
        <w:t>交货期：</w:t>
      </w:r>
      <w:r>
        <w:rPr>
          <w:rFonts w:hAnsi="宋体"/>
          <w:sz w:val="24"/>
          <w:szCs w:val="24"/>
          <w:highlight w:val="none"/>
        </w:rPr>
        <w:t>_________</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9.2 </w:t>
      </w:r>
      <w:r>
        <w:rPr>
          <w:rFonts w:hint="eastAsia" w:hAnsi="宋体"/>
          <w:sz w:val="24"/>
          <w:szCs w:val="24"/>
          <w:highlight w:val="none"/>
        </w:rPr>
        <w:t>交货方式：</w:t>
      </w:r>
      <w:r>
        <w:rPr>
          <w:rFonts w:hAnsi="宋体"/>
          <w:sz w:val="24"/>
          <w:szCs w:val="24"/>
          <w:highlight w:val="none"/>
        </w:rPr>
        <w:t>_________</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9.3 </w:t>
      </w:r>
      <w:r>
        <w:rPr>
          <w:rFonts w:hint="eastAsia" w:hAnsi="宋体"/>
          <w:sz w:val="24"/>
          <w:szCs w:val="24"/>
          <w:highlight w:val="none"/>
        </w:rPr>
        <w:t>交货地点：用户单位地点或用户指定地点。</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十、货款支付</w:t>
      </w:r>
    </w:p>
    <w:p>
      <w:pPr>
        <w:pStyle w:val="9"/>
        <w:adjustRightInd w:val="0"/>
        <w:snapToGrid w:val="0"/>
        <w:spacing w:before="120" w:after="120" w:line="360" w:lineRule="auto"/>
        <w:ind w:left="48" w:firstLine="658"/>
        <w:rPr>
          <w:rFonts w:hint="eastAsia" w:hAnsi="宋体"/>
          <w:sz w:val="24"/>
          <w:szCs w:val="24"/>
          <w:highlight w:val="none"/>
          <w:lang w:eastAsia="zh-CN"/>
        </w:rPr>
      </w:pPr>
      <w:r>
        <w:rPr>
          <w:rFonts w:hAnsi="宋体"/>
          <w:sz w:val="24"/>
          <w:szCs w:val="24"/>
          <w:highlight w:val="none"/>
        </w:rPr>
        <w:t>10.1</w:t>
      </w:r>
      <w:r>
        <w:rPr>
          <w:rFonts w:hint="eastAsia" w:hAnsi="宋体"/>
          <w:sz w:val="24"/>
          <w:szCs w:val="24"/>
          <w:highlight w:val="none"/>
        </w:rPr>
        <w:t>付款方式：针对国内供应货物，签订合同后，20日内预付合同金额的30%，全部货物交货并验收合格后，凭验收凭证和货物验收合格等文件20内支付至合同金额的100%</w:t>
      </w:r>
      <w:r>
        <w:rPr>
          <w:rFonts w:hint="eastAsia" w:hAnsi="宋体"/>
          <w:sz w:val="24"/>
          <w:szCs w:val="24"/>
          <w:highlight w:val="none"/>
          <w:lang w:eastAsia="zh-CN"/>
        </w:rPr>
        <w:t>。</w:t>
      </w:r>
    </w:p>
    <w:p>
      <w:pPr>
        <w:pStyle w:val="9"/>
        <w:adjustRightInd w:val="0"/>
        <w:snapToGrid w:val="0"/>
        <w:spacing w:before="120" w:after="120" w:line="360" w:lineRule="auto"/>
        <w:ind w:left="48" w:firstLine="658"/>
        <w:rPr>
          <w:rFonts w:hAnsi="宋体"/>
          <w:sz w:val="24"/>
          <w:szCs w:val="24"/>
          <w:highlight w:val="none"/>
        </w:rPr>
      </w:pPr>
      <w:r>
        <w:rPr>
          <w:rFonts w:hint="eastAsia" w:hAnsi="宋体"/>
          <w:sz w:val="24"/>
          <w:szCs w:val="24"/>
          <w:highlight w:val="none"/>
          <w:lang w:val="en-US" w:eastAsia="zh-CN"/>
        </w:rPr>
        <w:t>验收合格后履约保证金转为质量保证金，甲方</w:t>
      </w:r>
      <w:r>
        <w:rPr>
          <w:rFonts w:hint="eastAsia" w:hAnsi="宋体"/>
          <w:sz w:val="24"/>
          <w:szCs w:val="24"/>
          <w:highlight w:val="none"/>
        </w:rPr>
        <w:t>返还</w:t>
      </w:r>
      <w:r>
        <w:rPr>
          <w:rFonts w:hint="eastAsia" w:hAnsi="宋体"/>
          <w:sz w:val="24"/>
          <w:szCs w:val="24"/>
          <w:highlight w:val="none"/>
          <w:lang w:val="en-US" w:eastAsia="zh-CN"/>
        </w:rPr>
        <w:t>50%</w:t>
      </w:r>
      <w:r>
        <w:rPr>
          <w:rFonts w:hint="eastAsia" w:hAnsi="宋体"/>
          <w:sz w:val="24"/>
          <w:szCs w:val="24"/>
          <w:highlight w:val="none"/>
        </w:rPr>
        <w:t>质量保证金</w:t>
      </w:r>
      <w:r>
        <w:rPr>
          <w:rFonts w:hint="eastAsia" w:hAnsi="宋体"/>
          <w:sz w:val="24"/>
          <w:szCs w:val="24"/>
          <w:highlight w:val="none"/>
          <w:lang w:eastAsia="zh-CN"/>
        </w:rPr>
        <w:t>。</w:t>
      </w:r>
      <w:r>
        <w:rPr>
          <w:rFonts w:hint="eastAsia" w:hAnsi="宋体"/>
          <w:sz w:val="24"/>
          <w:szCs w:val="24"/>
          <w:highlight w:val="none"/>
        </w:rPr>
        <w:t>剩余</w:t>
      </w:r>
      <w:r>
        <w:rPr>
          <w:rFonts w:hint="eastAsia" w:hAnsi="宋体"/>
          <w:sz w:val="24"/>
          <w:szCs w:val="24"/>
          <w:highlight w:val="none"/>
          <w:lang w:val="en-US" w:eastAsia="zh-CN"/>
        </w:rPr>
        <w:t>50%</w:t>
      </w:r>
      <w:r>
        <w:rPr>
          <w:rFonts w:hint="eastAsia" w:hAnsi="宋体"/>
          <w:sz w:val="24"/>
          <w:szCs w:val="24"/>
          <w:highlight w:val="none"/>
        </w:rPr>
        <w:t>质量保证金于质保期满后无</w:t>
      </w:r>
      <w:r>
        <w:rPr>
          <w:rFonts w:hAnsi="宋体"/>
          <w:sz w:val="24"/>
          <w:szCs w:val="24"/>
          <w:highlight w:val="none"/>
        </w:rPr>
        <w:t>质量问题一次性</w:t>
      </w:r>
      <w:r>
        <w:rPr>
          <w:rFonts w:hint="eastAsia" w:hAnsi="宋体"/>
          <w:sz w:val="24"/>
          <w:szCs w:val="24"/>
          <w:highlight w:val="none"/>
        </w:rPr>
        <w:t>无息付清</w:t>
      </w:r>
      <w:r>
        <w:rPr>
          <w:rFonts w:hAnsi="宋体"/>
          <w:sz w:val="24"/>
          <w:szCs w:val="24"/>
          <w:highlight w:val="none"/>
        </w:rPr>
        <w:t>。</w:t>
      </w:r>
    </w:p>
    <w:p>
      <w:pPr>
        <w:pStyle w:val="9"/>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针对国外供应货物（进口货物），由外贸公司开具全额发票，外贸合同中采用100%信用证，90%见单即付，10%凭最终用户方签字和盖章的验收报告支付。</w:t>
      </w:r>
    </w:p>
    <w:p>
      <w:pPr>
        <w:ind w:firstLine="482" w:firstLineChars="200"/>
        <w:rPr>
          <w:rFonts w:ascii="宋体"/>
          <w:b/>
          <w:sz w:val="24"/>
          <w:highlight w:val="none"/>
        </w:rPr>
      </w:pPr>
      <w:r>
        <w:rPr>
          <w:rFonts w:hint="eastAsia" w:ascii="宋体" w:hAnsi="宋体"/>
          <w:b/>
          <w:sz w:val="24"/>
          <w:highlight w:val="none"/>
        </w:rPr>
        <w:t>十一、税</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11.1</w:t>
      </w:r>
      <w:r>
        <w:rPr>
          <w:rFonts w:hint="eastAsia" w:hAnsi="宋体"/>
          <w:sz w:val="24"/>
          <w:szCs w:val="24"/>
          <w:highlight w:val="none"/>
        </w:rPr>
        <w:t>发票要求：针对国内供货的货物，乙方开具合同全额“增值税专用发票”。</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11.2</w:t>
      </w:r>
      <w:r>
        <w:rPr>
          <w:rFonts w:hint="eastAsia" w:hAnsi="宋体"/>
          <w:sz w:val="24"/>
          <w:szCs w:val="24"/>
          <w:highlight w:val="none"/>
        </w:rPr>
        <w:t>本合同执行中相关的一切税费均由乙方负担。</w:t>
      </w:r>
    </w:p>
    <w:p>
      <w:pPr>
        <w:pStyle w:val="9"/>
        <w:adjustRightInd w:val="0"/>
        <w:snapToGrid w:val="0"/>
        <w:spacing w:before="120" w:after="120" w:line="360" w:lineRule="auto"/>
        <w:ind w:left="1" w:firstLine="660"/>
        <w:rPr>
          <w:rFonts w:hAnsi="宋体"/>
          <w:sz w:val="24"/>
          <w:szCs w:val="24"/>
          <w:highlight w:val="none"/>
        </w:rPr>
      </w:pPr>
      <w:r>
        <w:rPr>
          <w:rFonts w:hint="eastAsia" w:hAnsi="宋体"/>
          <w:b/>
          <w:sz w:val="24"/>
          <w:szCs w:val="24"/>
          <w:highlight w:val="none"/>
        </w:rPr>
        <w:t>十二、质量保证及售后服务</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12.1 </w:t>
      </w:r>
      <w:r>
        <w:rPr>
          <w:rFonts w:hint="eastAsia" w:hAnsi="宋体"/>
          <w:sz w:val="24"/>
          <w:szCs w:val="24"/>
          <w:highlight w:val="none"/>
        </w:rPr>
        <w:t>乙方应按采购文件规定的货物性能、技术要求、质量标准向甲方提供未经使用的全新产品。</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12.2 </w:t>
      </w:r>
      <w:r>
        <w:rPr>
          <w:rFonts w:hint="eastAsia" w:hAnsi="宋体"/>
          <w:sz w:val="24"/>
          <w:szCs w:val="24"/>
          <w:highlight w:val="none"/>
        </w:rPr>
        <w:t>乙方提供的货物在质量期内因货物本身的质量问题发生故障，乙方应负责免费更换。对达不到技术要求者，根据实际情况，经双方协商，可按以下办法处理：</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1</w:t>
      </w:r>
      <w:r>
        <w:rPr>
          <w:rFonts w:hint="eastAsia"/>
          <w:sz w:val="24"/>
          <w:highlight w:val="none"/>
        </w:rPr>
        <w:t>）更换：由乙方承担所发生的全部费用。</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2</w:t>
      </w:r>
      <w:r>
        <w:rPr>
          <w:rFonts w:hint="eastAsia"/>
          <w:sz w:val="24"/>
          <w:highlight w:val="none"/>
        </w:rPr>
        <w:t>）贬值处理：由甲乙双方合议定价。</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3</w:t>
      </w:r>
      <w:r>
        <w:rPr>
          <w:rFonts w:hint="eastAsia"/>
          <w:sz w:val="24"/>
          <w:highlight w:val="none"/>
        </w:rPr>
        <w:t>）退货处理：乙方应退还甲方支付的合同款，同时应承担该货物的直接费用（运输、保险、检验、货款利息及银行手续费等）。</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12.3 </w:t>
      </w:r>
      <w:r>
        <w:rPr>
          <w:rFonts w:hint="eastAsia" w:hAnsi="宋体"/>
          <w:sz w:val="24"/>
          <w:szCs w:val="24"/>
          <w:highlight w:val="none"/>
        </w:rPr>
        <w:t>如在使用过程中发生质量问题，乙方在接到甲方通知后在小时内到达甲方现场。</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12.4 </w:t>
      </w:r>
      <w:r>
        <w:rPr>
          <w:rFonts w:hint="eastAsia" w:hAnsi="宋体"/>
          <w:sz w:val="24"/>
          <w:szCs w:val="24"/>
          <w:highlight w:val="none"/>
        </w:rPr>
        <w:t>在质保期内，乙方应对货物出现的质量及安全问题负责处理解决并承担一切费用。</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12.5</w:t>
      </w:r>
      <w:r>
        <w:rPr>
          <w:rFonts w:hint="eastAsia" w:hAnsi="宋体"/>
          <w:sz w:val="24"/>
          <w:szCs w:val="24"/>
          <w:highlight w:val="none"/>
        </w:rPr>
        <w:t>上述的货物免费保修期为</w:t>
      </w:r>
      <w:r>
        <w:rPr>
          <w:rFonts w:hint="eastAsia" w:hAnsi="宋体"/>
          <w:sz w:val="24"/>
          <w:szCs w:val="24"/>
          <w:highlight w:val="none"/>
          <w:u w:val="single"/>
        </w:rPr>
        <w:t xml:space="preserve">   </w:t>
      </w:r>
      <w:r>
        <w:rPr>
          <w:rFonts w:hint="eastAsia" w:hAnsi="宋体"/>
          <w:sz w:val="24"/>
          <w:szCs w:val="24"/>
          <w:highlight w:val="none"/>
        </w:rPr>
        <w:t>年，因人为因素出现的故障不在免费保修范围内。超过保修期的机器设备，终生维修，维修时只收部件成本费。</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十三、调试和验收</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13.1 </w:t>
      </w:r>
      <w:r>
        <w:rPr>
          <w:rFonts w:hint="eastAsia" w:hAnsi="宋体"/>
          <w:sz w:val="24"/>
          <w:szCs w:val="24"/>
          <w:highlight w:val="none"/>
        </w:rPr>
        <w:t>甲方对乙方提交的货物依据采购文件上的技术规格要求和国家有关质量标准进行现场初步验收，外观、说明书符合采购文件技术要求的，给予签收，初步验收不合格的不予签收。</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13.2 </w:t>
      </w:r>
      <w:r>
        <w:rPr>
          <w:rFonts w:hint="eastAsia" w:hAnsi="宋体"/>
          <w:sz w:val="24"/>
          <w:szCs w:val="24"/>
          <w:highlight w:val="none"/>
        </w:rPr>
        <w:t>乙方交货前应对产品作出全面检查和对验收文件进行整理，并列出清单，作为甲方收货验收和使用的技术条件依据，检验的结果应随货物交甲方。</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13.3 </w:t>
      </w:r>
      <w:r>
        <w:rPr>
          <w:rFonts w:hint="eastAsia" w:hAnsi="宋体"/>
          <w:sz w:val="24"/>
          <w:szCs w:val="24"/>
          <w:highlight w:val="none"/>
        </w:rPr>
        <w:t>甲方对乙方提供的货物在使用前进行调试时，乙方需负责安装并培训甲方的使用操作人员，并协助甲方一起调试，直到符合技术要求，甲方才做最终验收。</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13.4 </w:t>
      </w:r>
      <w:r>
        <w:rPr>
          <w:rFonts w:hint="eastAsia" w:hAnsi="宋体"/>
          <w:sz w:val="24"/>
          <w:szCs w:val="24"/>
          <w:highlight w:val="none"/>
        </w:rPr>
        <w:t>对技术复杂的货物，甲方可请国家认可的专业检测机构参与初步验收及最终验收，并由其出具质量检测报告。</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13.5 </w:t>
      </w:r>
      <w:r>
        <w:rPr>
          <w:rFonts w:hint="eastAsia" w:hAnsi="宋体"/>
          <w:sz w:val="24"/>
          <w:szCs w:val="24"/>
          <w:highlight w:val="none"/>
        </w:rPr>
        <w:t>验收时乙方必须在现场，验收完毕后作出验收结果报告，验收报告须经甲方最终用户签字和部门盖章。</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十四、货物包装、发运及运输</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14.1 </w:t>
      </w:r>
      <w:r>
        <w:rPr>
          <w:rFonts w:hint="eastAsia" w:hAnsi="宋体"/>
          <w:sz w:val="24"/>
          <w:szCs w:val="24"/>
          <w:highlight w:val="none"/>
        </w:rPr>
        <w:t>乙方应在货物发运前对其进行满足运输距离、防潮、防震、防锈和防破损装卸等要求包装，以保证货物安全运达甲方指定地点。</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14.2 </w:t>
      </w:r>
      <w:r>
        <w:rPr>
          <w:rFonts w:hint="eastAsia" w:hAnsi="宋体"/>
          <w:sz w:val="24"/>
          <w:szCs w:val="24"/>
          <w:highlight w:val="none"/>
        </w:rPr>
        <w:t>使用说明书、质量检验证明书、随配附件和工具以及清单一并附于货物内。</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14.3 </w:t>
      </w:r>
      <w:r>
        <w:rPr>
          <w:rFonts w:hint="eastAsia" w:hAnsi="宋体"/>
          <w:sz w:val="24"/>
          <w:szCs w:val="24"/>
          <w:highlight w:val="none"/>
        </w:rPr>
        <w:t>乙方在货物发运手续办理完毕后</w:t>
      </w:r>
      <w:r>
        <w:rPr>
          <w:rFonts w:hAnsi="宋体"/>
          <w:sz w:val="24"/>
          <w:szCs w:val="24"/>
          <w:highlight w:val="none"/>
        </w:rPr>
        <w:t>24</w:t>
      </w:r>
      <w:r>
        <w:rPr>
          <w:rFonts w:hint="eastAsia" w:hAnsi="宋体"/>
          <w:sz w:val="24"/>
          <w:szCs w:val="24"/>
          <w:highlight w:val="none"/>
        </w:rPr>
        <w:t>小时内或货到甲方</w:t>
      </w:r>
      <w:r>
        <w:rPr>
          <w:rFonts w:hAnsi="宋体"/>
          <w:sz w:val="24"/>
          <w:szCs w:val="24"/>
          <w:highlight w:val="none"/>
        </w:rPr>
        <w:t>48</w:t>
      </w:r>
      <w:r>
        <w:rPr>
          <w:rFonts w:hint="eastAsia" w:hAnsi="宋体"/>
          <w:sz w:val="24"/>
          <w:szCs w:val="24"/>
          <w:highlight w:val="none"/>
        </w:rPr>
        <w:t>小时前通知甲方，以准备接货。</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14.4 </w:t>
      </w:r>
      <w:r>
        <w:rPr>
          <w:rFonts w:hint="eastAsia" w:hAnsi="宋体"/>
          <w:sz w:val="24"/>
          <w:szCs w:val="24"/>
          <w:highlight w:val="none"/>
        </w:rPr>
        <w:t>货物在交付甲方前发生的风险均由乙方负责。</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14.5 </w:t>
      </w:r>
      <w:r>
        <w:rPr>
          <w:rFonts w:hint="eastAsia" w:hAnsi="宋体"/>
          <w:sz w:val="24"/>
          <w:szCs w:val="24"/>
          <w:highlight w:val="none"/>
        </w:rPr>
        <w:t>货物在规定的交付期限内由乙方送达甲方指定的地点并经甲方验收合格视为交付，乙方同时需通知甲方货物已送达。</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十五、违约责任</w:t>
      </w:r>
    </w:p>
    <w:p>
      <w:pPr>
        <w:pStyle w:val="9"/>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15.1</w:t>
      </w:r>
      <w:r>
        <w:rPr>
          <w:rFonts w:hint="eastAsia" w:hAnsi="宋体"/>
          <w:sz w:val="24"/>
          <w:szCs w:val="24"/>
          <w:highlight w:val="none"/>
        </w:rPr>
        <w:t>乙方逾期交付货物的，乙方应按逾期交货总额每日千分之六向甲方支付违约金，由甲方从待付货款中扣除。逾期超过约定日期</w:t>
      </w:r>
      <w:r>
        <w:rPr>
          <w:rFonts w:hAnsi="宋体"/>
          <w:sz w:val="24"/>
          <w:szCs w:val="24"/>
          <w:highlight w:val="none"/>
        </w:rPr>
        <w:t>10</w:t>
      </w:r>
      <w:r>
        <w:rPr>
          <w:rFonts w:hint="eastAsia" w:hAnsi="宋体"/>
          <w:sz w:val="24"/>
          <w:szCs w:val="24"/>
          <w:highlight w:val="none"/>
        </w:rPr>
        <w:t>个工作日不能交货的，甲方可解除本合同。乙方因逾期交货或因其他违约行为导致甲方解除合同的，乙方应向甲方支付合同总值</w:t>
      </w:r>
      <w:r>
        <w:rPr>
          <w:rFonts w:hAnsi="宋体"/>
          <w:sz w:val="24"/>
          <w:szCs w:val="24"/>
          <w:highlight w:val="none"/>
        </w:rPr>
        <w:t>5%</w:t>
      </w:r>
      <w:r>
        <w:rPr>
          <w:rFonts w:hint="eastAsia" w:hAnsi="宋体"/>
          <w:sz w:val="24"/>
          <w:szCs w:val="24"/>
          <w:highlight w:val="none"/>
        </w:rPr>
        <w:t>的违约金，如造成甲方损失超过违约金的，超出部分由乙方继续承担赔偿责任。</w:t>
      </w:r>
    </w:p>
    <w:p>
      <w:pPr>
        <w:pStyle w:val="9"/>
        <w:adjustRightInd w:val="0"/>
        <w:snapToGrid w:val="0"/>
        <w:spacing w:before="120" w:after="120" w:line="360" w:lineRule="auto"/>
        <w:ind w:firstLine="658"/>
        <w:rPr>
          <w:rFonts w:hAnsi="宋体"/>
          <w:sz w:val="24"/>
          <w:szCs w:val="24"/>
          <w:highlight w:val="none"/>
        </w:rPr>
      </w:pPr>
      <w:r>
        <w:rPr>
          <w:rFonts w:hAnsi="宋体"/>
          <w:sz w:val="24"/>
          <w:szCs w:val="24"/>
          <w:highlight w:val="none"/>
        </w:rPr>
        <w:t>15.2</w:t>
      </w:r>
      <w:r>
        <w:rPr>
          <w:rFonts w:hint="eastAsia" w:hAnsi="宋体"/>
          <w:sz w:val="24"/>
          <w:szCs w:val="24"/>
          <w:highlight w:val="none"/>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十六、廉政条款</w:t>
      </w:r>
    </w:p>
    <w:p>
      <w:pPr>
        <w:pStyle w:val="9"/>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16.1</w:t>
      </w:r>
      <w:r>
        <w:rPr>
          <w:rFonts w:hint="eastAsia" w:hAnsi="宋体"/>
          <w:sz w:val="24"/>
          <w:szCs w:val="24"/>
          <w:highlight w:val="none"/>
        </w:rPr>
        <w:t>乙方必须支持甲方的廉政建设，不得向甲方相关人员提供金钱和物质上的好处，一经发现处以合同金额</w:t>
      </w:r>
      <w:r>
        <w:rPr>
          <w:rFonts w:hAnsi="宋体"/>
          <w:sz w:val="24"/>
          <w:szCs w:val="24"/>
          <w:highlight w:val="none"/>
        </w:rPr>
        <w:t>20%</w:t>
      </w:r>
      <w:r>
        <w:rPr>
          <w:rFonts w:hint="eastAsia" w:hAnsi="宋体"/>
          <w:sz w:val="24"/>
          <w:szCs w:val="24"/>
          <w:highlight w:val="none"/>
        </w:rPr>
        <w:t>的罚款。</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十七、不可抗力事件处理</w:t>
      </w:r>
    </w:p>
    <w:p>
      <w:pPr>
        <w:pStyle w:val="9"/>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17.1 </w:t>
      </w:r>
      <w:r>
        <w:rPr>
          <w:rFonts w:hint="eastAsia" w:hAnsi="宋体"/>
          <w:sz w:val="24"/>
          <w:szCs w:val="24"/>
          <w:highlight w:val="none"/>
        </w:rPr>
        <w:t>在合同有效期内，任何一方因不可抗力事件导致不能履行合同，则合同履行期可延长，其延长期与不可抗力影响期相同。</w:t>
      </w:r>
    </w:p>
    <w:p>
      <w:pPr>
        <w:pStyle w:val="9"/>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17.2 </w:t>
      </w:r>
      <w:r>
        <w:rPr>
          <w:rFonts w:hint="eastAsia" w:hAnsi="宋体"/>
          <w:sz w:val="24"/>
          <w:szCs w:val="24"/>
          <w:highlight w:val="none"/>
        </w:rPr>
        <w:t>不可抗力事件发生后，应立即通知对方，并寄送有关权威机构出具的证明。</w:t>
      </w:r>
    </w:p>
    <w:p>
      <w:pPr>
        <w:pStyle w:val="9"/>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17.3 </w:t>
      </w:r>
      <w:r>
        <w:rPr>
          <w:rFonts w:hint="eastAsia" w:hAnsi="宋体"/>
          <w:sz w:val="24"/>
          <w:szCs w:val="24"/>
          <w:highlight w:val="none"/>
        </w:rPr>
        <w:t>不可抗力事件延续</w:t>
      </w:r>
      <w:r>
        <w:rPr>
          <w:rFonts w:hAnsi="宋体"/>
          <w:sz w:val="24"/>
          <w:szCs w:val="24"/>
          <w:highlight w:val="none"/>
        </w:rPr>
        <w:t>30</w:t>
      </w:r>
      <w:r>
        <w:rPr>
          <w:rFonts w:hint="eastAsia" w:hAnsi="宋体"/>
          <w:sz w:val="24"/>
          <w:szCs w:val="24"/>
          <w:highlight w:val="none"/>
        </w:rPr>
        <w:t>天以上，双方应通过友好协商，确定是否继续履行合同。</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十八、诉讼</w:t>
      </w:r>
    </w:p>
    <w:p>
      <w:pPr>
        <w:pStyle w:val="9"/>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18.1 </w:t>
      </w:r>
      <w:r>
        <w:rPr>
          <w:rFonts w:hint="eastAsia" w:hAnsi="宋体"/>
          <w:sz w:val="24"/>
          <w:szCs w:val="24"/>
          <w:highlight w:val="none"/>
        </w:rPr>
        <w:t>双方在执行合同中所发生的一切争议，应通过协商解决。如协商不成，可向合同签订地法院起诉，合同签订地在此约定为南京市。</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十九、合同文件的优先顺序</w:t>
      </w:r>
      <w:r>
        <w:rPr>
          <w:rFonts w:hint="eastAsia" w:hAnsi="宋体"/>
          <w:sz w:val="24"/>
          <w:szCs w:val="24"/>
          <w:highlight w:val="none"/>
        </w:rPr>
        <w:t xml:space="preserve"> </w:t>
      </w:r>
    </w:p>
    <w:p>
      <w:pPr>
        <w:pStyle w:val="9"/>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 xml:space="preserve">组成合同的各项文件应互相解释，互为说明。除专用合同条款另有约定外，解释合同文件的优先顺序如下： </w:t>
      </w:r>
    </w:p>
    <w:p>
      <w:pPr>
        <w:pStyle w:val="9"/>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 xml:space="preserve">（1）合同协议书； </w:t>
      </w:r>
    </w:p>
    <w:p>
      <w:pPr>
        <w:pStyle w:val="9"/>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（2）中标通知书；</w:t>
      </w:r>
    </w:p>
    <w:p>
      <w:pPr>
        <w:pStyle w:val="9"/>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（3）招标文件；</w:t>
      </w:r>
    </w:p>
    <w:p>
      <w:pPr>
        <w:pStyle w:val="9"/>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（4）投标函及其附录（如果有）；</w:t>
      </w:r>
    </w:p>
    <w:p>
      <w:pPr>
        <w:pStyle w:val="9"/>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（5）专用合同条款及其附件；</w:t>
      </w:r>
    </w:p>
    <w:p>
      <w:pPr>
        <w:pStyle w:val="9"/>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 xml:space="preserve">（6）通用合同条款； </w:t>
      </w:r>
    </w:p>
    <w:p>
      <w:pPr>
        <w:pStyle w:val="9"/>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（7）技术标准和要求；</w:t>
      </w:r>
    </w:p>
    <w:p>
      <w:pPr>
        <w:pStyle w:val="9"/>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（8）其他合同文件。</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二十、合同生效及其它</w:t>
      </w:r>
    </w:p>
    <w:p>
      <w:pPr>
        <w:pStyle w:val="9"/>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19.1 </w:t>
      </w:r>
      <w:r>
        <w:rPr>
          <w:rFonts w:hint="eastAsia" w:hAnsi="宋体"/>
          <w:sz w:val="24"/>
          <w:szCs w:val="24"/>
          <w:highlight w:val="none"/>
        </w:rPr>
        <w:t>合同经双方法定代表人或授权委托代表人签字并加盖单位公章后生效。</w:t>
      </w:r>
    </w:p>
    <w:p>
      <w:pPr>
        <w:pStyle w:val="9"/>
        <w:adjustRightInd w:val="0"/>
        <w:snapToGrid w:val="0"/>
        <w:spacing w:before="120" w:after="120" w:line="360" w:lineRule="auto"/>
        <w:ind w:firstLine="658"/>
        <w:rPr>
          <w:rFonts w:hAnsi="宋体"/>
          <w:sz w:val="24"/>
          <w:szCs w:val="24"/>
          <w:highlight w:val="none"/>
        </w:rPr>
      </w:pPr>
      <w:r>
        <w:rPr>
          <w:rFonts w:hAnsi="宋体"/>
          <w:sz w:val="24"/>
          <w:szCs w:val="24"/>
          <w:highlight w:val="none"/>
        </w:rPr>
        <w:t>19.2</w:t>
      </w:r>
      <w:r>
        <w:rPr>
          <w:rFonts w:hint="eastAsia" w:hAnsi="宋体"/>
          <w:sz w:val="24"/>
          <w:szCs w:val="24"/>
          <w:highlight w:val="none"/>
        </w:rPr>
        <w:t>本合同未尽事宜，遵照《合同法》有关条文执行。</w:t>
      </w:r>
    </w:p>
    <w:p>
      <w:pPr>
        <w:pStyle w:val="9"/>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19.3 </w:t>
      </w:r>
      <w:r>
        <w:rPr>
          <w:rFonts w:hint="eastAsia" w:hAnsi="宋体"/>
          <w:sz w:val="24"/>
          <w:szCs w:val="24"/>
          <w:highlight w:val="none"/>
        </w:rPr>
        <w:t>本合同正本一式四份，具有同等法律效力，甲方、乙方各执两份。</w:t>
      </w:r>
    </w:p>
    <w:p>
      <w:pPr>
        <w:pStyle w:val="9"/>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19.4</w:t>
      </w:r>
      <w:r>
        <w:rPr>
          <w:rFonts w:hAnsi="宋体"/>
          <w:sz w:val="24"/>
          <w:szCs w:val="24"/>
          <w:highlight w:val="none"/>
        </w:rPr>
        <w:t xml:space="preserve"> </w:t>
      </w:r>
      <w:r>
        <w:rPr>
          <w:rFonts w:hint="eastAsia" w:hAnsi="宋体"/>
          <w:sz w:val="24"/>
          <w:szCs w:val="24"/>
          <w:highlight w:val="none"/>
        </w:rPr>
        <w:t>“采购合同”为参考文本，最终以审核部门的审定本为准。</w:t>
      </w:r>
    </w:p>
    <w:p>
      <w:pPr>
        <w:pStyle w:val="9"/>
        <w:adjustRightInd w:val="0"/>
        <w:snapToGrid w:val="0"/>
        <w:spacing w:before="120" w:after="120" w:line="360" w:lineRule="auto"/>
        <w:ind w:left="1" w:firstLine="658"/>
        <w:rPr>
          <w:rFonts w:hAnsi="宋体"/>
          <w:sz w:val="24"/>
          <w:szCs w:val="24"/>
          <w:highlight w:val="none"/>
        </w:rPr>
      </w:pPr>
    </w:p>
    <w:p>
      <w:pPr>
        <w:pStyle w:val="9"/>
        <w:adjustRightInd w:val="0"/>
        <w:snapToGrid w:val="0"/>
        <w:spacing w:before="120" w:after="120" w:line="360" w:lineRule="auto"/>
        <w:ind w:left="420" w:leftChars="200" w:firstLine="240" w:firstLineChars="100"/>
        <w:rPr>
          <w:rFonts w:hAnsi="宋体"/>
          <w:sz w:val="24"/>
          <w:szCs w:val="24"/>
          <w:highlight w:val="none"/>
        </w:rPr>
      </w:pPr>
      <w:r>
        <w:rPr>
          <w:rFonts w:hint="eastAsia" w:hAnsi="宋体"/>
          <w:sz w:val="24"/>
          <w:szCs w:val="24"/>
          <w:highlight w:val="none"/>
        </w:rPr>
        <w:t>甲方：乙方：</w:t>
      </w:r>
    </w:p>
    <w:p>
      <w:pPr>
        <w:pStyle w:val="9"/>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地址：地址：</w:t>
      </w:r>
    </w:p>
    <w:p>
      <w:pPr>
        <w:pStyle w:val="9"/>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法定代表人或授权代表：</w:t>
      </w:r>
    </w:p>
    <w:p>
      <w:pPr>
        <w:pStyle w:val="9"/>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项目负责人</w:t>
      </w:r>
      <w:r>
        <w:rPr>
          <w:rFonts w:hAnsi="宋体"/>
          <w:sz w:val="24"/>
          <w:szCs w:val="24"/>
          <w:highlight w:val="none"/>
        </w:rPr>
        <w:t xml:space="preserve">:                              </w:t>
      </w:r>
      <w:r>
        <w:rPr>
          <w:rFonts w:hint="eastAsia" w:hAnsi="宋体"/>
          <w:sz w:val="24"/>
          <w:szCs w:val="24"/>
          <w:highlight w:val="none"/>
        </w:rPr>
        <w:t>法定代表人或授权代表：</w:t>
      </w:r>
    </w:p>
    <w:p>
      <w:pPr>
        <w:pStyle w:val="9"/>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项目联系人</w:t>
      </w:r>
      <w:r>
        <w:rPr>
          <w:rFonts w:hAnsi="宋体"/>
          <w:sz w:val="24"/>
          <w:szCs w:val="24"/>
          <w:highlight w:val="none"/>
        </w:rPr>
        <w:t>:</w:t>
      </w:r>
    </w:p>
    <w:p>
      <w:pPr>
        <w:pStyle w:val="9"/>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联系电话：联系电话：</w:t>
      </w:r>
    </w:p>
    <w:p>
      <w:pPr>
        <w:pStyle w:val="9"/>
        <w:adjustRightInd w:val="0"/>
        <w:snapToGrid w:val="0"/>
        <w:spacing w:before="120" w:after="120" w:line="360" w:lineRule="auto"/>
        <w:ind w:firstLine="767"/>
        <w:rPr>
          <w:rFonts w:cs="仿宋"/>
          <w:sz w:val="24"/>
          <w:highlight w:val="none"/>
        </w:rPr>
      </w:pPr>
      <w:r>
        <w:rPr>
          <w:rFonts w:hint="eastAsia"/>
          <w:sz w:val="28"/>
          <w:szCs w:val="28"/>
          <w:highlight w:val="none"/>
        </w:rPr>
        <w:t>签订日期：      年   月   日</w:t>
      </w:r>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MPBMSN+StoneSans-Semibold">
    <w:altName w:val="微软雅黑"/>
    <w:panose1 w:val="00000000000000000000"/>
    <w:charset w:val="86"/>
    <w:family w:val="swiss"/>
    <w:pitch w:val="default"/>
    <w:sig w:usb0="00000000" w:usb1="00000000" w:usb2="00000010" w:usb3="00000000" w:csb0="00040000" w:csb1="00000000"/>
  </w:font>
  <w:font w:name="PSFEIH+StoneSans">
    <w:altName w:val="新宋体"/>
    <w:panose1 w:val="00000000000000000000"/>
    <w:charset w:val="86"/>
    <w:family w:val="swiss"/>
    <w:pitch w:val="default"/>
    <w:sig w:usb0="00000000" w:usb1="00000000" w:usb2="00000010" w:usb3="00000000" w:csb0="00040000" w:csb1="00000000"/>
  </w:font>
  <w:font w:name="Open Sans 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b/>
      </w:rPr>
      <w:fldChar w:fldCharType="begin"/>
    </w:r>
    <w:r>
      <w:rPr>
        <w:b/>
      </w:rPr>
      <w:instrText xml:space="preserve">PAGE  \* Arabic  \* MERGEFORMAT</w:instrText>
    </w:r>
    <w:r>
      <w:rPr>
        <w:b/>
      </w:rPr>
      <w:fldChar w:fldCharType="separate"/>
    </w:r>
    <w:r>
      <w:rPr>
        <w:b/>
        <w:lang w:val="zh-CN"/>
      </w:rPr>
      <w:t>29</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29</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cs="宋体"/>
        <w:b/>
        <w:bCs/>
        <w:kern w:val="0"/>
        <w:sz w:val="15"/>
        <w:szCs w:val="15"/>
      </w:rPr>
    </w:pPr>
    <w:r>
      <w:rPr>
        <w:rFonts w:hint="eastAsia" w:ascii="宋体" w:hAnsi="宋体" w:cs="宋体"/>
        <w:b/>
        <w:bCs/>
        <w:kern w:val="0"/>
        <w:sz w:val="15"/>
        <w:szCs w:val="15"/>
      </w:rPr>
      <w:t>南京信息工程大学</w:t>
    </w:r>
    <w:r>
      <w:rPr>
        <w:rFonts w:hint="eastAsia" w:ascii="宋体" w:hAnsi="宋体" w:cs="宋体"/>
        <w:b/>
        <w:bCs/>
        <w:kern w:val="0"/>
        <w:sz w:val="15"/>
        <w:szCs w:val="15"/>
        <w:lang w:val="en-US" w:eastAsia="zh-CN"/>
      </w:rPr>
      <w:t>招标办</w:t>
    </w:r>
    <w:r>
      <w:rPr>
        <w:rFonts w:hint="eastAsia" w:ascii="宋体" w:hAnsi="宋体" w:cs="宋体"/>
        <w:b/>
        <w:bCs/>
        <w:kern w:val="0"/>
        <w:sz w:val="15"/>
        <w:szCs w:val="15"/>
      </w:rPr>
      <w:t>20</w:t>
    </w:r>
    <w:r>
      <w:rPr>
        <w:rFonts w:ascii="宋体" w:hAnsi="宋体" w:cs="宋体"/>
        <w:b/>
        <w:bCs/>
        <w:kern w:val="0"/>
        <w:sz w:val="15"/>
        <w:szCs w:val="15"/>
      </w:rPr>
      <w:t>20</w:t>
    </w:r>
    <w:r>
      <w:rPr>
        <w:rFonts w:hint="eastAsia" w:ascii="宋体" w:hAnsi="宋体" w:cs="宋体"/>
        <w:b/>
        <w:bCs/>
        <w:kern w:val="0"/>
        <w:sz w:val="15"/>
        <w:szCs w:val="15"/>
      </w:rPr>
      <w:t>年招标文件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076"/>
    <w:rsid w:val="0000144D"/>
    <w:rsid w:val="00002B2D"/>
    <w:rsid w:val="00003305"/>
    <w:rsid w:val="00003606"/>
    <w:rsid w:val="000054CA"/>
    <w:rsid w:val="0000571D"/>
    <w:rsid w:val="00022B05"/>
    <w:rsid w:val="00023D12"/>
    <w:rsid w:val="00026E76"/>
    <w:rsid w:val="0002772F"/>
    <w:rsid w:val="00030600"/>
    <w:rsid w:val="00030DF4"/>
    <w:rsid w:val="000317FC"/>
    <w:rsid w:val="000319F3"/>
    <w:rsid w:val="00034A15"/>
    <w:rsid w:val="000430D6"/>
    <w:rsid w:val="00043F02"/>
    <w:rsid w:val="000441D9"/>
    <w:rsid w:val="0004587C"/>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D92"/>
    <w:rsid w:val="00087F42"/>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4DD3"/>
    <w:rsid w:val="000E62D8"/>
    <w:rsid w:val="000E794A"/>
    <w:rsid w:val="000E7B1F"/>
    <w:rsid w:val="000E7E73"/>
    <w:rsid w:val="000F0A5B"/>
    <w:rsid w:val="000F1E4F"/>
    <w:rsid w:val="000F2EDC"/>
    <w:rsid w:val="000F33C3"/>
    <w:rsid w:val="000F7C08"/>
    <w:rsid w:val="001007BA"/>
    <w:rsid w:val="00100F2E"/>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7657"/>
    <w:rsid w:val="001D76D4"/>
    <w:rsid w:val="001E2C9F"/>
    <w:rsid w:val="001E3E1E"/>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17A6D"/>
    <w:rsid w:val="00221DE6"/>
    <w:rsid w:val="002228CD"/>
    <w:rsid w:val="002238C0"/>
    <w:rsid w:val="0022420E"/>
    <w:rsid w:val="00225151"/>
    <w:rsid w:val="00226609"/>
    <w:rsid w:val="002270A5"/>
    <w:rsid w:val="002274A2"/>
    <w:rsid w:val="00230145"/>
    <w:rsid w:val="00230940"/>
    <w:rsid w:val="0023249E"/>
    <w:rsid w:val="002346F4"/>
    <w:rsid w:val="00235A05"/>
    <w:rsid w:val="00237A59"/>
    <w:rsid w:val="002408A3"/>
    <w:rsid w:val="00240E59"/>
    <w:rsid w:val="00241921"/>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006"/>
    <w:rsid w:val="00257491"/>
    <w:rsid w:val="00257FB1"/>
    <w:rsid w:val="00262153"/>
    <w:rsid w:val="00263046"/>
    <w:rsid w:val="00263444"/>
    <w:rsid w:val="0026451A"/>
    <w:rsid w:val="00264F91"/>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E569D"/>
    <w:rsid w:val="002E6CB0"/>
    <w:rsid w:val="002E6E80"/>
    <w:rsid w:val="002E70DE"/>
    <w:rsid w:val="002E7D9A"/>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3EE"/>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221F"/>
    <w:rsid w:val="00343F9F"/>
    <w:rsid w:val="00344EF7"/>
    <w:rsid w:val="00345610"/>
    <w:rsid w:val="00345928"/>
    <w:rsid w:val="00347496"/>
    <w:rsid w:val="00347889"/>
    <w:rsid w:val="00347F4C"/>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46B8"/>
    <w:rsid w:val="00376287"/>
    <w:rsid w:val="00377164"/>
    <w:rsid w:val="0038309B"/>
    <w:rsid w:val="00383BCB"/>
    <w:rsid w:val="00384882"/>
    <w:rsid w:val="003849F5"/>
    <w:rsid w:val="00387358"/>
    <w:rsid w:val="00387B63"/>
    <w:rsid w:val="00392E35"/>
    <w:rsid w:val="00392F4B"/>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2B6A"/>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4A76"/>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191"/>
    <w:rsid w:val="004F6B4B"/>
    <w:rsid w:val="004F763C"/>
    <w:rsid w:val="004F7A31"/>
    <w:rsid w:val="004F7D5E"/>
    <w:rsid w:val="00500476"/>
    <w:rsid w:val="0050066E"/>
    <w:rsid w:val="00500A8B"/>
    <w:rsid w:val="00501CD3"/>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3025C"/>
    <w:rsid w:val="00531000"/>
    <w:rsid w:val="0053114F"/>
    <w:rsid w:val="00533377"/>
    <w:rsid w:val="00533F15"/>
    <w:rsid w:val="00537018"/>
    <w:rsid w:val="00540A3F"/>
    <w:rsid w:val="00541B97"/>
    <w:rsid w:val="00544BF1"/>
    <w:rsid w:val="00545F0F"/>
    <w:rsid w:val="00546198"/>
    <w:rsid w:val="00551573"/>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1649"/>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D4D"/>
    <w:rsid w:val="005B023B"/>
    <w:rsid w:val="005B1DD8"/>
    <w:rsid w:val="005B2D13"/>
    <w:rsid w:val="005B3222"/>
    <w:rsid w:val="005B379E"/>
    <w:rsid w:val="005B4619"/>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3C19"/>
    <w:rsid w:val="005E4524"/>
    <w:rsid w:val="005E576B"/>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6947"/>
    <w:rsid w:val="00650D24"/>
    <w:rsid w:val="006519C1"/>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AE2"/>
    <w:rsid w:val="006A2B28"/>
    <w:rsid w:val="006A4D56"/>
    <w:rsid w:val="006A59A2"/>
    <w:rsid w:val="006A5ECF"/>
    <w:rsid w:val="006A669E"/>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5E15"/>
    <w:rsid w:val="00746A90"/>
    <w:rsid w:val="007475EE"/>
    <w:rsid w:val="007478D2"/>
    <w:rsid w:val="00751019"/>
    <w:rsid w:val="007559EB"/>
    <w:rsid w:val="00757520"/>
    <w:rsid w:val="007577E7"/>
    <w:rsid w:val="007605A9"/>
    <w:rsid w:val="0076167D"/>
    <w:rsid w:val="0076289B"/>
    <w:rsid w:val="00762912"/>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C6FAB"/>
    <w:rsid w:val="007C7398"/>
    <w:rsid w:val="007D0A59"/>
    <w:rsid w:val="007D0D89"/>
    <w:rsid w:val="007D2503"/>
    <w:rsid w:val="007D2EE1"/>
    <w:rsid w:val="007D46FC"/>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1FBF"/>
    <w:rsid w:val="00803D3C"/>
    <w:rsid w:val="00805272"/>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2394"/>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2D35"/>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01A0"/>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1D5"/>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5CDC"/>
    <w:rsid w:val="00936E3B"/>
    <w:rsid w:val="0093715C"/>
    <w:rsid w:val="00942FE6"/>
    <w:rsid w:val="00943762"/>
    <w:rsid w:val="00943D55"/>
    <w:rsid w:val="009441C5"/>
    <w:rsid w:val="00944B21"/>
    <w:rsid w:val="00944F62"/>
    <w:rsid w:val="00945FA3"/>
    <w:rsid w:val="009473FE"/>
    <w:rsid w:val="00951C1B"/>
    <w:rsid w:val="0095244B"/>
    <w:rsid w:val="00952BB4"/>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1C34"/>
    <w:rsid w:val="00982C89"/>
    <w:rsid w:val="009832FF"/>
    <w:rsid w:val="0098526D"/>
    <w:rsid w:val="00987CEF"/>
    <w:rsid w:val="00990A91"/>
    <w:rsid w:val="00990BFB"/>
    <w:rsid w:val="00992262"/>
    <w:rsid w:val="00992EF0"/>
    <w:rsid w:val="00993A92"/>
    <w:rsid w:val="009948F7"/>
    <w:rsid w:val="0099682B"/>
    <w:rsid w:val="00996975"/>
    <w:rsid w:val="009A0CB9"/>
    <w:rsid w:val="009A4472"/>
    <w:rsid w:val="009A50F2"/>
    <w:rsid w:val="009A723F"/>
    <w:rsid w:val="009B2876"/>
    <w:rsid w:val="009B3202"/>
    <w:rsid w:val="009B4732"/>
    <w:rsid w:val="009B5355"/>
    <w:rsid w:val="009B5A13"/>
    <w:rsid w:val="009B5D2C"/>
    <w:rsid w:val="009B5E85"/>
    <w:rsid w:val="009B7C1E"/>
    <w:rsid w:val="009B7FB8"/>
    <w:rsid w:val="009C018C"/>
    <w:rsid w:val="009C2509"/>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535D"/>
    <w:rsid w:val="00A46220"/>
    <w:rsid w:val="00A46DA5"/>
    <w:rsid w:val="00A47583"/>
    <w:rsid w:val="00A512D9"/>
    <w:rsid w:val="00A513FD"/>
    <w:rsid w:val="00A51D42"/>
    <w:rsid w:val="00A54A51"/>
    <w:rsid w:val="00A54C2B"/>
    <w:rsid w:val="00A55E7A"/>
    <w:rsid w:val="00A560A6"/>
    <w:rsid w:val="00A56335"/>
    <w:rsid w:val="00A56B4D"/>
    <w:rsid w:val="00A6110E"/>
    <w:rsid w:val="00A61E93"/>
    <w:rsid w:val="00A6304F"/>
    <w:rsid w:val="00A66067"/>
    <w:rsid w:val="00A669C1"/>
    <w:rsid w:val="00A66F4B"/>
    <w:rsid w:val="00A72112"/>
    <w:rsid w:val="00A725AD"/>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B7DAA"/>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52DE"/>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6434"/>
    <w:rsid w:val="00B9722B"/>
    <w:rsid w:val="00B972CE"/>
    <w:rsid w:val="00BA0166"/>
    <w:rsid w:val="00BA1570"/>
    <w:rsid w:val="00BA2BDC"/>
    <w:rsid w:val="00BA3F55"/>
    <w:rsid w:val="00BA4270"/>
    <w:rsid w:val="00BA508D"/>
    <w:rsid w:val="00BA524D"/>
    <w:rsid w:val="00BB0F3A"/>
    <w:rsid w:val="00BB16D6"/>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EA9"/>
    <w:rsid w:val="00CA7DF1"/>
    <w:rsid w:val="00CB063E"/>
    <w:rsid w:val="00CB46CA"/>
    <w:rsid w:val="00CB4B84"/>
    <w:rsid w:val="00CB4EC5"/>
    <w:rsid w:val="00CB52A4"/>
    <w:rsid w:val="00CB6349"/>
    <w:rsid w:val="00CB7BA1"/>
    <w:rsid w:val="00CC0C69"/>
    <w:rsid w:val="00CC0DD7"/>
    <w:rsid w:val="00CC4AC7"/>
    <w:rsid w:val="00CC6087"/>
    <w:rsid w:val="00CC65A4"/>
    <w:rsid w:val="00CC7630"/>
    <w:rsid w:val="00CC7C8D"/>
    <w:rsid w:val="00CD0071"/>
    <w:rsid w:val="00CD1EC5"/>
    <w:rsid w:val="00CD2FD4"/>
    <w:rsid w:val="00CD346D"/>
    <w:rsid w:val="00CD4000"/>
    <w:rsid w:val="00CD4CB5"/>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156"/>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36D3"/>
    <w:rsid w:val="00D34FD3"/>
    <w:rsid w:val="00D35E01"/>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0F3"/>
    <w:rsid w:val="00DC414F"/>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2A4F"/>
    <w:rsid w:val="00DF507B"/>
    <w:rsid w:val="00DF637A"/>
    <w:rsid w:val="00DF74C6"/>
    <w:rsid w:val="00E00B59"/>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05D4"/>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617B0"/>
    <w:rsid w:val="00E6205C"/>
    <w:rsid w:val="00E6252B"/>
    <w:rsid w:val="00E64653"/>
    <w:rsid w:val="00E65BBF"/>
    <w:rsid w:val="00E65EDF"/>
    <w:rsid w:val="00E66246"/>
    <w:rsid w:val="00E66729"/>
    <w:rsid w:val="00E67A36"/>
    <w:rsid w:val="00E71A92"/>
    <w:rsid w:val="00E71C71"/>
    <w:rsid w:val="00E7204A"/>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7113"/>
    <w:rsid w:val="00ED7B5A"/>
    <w:rsid w:val="00EE1004"/>
    <w:rsid w:val="00EE2E38"/>
    <w:rsid w:val="00EE45E5"/>
    <w:rsid w:val="00EE4733"/>
    <w:rsid w:val="00EE4C5E"/>
    <w:rsid w:val="00EE547A"/>
    <w:rsid w:val="00EE582B"/>
    <w:rsid w:val="00EE7894"/>
    <w:rsid w:val="00EF0969"/>
    <w:rsid w:val="00EF11E0"/>
    <w:rsid w:val="00EF22DD"/>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271C"/>
    <w:rsid w:val="00F32826"/>
    <w:rsid w:val="00F337DD"/>
    <w:rsid w:val="00F33E31"/>
    <w:rsid w:val="00F415FB"/>
    <w:rsid w:val="00F43740"/>
    <w:rsid w:val="00F43D0D"/>
    <w:rsid w:val="00F43EAE"/>
    <w:rsid w:val="00F45AC0"/>
    <w:rsid w:val="00F46522"/>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5BE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976"/>
    <w:rsid w:val="00FE5B68"/>
    <w:rsid w:val="00FE5C60"/>
    <w:rsid w:val="00FE7480"/>
    <w:rsid w:val="00FF0C63"/>
    <w:rsid w:val="00FF0EC6"/>
    <w:rsid w:val="00FF1DAB"/>
    <w:rsid w:val="00FF394A"/>
    <w:rsid w:val="00FF3DF8"/>
    <w:rsid w:val="05B517B2"/>
    <w:rsid w:val="06504B73"/>
    <w:rsid w:val="0666393D"/>
    <w:rsid w:val="07D33D16"/>
    <w:rsid w:val="09637941"/>
    <w:rsid w:val="0BDF51D7"/>
    <w:rsid w:val="0C3615C8"/>
    <w:rsid w:val="0C4861BD"/>
    <w:rsid w:val="0C904233"/>
    <w:rsid w:val="0D873213"/>
    <w:rsid w:val="0D9425DE"/>
    <w:rsid w:val="0D99361C"/>
    <w:rsid w:val="107D340A"/>
    <w:rsid w:val="10EB4170"/>
    <w:rsid w:val="10F05838"/>
    <w:rsid w:val="113C24CA"/>
    <w:rsid w:val="119D0D41"/>
    <w:rsid w:val="12162C3B"/>
    <w:rsid w:val="130F1D58"/>
    <w:rsid w:val="146723C1"/>
    <w:rsid w:val="14896182"/>
    <w:rsid w:val="155010AB"/>
    <w:rsid w:val="15572C10"/>
    <w:rsid w:val="1584594C"/>
    <w:rsid w:val="15907301"/>
    <w:rsid w:val="15A90346"/>
    <w:rsid w:val="15B24E31"/>
    <w:rsid w:val="15E47DED"/>
    <w:rsid w:val="16AA09BD"/>
    <w:rsid w:val="17833DE3"/>
    <w:rsid w:val="1C121D57"/>
    <w:rsid w:val="1C4A137C"/>
    <w:rsid w:val="1F11313D"/>
    <w:rsid w:val="1F956998"/>
    <w:rsid w:val="20DC5C02"/>
    <w:rsid w:val="20FE711F"/>
    <w:rsid w:val="21A70E96"/>
    <w:rsid w:val="225E4DAF"/>
    <w:rsid w:val="22891E2D"/>
    <w:rsid w:val="22D33607"/>
    <w:rsid w:val="23FD2509"/>
    <w:rsid w:val="243943F8"/>
    <w:rsid w:val="24E05430"/>
    <w:rsid w:val="267A7579"/>
    <w:rsid w:val="27961F1E"/>
    <w:rsid w:val="27AD7C03"/>
    <w:rsid w:val="28C46277"/>
    <w:rsid w:val="29062B05"/>
    <w:rsid w:val="29127A38"/>
    <w:rsid w:val="2AB43BC5"/>
    <w:rsid w:val="2B556F15"/>
    <w:rsid w:val="2B7F4BC3"/>
    <w:rsid w:val="2B912E6F"/>
    <w:rsid w:val="2CE81BAF"/>
    <w:rsid w:val="2DAC05D8"/>
    <w:rsid w:val="2E726843"/>
    <w:rsid w:val="2EDC02FF"/>
    <w:rsid w:val="3172033E"/>
    <w:rsid w:val="319C36D4"/>
    <w:rsid w:val="3227588C"/>
    <w:rsid w:val="325F6558"/>
    <w:rsid w:val="331653E5"/>
    <w:rsid w:val="351529A9"/>
    <w:rsid w:val="355A74E9"/>
    <w:rsid w:val="35FD1F7A"/>
    <w:rsid w:val="366D672C"/>
    <w:rsid w:val="36E3150F"/>
    <w:rsid w:val="36FB1750"/>
    <w:rsid w:val="384A4707"/>
    <w:rsid w:val="385D644E"/>
    <w:rsid w:val="38F33167"/>
    <w:rsid w:val="39C83C69"/>
    <w:rsid w:val="39CE5E1D"/>
    <w:rsid w:val="3A9701E9"/>
    <w:rsid w:val="3C003247"/>
    <w:rsid w:val="3C8E6F2D"/>
    <w:rsid w:val="3CB64D70"/>
    <w:rsid w:val="3D6145DC"/>
    <w:rsid w:val="3EDB4EA4"/>
    <w:rsid w:val="3FC31914"/>
    <w:rsid w:val="4053471C"/>
    <w:rsid w:val="40D3605C"/>
    <w:rsid w:val="414A37BB"/>
    <w:rsid w:val="42643A73"/>
    <w:rsid w:val="42AA1012"/>
    <w:rsid w:val="43FB66E3"/>
    <w:rsid w:val="44DC7F4B"/>
    <w:rsid w:val="45651876"/>
    <w:rsid w:val="46AA377D"/>
    <w:rsid w:val="49363676"/>
    <w:rsid w:val="4A4B48E3"/>
    <w:rsid w:val="4B5137BF"/>
    <w:rsid w:val="4DA86B45"/>
    <w:rsid w:val="4E6E4919"/>
    <w:rsid w:val="4F227790"/>
    <w:rsid w:val="4FAF38AA"/>
    <w:rsid w:val="51497070"/>
    <w:rsid w:val="51E025FE"/>
    <w:rsid w:val="52FD675A"/>
    <w:rsid w:val="532B7AD5"/>
    <w:rsid w:val="53D80FA7"/>
    <w:rsid w:val="5473349C"/>
    <w:rsid w:val="54B6223B"/>
    <w:rsid w:val="54E15A0F"/>
    <w:rsid w:val="55344B23"/>
    <w:rsid w:val="56732DC5"/>
    <w:rsid w:val="56C21B98"/>
    <w:rsid w:val="57360F05"/>
    <w:rsid w:val="581F495D"/>
    <w:rsid w:val="58484116"/>
    <w:rsid w:val="58DA78C0"/>
    <w:rsid w:val="58E017CC"/>
    <w:rsid w:val="5AC859BF"/>
    <w:rsid w:val="5C0F2072"/>
    <w:rsid w:val="5CFC1D50"/>
    <w:rsid w:val="5D652DE1"/>
    <w:rsid w:val="5E6C25B6"/>
    <w:rsid w:val="5E84123F"/>
    <w:rsid w:val="607E0927"/>
    <w:rsid w:val="619D5BCC"/>
    <w:rsid w:val="6233128F"/>
    <w:rsid w:val="62635DDC"/>
    <w:rsid w:val="62FE3555"/>
    <w:rsid w:val="63D7368B"/>
    <w:rsid w:val="651A40DD"/>
    <w:rsid w:val="663D1E5E"/>
    <w:rsid w:val="665A104A"/>
    <w:rsid w:val="68A603CF"/>
    <w:rsid w:val="69E27B06"/>
    <w:rsid w:val="6A0F3694"/>
    <w:rsid w:val="6A5C1E75"/>
    <w:rsid w:val="6AB76CFB"/>
    <w:rsid w:val="6BC1702A"/>
    <w:rsid w:val="6C282248"/>
    <w:rsid w:val="6CBD55AC"/>
    <w:rsid w:val="6DE636A7"/>
    <w:rsid w:val="6DE86594"/>
    <w:rsid w:val="6F6B3168"/>
    <w:rsid w:val="6FB74A53"/>
    <w:rsid w:val="73711235"/>
    <w:rsid w:val="753E278B"/>
    <w:rsid w:val="75BE6EB5"/>
    <w:rsid w:val="7815375E"/>
    <w:rsid w:val="7AE40810"/>
    <w:rsid w:val="7BBB6C68"/>
    <w:rsid w:val="7C574749"/>
    <w:rsid w:val="7C8E2CF6"/>
    <w:rsid w:val="7C967B8B"/>
    <w:rsid w:val="7CAE11FA"/>
    <w:rsid w:val="7CD015B7"/>
    <w:rsid w:val="7EEF6C2A"/>
    <w:rsid w:val="7F074C20"/>
    <w:rsid w:val="7F363A3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qFormat/>
    <w:uiPriority w:val="99"/>
    <w:pPr>
      <w:keepNext/>
      <w:keepLines/>
      <w:spacing w:before="340" w:after="330" w:line="578" w:lineRule="auto"/>
      <w:outlineLvl w:val="0"/>
    </w:pPr>
    <w:rPr>
      <w:b/>
      <w:kern w:val="44"/>
      <w:sz w:val="44"/>
      <w:szCs w:val="20"/>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locked/>
    <w:uiPriority w:val="99"/>
    <w:pPr>
      <w:ind w:firstLine="420" w:firstLineChars="200"/>
    </w:pPr>
  </w:style>
  <w:style w:type="paragraph" w:styleId="4">
    <w:name w:val="annotation text"/>
    <w:basedOn w:val="1"/>
    <w:link w:val="22"/>
    <w:qFormat/>
    <w:uiPriority w:val="99"/>
    <w:pPr>
      <w:jc w:val="left"/>
    </w:pPr>
    <w:rPr>
      <w:sz w:val="24"/>
      <w:szCs w:val="20"/>
    </w:rPr>
  </w:style>
  <w:style w:type="paragraph" w:styleId="5">
    <w:name w:val="Body Text"/>
    <w:basedOn w:val="1"/>
    <w:link w:val="41"/>
    <w:unhideWhenUsed/>
    <w:qFormat/>
    <w:locked/>
    <w:uiPriority w:val="99"/>
    <w:pPr>
      <w:spacing w:after="120"/>
    </w:pPr>
  </w:style>
  <w:style w:type="paragraph" w:styleId="6">
    <w:name w:val="Body Text Indent"/>
    <w:basedOn w:val="1"/>
    <w:link w:val="23"/>
    <w:qFormat/>
    <w:uiPriority w:val="99"/>
    <w:pPr>
      <w:ind w:firstLine="575" w:firstLineChars="274"/>
    </w:pPr>
    <w:rPr>
      <w:rFonts w:ascii="等线" w:eastAsia="等线"/>
      <w:sz w:val="22"/>
      <w:szCs w:val="20"/>
    </w:rPr>
  </w:style>
  <w:style w:type="paragraph" w:styleId="7">
    <w:name w:val="Block Text"/>
    <w:basedOn w:val="1"/>
    <w:unhideWhenUsed/>
    <w:qFormat/>
    <w:locked/>
    <w:uiPriority w:val="99"/>
    <w:pPr>
      <w:spacing w:after="120"/>
      <w:ind w:left="1440" w:leftChars="700" w:right="1440" w:rightChars="700"/>
    </w:pPr>
  </w:style>
  <w:style w:type="paragraph" w:styleId="8">
    <w:name w:val="index 4"/>
    <w:basedOn w:val="1"/>
    <w:next w:val="1"/>
    <w:qFormat/>
    <w:uiPriority w:val="99"/>
    <w:pPr>
      <w:ind w:left="600" w:leftChars="600"/>
    </w:pPr>
    <w:rPr>
      <w:rFonts w:ascii="Verdana" w:hAnsi="Verdana"/>
    </w:rPr>
  </w:style>
  <w:style w:type="paragraph" w:styleId="9">
    <w:name w:val="Plain Text"/>
    <w:basedOn w:val="1"/>
    <w:link w:val="24"/>
    <w:qFormat/>
    <w:uiPriority w:val="0"/>
    <w:rPr>
      <w:rFonts w:ascii="宋体" w:hAnsi="Courier New"/>
      <w:szCs w:val="20"/>
    </w:rPr>
  </w:style>
  <w:style w:type="paragraph" w:styleId="10">
    <w:name w:val="Date"/>
    <w:basedOn w:val="1"/>
    <w:next w:val="1"/>
    <w:link w:val="25"/>
    <w:qFormat/>
    <w:uiPriority w:val="99"/>
    <w:pPr>
      <w:ind w:left="100" w:leftChars="2500"/>
    </w:pPr>
    <w:rPr>
      <w:sz w:val="24"/>
      <w:szCs w:val="20"/>
    </w:rPr>
  </w:style>
  <w:style w:type="paragraph" w:styleId="11">
    <w:name w:val="Balloon Text"/>
    <w:basedOn w:val="1"/>
    <w:link w:val="26"/>
    <w:semiHidden/>
    <w:qFormat/>
    <w:uiPriority w:val="99"/>
    <w:rPr>
      <w:kern w:val="0"/>
      <w:sz w:val="2"/>
      <w:szCs w:val="20"/>
    </w:rPr>
  </w:style>
  <w:style w:type="paragraph" w:styleId="12">
    <w:name w:val="footer"/>
    <w:basedOn w:val="1"/>
    <w:link w:val="27"/>
    <w:qFormat/>
    <w:uiPriority w:val="99"/>
    <w:pPr>
      <w:tabs>
        <w:tab w:val="center" w:pos="4153"/>
        <w:tab w:val="right" w:pos="8306"/>
      </w:tabs>
      <w:snapToGrid w:val="0"/>
      <w:jc w:val="left"/>
    </w:pPr>
    <w:rPr>
      <w:kern w:val="0"/>
      <w:sz w:val="18"/>
      <w:szCs w:val="18"/>
    </w:rPr>
  </w:style>
  <w:style w:type="paragraph" w:styleId="13">
    <w:name w:val="header"/>
    <w:basedOn w:val="1"/>
    <w:link w:val="28"/>
    <w:qFormat/>
    <w:uiPriority w:val="99"/>
    <w:pPr>
      <w:pBdr>
        <w:bottom w:val="single" w:color="auto" w:sz="6" w:space="1"/>
      </w:pBdr>
      <w:tabs>
        <w:tab w:val="center" w:pos="4153"/>
        <w:tab w:val="right" w:pos="8306"/>
      </w:tabs>
      <w:snapToGrid w:val="0"/>
      <w:jc w:val="center"/>
    </w:pPr>
    <w:rPr>
      <w:sz w:val="18"/>
      <w:szCs w:val="20"/>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5">
    <w:name w:val="annotation subject"/>
    <w:basedOn w:val="4"/>
    <w:next w:val="4"/>
    <w:link w:val="29"/>
    <w:qFormat/>
    <w:uiPriority w:val="99"/>
    <w:rPr>
      <w:b/>
    </w:rPr>
  </w:style>
  <w:style w:type="table" w:styleId="17">
    <w:name w:val="Table Grid"/>
    <w:basedOn w:val="1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qFormat/>
    <w:uiPriority w:val="99"/>
    <w:rPr>
      <w:rFonts w:cs="Times New Roman"/>
      <w:color w:val="0563C1"/>
      <w:u w:val="single"/>
    </w:rPr>
  </w:style>
  <w:style w:type="character" w:styleId="20">
    <w:name w:val="annotation reference"/>
    <w:basedOn w:val="18"/>
    <w:qFormat/>
    <w:uiPriority w:val="99"/>
    <w:rPr>
      <w:rFonts w:cs="Times New Roman"/>
      <w:sz w:val="21"/>
    </w:rPr>
  </w:style>
  <w:style w:type="character" w:customStyle="1" w:styleId="21">
    <w:name w:val="标题 1 字符"/>
    <w:link w:val="3"/>
    <w:qFormat/>
    <w:locked/>
    <w:uiPriority w:val="99"/>
    <w:rPr>
      <w:rFonts w:cs="Times New Roman"/>
      <w:b/>
      <w:kern w:val="44"/>
      <w:sz w:val="44"/>
    </w:rPr>
  </w:style>
  <w:style w:type="character" w:customStyle="1" w:styleId="22">
    <w:name w:val="批注文字 字符"/>
    <w:link w:val="4"/>
    <w:qFormat/>
    <w:locked/>
    <w:uiPriority w:val="99"/>
    <w:rPr>
      <w:rFonts w:cs="Times New Roman"/>
      <w:kern w:val="2"/>
      <w:sz w:val="24"/>
    </w:rPr>
  </w:style>
  <w:style w:type="character" w:customStyle="1" w:styleId="23">
    <w:name w:val="正文文本缩进 字符"/>
    <w:link w:val="6"/>
    <w:qFormat/>
    <w:locked/>
    <w:uiPriority w:val="99"/>
    <w:rPr>
      <w:rFonts w:ascii="等线" w:eastAsia="等线" w:cs="Times New Roman"/>
      <w:kern w:val="2"/>
      <w:sz w:val="22"/>
    </w:rPr>
  </w:style>
  <w:style w:type="character" w:customStyle="1" w:styleId="24">
    <w:name w:val="纯文本 字符"/>
    <w:link w:val="9"/>
    <w:qFormat/>
    <w:locked/>
    <w:uiPriority w:val="0"/>
    <w:rPr>
      <w:rFonts w:ascii="宋体" w:hAnsi="Courier New" w:cs="Times New Roman"/>
      <w:kern w:val="2"/>
      <w:sz w:val="21"/>
    </w:rPr>
  </w:style>
  <w:style w:type="character" w:customStyle="1" w:styleId="25">
    <w:name w:val="日期 字符"/>
    <w:link w:val="10"/>
    <w:qFormat/>
    <w:locked/>
    <w:uiPriority w:val="99"/>
    <w:rPr>
      <w:rFonts w:cs="Times New Roman"/>
      <w:kern w:val="2"/>
      <w:sz w:val="24"/>
    </w:rPr>
  </w:style>
  <w:style w:type="character" w:customStyle="1" w:styleId="26">
    <w:name w:val="批注框文本 字符"/>
    <w:link w:val="11"/>
    <w:semiHidden/>
    <w:qFormat/>
    <w:locked/>
    <w:uiPriority w:val="99"/>
    <w:rPr>
      <w:rFonts w:cs="Times New Roman"/>
      <w:sz w:val="2"/>
    </w:rPr>
  </w:style>
  <w:style w:type="character" w:customStyle="1" w:styleId="27">
    <w:name w:val="页脚 字符"/>
    <w:link w:val="12"/>
    <w:semiHidden/>
    <w:qFormat/>
    <w:locked/>
    <w:uiPriority w:val="99"/>
    <w:rPr>
      <w:rFonts w:cs="Times New Roman"/>
      <w:sz w:val="18"/>
      <w:szCs w:val="18"/>
    </w:rPr>
  </w:style>
  <w:style w:type="character" w:customStyle="1" w:styleId="28">
    <w:name w:val="页眉 字符"/>
    <w:link w:val="13"/>
    <w:qFormat/>
    <w:locked/>
    <w:uiPriority w:val="99"/>
    <w:rPr>
      <w:rFonts w:cs="Times New Roman"/>
      <w:kern w:val="2"/>
      <w:sz w:val="18"/>
    </w:rPr>
  </w:style>
  <w:style w:type="character" w:customStyle="1" w:styleId="29">
    <w:name w:val="批注主题 字符"/>
    <w:link w:val="15"/>
    <w:qFormat/>
    <w:locked/>
    <w:uiPriority w:val="99"/>
    <w:rPr>
      <w:rFonts w:cs="Times New Roman"/>
      <w:b/>
      <w:kern w:val="2"/>
      <w:sz w:val="24"/>
    </w:rPr>
  </w:style>
  <w:style w:type="paragraph" w:customStyle="1" w:styleId="30">
    <w:name w:val="Char"/>
    <w:basedOn w:val="1"/>
    <w:qFormat/>
    <w:uiPriority w:val="99"/>
    <w:pPr>
      <w:tabs>
        <w:tab w:val="left" w:pos="360"/>
      </w:tabs>
    </w:pPr>
    <w:rPr>
      <w:sz w:val="24"/>
    </w:rPr>
  </w:style>
  <w:style w:type="character" w:customStyle="1" w:styleId="31">
    <w:name w:val="列出段落 字符"/>
    <w:link w:val="32"/>
    <w:qFormat/>
    <w:locked/>
    <w:uiPriority w:val="0"/>
  </w:style>
  <w:style w:type="paragraph" w:styleId="32">
    <w:name w:val="List Paragraph"/>
    <w:basedOn w:val="1"/>
    <w:link w:val="31"/>
    <w:qFormat/>
    <w:uiPriority w:val="34"/>
    <w:pPr>
      <w:widowControl/>
      <w:ind w:firstLine="420" w:firstLineChars="200"/>
      <w:jc w:val="left"/>
    </w:pPr>
    <w:rPr>
      <w:kern w:val="0"/>
      <w:sz w:val="20"/>
      <w:szCs w:val="20"/>
    </w:rPr>
  </w:style>
  <w:style w:type="table" w:customStyle="1" w:styleId="33">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Placeholder Text"/>
    <w:semiHidden/>
    <w:qFormat/>
    <w:uiPriority w:val="99"/>
    <w:rPr>
      <w:rFonts w:cs="Times New Roman"/>
      <w:color w:val="808080"/>
    </w:rPr>
  </w:style>
  <w:style w:type="paragraph" w:customStyle="1" w:styleId="35">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36">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37">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8">
    <w:name w:val="列出段落2"/>
    <w:basedOn w:val="1"/>
    <w:qFormat/>
    <w:uiPriority w:val="99"/>
    <w:pPr>
      <w:ind w:firstLine="420" w:firstLineChars="200"/>
    </w:pPr>
    <w:rPr>
      <w:rFonts w:ascii="Calibri" w:hAnsi="Calibri"/>
      <w:szCs w:val="22"/>
    </w:rPr>
  </w:style>
  <w:style w:type="character" w:customStyle="1" w:styleId="39">
    <w:name w:val="标题 2 Char Char Char"/>
    <w:qFormat/>
    <w:uiPriority w:val="99"/>
    <w:rPr>
      <w:rFonts w:ascii="Arial" w:hAnsi="Arial" w:eastAsia="黑体"/>
      <w:b/>
      <w:kern w:val="2"/>
      <w:sz w:val="32"/>
      <w:lang w:val="en-US" w:eastAsia="zh-CN"/>
    </w:rPr>
  </w:style>
  <w:style w:type="paragraph" w:customStyle="1" w:styleId="40">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1">
    <w:name w:val="正文文本 字符"/>
    <w:link w:val="5"/>
    <w:qFormat/>
    <w:uiPriority w:val="99"/>
    <w:rPr>
      <w:kern w:val="2"/>
      <w:sz w:val="21"/>
      <w:szCs w:val="24"/>
    </w:rPr>
  </w:style>
  <w:style w:type="paragraph" w:customStyle="1" w:styleId="42">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43">
    <w:name w:val="正文2"/>
    <w:basedOn w:val="1"/>
    <w:qFormat/>
    <w:uiPriority w:val="0"/>
    <w:pPr>
      <w:spacing w:before="156" w:line="360" w:lineRule="auto"/>
      <w:ind w:firstLine="510" w:firstLineChars="200"/>
    </w:pPr>
    <w:rPr>
      <w:sz w:val="24"/>
    </w:rPr>
  </w:style>
  <w:style w:type="paragraph" w:customStyle="1" w:styleId="44">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45">
    <w:name w:val="A9"/>
    <w:qFormat/>
    <w:uiPriority w:val="0"/>
    <w:rPr>
      <w:rFonts w:cs="PSFEIH+StoneSans"/>
      <w:color w:val="262424"/>
      <w:sz w:val="20"/>
      <w:szCs w:val="20"/>
    </w:rPr>
  </w:style>
  <w:style w:type="paragraph" w:customStyle="1" w:styleId="46">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47">
    <w:name w:val="A14"/>
    <w:qFormat/>
    <w:uiPriority w:val="99"/>
    <w:rPr>
      <w:rFonts w:cs="Open Sans Light"/>
      <w:color w:val="FFFFFF"/>
      <w:sz w:val="13"/>
      <w:szCs w:val="13"/>
    </w:rPr>
  </w:style>
  <w:style w:type="paragraph" w:customStyle="1" w:styleId="48">
    <w:name w:val="表格文字"/>
    <w:basedOn w:val="1"/>
    <w:next w:val="5"/>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8CE5EE-8EF4-469C-8E5D-05AEF73485F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2670</Words>
  <Characters>15219</Characters>
  <Lines>126</Lines>
  <Paragraphs>35</Paragraphs>
  <TotalTime>0</TotalTime>
  <ScaleCrop>false</ScaleCrop>
  <LinksUpToDate>false</LinksUpToDate>
  <CharactersWithSpaces>17854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2020-07-16T05:25:00Z</dcterms:created>
  <dc:creator>微软用户</dc:creator>
  <cp:lastModifiedBy>nxdlu</cp:lastModifiedBy>
  <cp:lastPrinted>2019-11-22T01:53:00Z</cp:lastPrinted>
  <dcterms:modified xsi:type="dcterms:W3CDTF">2020-07-17T13:35:03Z</dcterms:modified>
  <dc:title>淮海工学院A8-10号楼学生宿舍家具招标书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