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b/>
          <w:sz w:val="44"/>
          <w:szCs w:val="44"/>
          <w:highlight w:val="none"/>
        </w:rPr>
      </w:pPr>
      <w:bookmarkStart w:id="0" w:name="OLE_LINK2"/>
      <w:bookmarkStart w:id="1" w:name="OLE_LINK1"/>
      <w:r>
        <w:rPr>
          <w:b/>
          <w:sz w:val="44"/>
          <w:szCs w:val="44"/>
          <w:highlight w:val="none"/>
        </w:rPr>
        <w:t>南京信息工程大学</w:t>
      </w:r>
      <w:bookmarkEnd w:id="0"/>
      <w:bookmarkEnd w:id="1"/>
      <w:r>
        <w:rPr>
          <w:rFonts w:hint="eastAsia" w:ascii="宋体" w:hAnsi="宋体"/>
          <w:b/>
          <w:sz w:val="44"/>
          <w:szCs w:val="44"/>
          <w:highlight w:val="none"/>
        </w:rPr>
        <w:t>教室课桌椅采购及安装服务</w:t>
      </w:r>
      <w:r>
        <w:rPr>
          <w:b/>
          <w:sz w:val="44"/>
          <w:szCs w:val="44"/>
          <w:highlight w:val="none"/>
        </w:rPr>
        <w:t>项目招标文件</w:t>
      </w:r>
    </w:p>
    <w:p>
      <w:pPr>
        <w:pStyle w:val="8"/>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（招标编号：ZWC2020015）</w:t>
      </w: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20年07月10日1</w:t>
      </w:r>
      <w:r>
        <w:rPr>
          <w:rFonts w:hint="eastAsia" w:ascii="宋体" w:hAnsi="宋体" w:cs="仿宋"/>
          <w:sz w:val="28"/>
          <w:szCs w:val="28"/>
          <w:highlight w:val="none"/>
          <w:u w:val="single"/>
          <w:lang w:val="en-US" w:eastAsia="zh-CN"/>
        </w:rPr>
        <w:t>6</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w:t>
      </w:r>
      <w:r>
        <w:rPr>
          <w:rFonts w:hint="eastAsia" w:ascii="宋体" w:hAnsi="宋体"/>
          <w:sz w:val="28"/>
          <w:szCs w:val="28"/>
          <w:highlight w:val="none"/>
          <w:lang w:val="en-US" w:eastAsia="zh-CN"/>
        </w:rPr>
        <w:t>教学工作</w:t>
      </w:r>
      <w:r>
        <w:rPr>
          <w:rFonts w:ascii="宋体" w:hAnsi="宋体"/>
          <w:sz w:val="28"/>
          <w:szCs w:val="28"/>
          <w:highlight w:val="none"/>
        </w:rPr>
        <w:t>需要，受</w:t>
      </w:r>
      <w:r>
        <w:rPr>
          <w:rFonts w:hint="eastAsia" w:ascii="宋体" w:hAnsi="宋体"/>
          <w:sz w:val="28"/>
          <w:szCs w:val="28"/>
          <w:highlight w:val="none"/>
        </w:rPr>
        <w:t>总务处</w:t>
      </w:r>
      <w:r>
        <w:rPr>
          <w:rFonts w:ascii="宋体" w:hAnsi="宋体"/>
          <w:sz w:val="28"/>
          <w:szCs w:val="28"/>
          <w:highlight w:val="none"/>
        </w:rPr>
        <w:t>委托，就</w:t>
      </w:r>
      <w:r>
        <w:rPr>
          <w:rFonts w:hint="eastAsia" w:ascii="宋体" w:hAnsi="宋体"/>
          <w:sz w:val="28"/>
          <w:szCs w:val="28"/>
          <w:highlight w:val="none"/>
        </w:rPr>
        <w:t>教室课桌椅采购及安装服务项目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3"/>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3"/>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sz w:val="28"/>
          <w:szCs w:val="28"/>
          <w:highlight w:val="none"/>
        </w:rPr>
        <w:t>教室课桌椅采购及安装服务项目</w:t>
      </w:r>
      <w:r>
        <w:rPr>
          <w:rFonts w:ascii="宋体" w:hAnsi="宋体"/>
          <w:kern w:val="2"/>
          <w:sz w:val="28"/>
          <w:szCs w:val="28"/>
          <w:highlight w:val="none"/>
        </w:rPr>
        <w:t>。</w:t>
      </w:r>
    </w:p>
    <w:p>
      <w:pPr>
        <w:spacing w:line="348" w:lineRule="auto"/>
        <w:ind w:firstLine="560" w:firstLineChars="200"/>
        <w:rPr>
          <w:rFonts w:ascii="宋体" w:hAnsi="宋体"/>
          <w:sz w:val="28"/>
          <w:szCs w:val="28"/>
          <w:highlight w:val="none"/>
        </w:rPr>
      </w:pPr>
      <w:r>
        <w:rPr>
          <w:rFonts w:hint="eastAsia" w:ascii="宋体" w:hAnsi="宋体"/>
          <w:sz w:val="28"/>
          <w:szCs w:val="28"/>
          <w:highlight w:val="none"/>
        </w:rPr>
        <w:t>2</w:t>
      </w:r>
      <w:r>
        <w:rPr>
          <w:rFonts w:ascii="宋体" w:hAnsi="宋体"/>
          <w:kern w:val="2"/>
          <w:sz w:val="28"/>
          <w:szCs w:val="28"/>
          <w:highlight w:val="none"/>
        </w:rPr>
        <w:t xml:space="preserve">. </w:t>
      </w:r>
      <w:r>
        <w:rPr>
          <w:rFonts w:hint="eastAsia" w:ascii="宋体" w:hAnsi="宋体"/>
          <w:sz w:val="28"/>
          <w:szCs w:val="28"/>
          <w:highlight w:val="none"/>
        </w:rPr>
        <w:t>招标项目简要内容：</w:t>
      </w:r>
    </w:p>
    <w:p>
      <w:pPr>
        <w:spacing w:line="348" w:lineRule="auto"/>
        <w:ind w:firstLine="570"/>
        <w:rPr>
          <w:rFonts w:ascii="宋体" w:hAnsi="宋体"/>
          <w:sz w:val="28"/>
          <w:szCs w:val="28"/>
          <w:highlight w:val="none"/>
        </w:rPr>
      </w:pPr>
      <w:r>
        <w:rPr>
          <w:rFonts w:hint="eastAsia" w:ascii="宋体" w:hAnsi="宋体"/>
          <w:sz w:val="28"/>
          <w:szCs w:val="28"/>
          <w:highlight w:val="none"/>
        </w:rPr>
        <w:t>（1）工程</w:t>
      </w:r>
      <w:r>
        <w:rPr>
          <w:rFonts w:ascii="宋体" w:hAnsi="宋体"/>
          <w:sz w:val="28"/>
          <w:szCs w:val="28"/>
          <w:highlight w:val="none"/>
        </w:rPr>
        <w:t>地点：</w:t>
      </w:r>
      <w:r>
        <w:rPr>
          <w:rFonts w:hint="eastAsia" w:ascii="宋体" w:hAnsi="宋体"/>
          <w:sz w:val="28"/>
          <w:szCs w:val="28"/>
          <w:highlight w:val="none"/>
        </w:rPr>
        <w:t>南京信息工程大学。</w:t>
      </w:r>
    </w:p>
    <w:p>
      <w:pPr>
        <w:pStyle w:val="41"/>
        <w:adjustRightInd w:val="0"/>
        <w:snapToGrid w:val="0"/>
        <w:spacing w:before="0" w:beforeAutospacing="0" w:after="0" w:afterAutospacing="0" w:line="360" w:lineRule="auto"/>
        <w:ind w:firstLine="560" w:firstLineChars="200"/>
        <w:rPr>
          <w:color w:val="auto"/>
          <w:sz w:val="28"/>
          <w:szCs w:val="28"/>
          <w:highlight w:val="none"/>
        </w:rPr>
      </w:pPr>
      <w:r>
        <w:rPr>
          <w:rFonts w:hint="eastAsia"/>
          <w:color w:val="auto"/>
          <w:sz w:val="28"/>
          <w:szCs w:val="28"/>
          <w:highlight w:val="none"/>
        </w:rPr>
        <w:t>（2）承包方式：包工包料。</w:t>
      </w:r>
    </w:p>
    <w:p>
      <w:pPr>
        <w:pStyle w:val="41"/>
        <w:adjustRightInd w:val="0"/>
        <w:snapToGrid w:val="0"/>
        <w:spacing w:before="0" w:beforeAutospacing="0" w:after="0" w:afterAutospacing="0" w:line="360" w:lineRule="auto"/>
        <w:ind w:firstLine="560" w:firstLineChars="200"/>
        <w:rPr>
          <w:color w:val="auto"/>
          <w:sz w:val="28"/>
          <w:szCs w:val="28"/>
          <w:highlight w:val="none"/>
          <w:u w:val="single"/>
        </w:rPr>
      </w:pPr>
      <w:r>
        <w:rPr>
          <w:rFonts w:hint="eastAsia"/>
          <w:color w:val="auto"/>
          <w:sz w:val="28"/>
          <w:szCs w:val="28"/>
          <w:highlight w:val="none"/>
        </w:rPr>
        <w:t>（3）主要工作内容：南京信息工程大学</w:t>
      </w:r>
      <w:r>
        <w:rPr>
          <w:rFonts w:hint="eastAsia"/>
          <w:sz w:val="28"/>
          <w:szCs w:val="28"/>
          <w:highlight w:val="none"/>
        </w:rPr>
        <w:t>教室课桌椅</w:t>
      </w:r>
      <w:r>
        <w:rPr>
          <w:rFonts w:hint="eastAsia"/>
          <w:color w:val="auto"/>
          <w:sz w:val="28"/>
          <w:szCs w:val="28"/>
          <w:highlight w:val="none"/>
        </w:rPr>
        <w:t>。具体清单及规格型号详见本招标文件。</w:t>
      </w:r>
    </w:p>
    <w:p>
      <w:pPr>
        <w:pStyle w:val="41"/>
        <w:adjustRightInd w:val="0"/>
        <w:snapToGrid w:val="0"/>
        <w:spacing w:before="0" w:beforeAutospacing="0" w:after="0" w:afterAutospacing="0" w:line="360" w:lineRule="auto"/>
        <w:ind w:firstLine="560" w:firstLineChars="200"/>
        <w:rPr>
          <w:color w:val="auto"/>
          <w:sz w:val="28"/>
          <w:szCs w:val="28"/>
          <w:highlight w:val="none"/>
        </w:rPr>
      </w:pPr>
      <w:r>
        <w:rPr>
          <w:rFonts w:hint="eastAsia"/>
          <w:color w:val="auto"/>
          <w:sz w:val="28"/>
          <w:szCs w:val="28"/>
          <w:highlight w:val="none"/>
        </w:rPr>
        <w:t>（</w:t>
      </w:r>
      <w:r>
        <w:rPr>
          <w:color w:val="auto"/>
          <w:sz w:val="28"/>
          <w:szCs w:val="28"/>
          <w:highlight w:val="none"/>
        </w:rPr>
        <w:t>4</w:t>
      </w:r>
      <w:r>
        <w:rPr>
          <w:rFonts w:hint="eastAsia"/>
          <w:color w:val="auto"/>
          <w:sz w:val="28"/>
          <w:szCs w:val="28"/>
          <w:highlight w:val="none"/>
        </w:rPr>
        <w:t>）工期</w:t>
      </w:r>
      <w:r>
        <w:rPr>
          <w:color w:val="auto"/>
          <w:sz w:val="28"/>
          <w:szCs w:val="28"/>
          <w:highlight w:val="none"/>
        </w:rPr>
        <w:t>：</w:t>
      </w:r>
      <w:r>
        <w:rPr>
          <w:rFonts w:hint="eastAsia"/>
          <w:color w:val="auto"/>
          <w:sz w:val="28"/>
          <w:szCs w:val="28"/>
          <w:highlight w:val="none"/>
        </w:rPr>
        <w:t>接中标通知书起</w:t>
      </w:r>
      <w:r>
        <w:rPr>
          <w:rFonts w:hint="eastAsia"/>
          <w:color w:val="auto"/>
          <w:sz w:val="28"/>
          <w:szCs w:val="28"/>
          <w:highlight w:val="none"/>
          <w:u w:val="single"/>
        </w:rPr>
        <w:t>3</w:t>
      </w:r>
      <w:r>
        <w:rPr>
          <w:color w:val="auto"/>
          <w:sz w:val="28"/>
          <w:szCs w:val="28"/>
          <w:highlight w:val="none"/>
          <w:u w:val="single"/>
        </w:rPr>
        <w:t>0</w:t>
      </w:r>
      <w:r>
        <w:rPr>
          <w:rFonts w:hint="eastAsia"/>
          <w:color w:val="auto"/>
          <w:sz w:val="28"/>
          <w:szCs w:val="28"/>
          <w:highlight w:val="none"/>
        </w:rPr>
        <w:t>天内全部安装、调试、检测到位，确保所有家具能够正常投入使用。</w:t>
      </w:r>
    </w:p>
    <w:p>
      <w:pPr>
        <w:pStyle w:val="41"/>
        <w:adjustRightInd w:val="0"/>
        <w:snapToGrid w:val="0"/>
        <w:spacing w:before="0" w:beforeAutospacing="0" w:after="0" w:afterAutospacing="0" w:line="360" w:lineRule="auto"/>
        <w:ind w:firstLine="560" w:firstLineChars="200"/>
        <w:rPr>
          <w:color w:val="auto"/>
          <w:sz w:val="28"/>
          <w:szCs w:val="28"/>
          <w:highlight w:val="none"/>
          <w:u w:val="single"/>
        </w:rPr>
      </w:pPr>
      <w:r>
        <w:rPr>
          <w:rFonts w:hint="eastAsia"/>
          <w:color w:val="auto"/>
          <w:sz w:val="28"/>
          <w:szCs w:val="28"/>
          <w:highlight w:val="none"/>
        </w:rPr>
        <w:t>（</w:t>
      </w:r>
      <w:r>
        <w:rPr>
          <w:color w:val="auto"/>
          <w:sz w:val="28"/>
          <w:szCs w:val="28"/>
          <w:highlight w:val="none"/>
        </w:rPr>
        <w:t>5</w:t>
      </w:r>
      <w:r>
        <w:rPr>
          <w:rFonts w:hint="eastAsia"/>
          <w:color w:val="auto"/>
          <w:sz w:val="28"/>
          <w:szCs w:val="28"/>
          <w:highlight w:val="none"/>
        </w:rPr>
        <w:t>）工程质量：</w:t>
      </w:r>
      <w:r>
        <w:rPr>
          <w:rFonts w:hint="eastAsia"/>
          <w:color w:val="auto"/>
          <w:sz w:val="28"/>
          <w:szCs w:val="28"/>
          <w:highlight w:val="none"/>
          <w:u w:val="single"/>
        </w:rPr>
        <w:t>合格。</w:t>
      </w:r>
    </w:p>
    <w:p>
      <w:pPr>
        <w:pStyle w:val="41"/>
        <w:adjustRightInd w:val="0"/>
        <w:snapToGrid w:val="0"/>
        <w:spacing w:before="0" w:beforeAutospacing="0" w:after="0" w:afterAutospacing="0" w:line="360" w:lineRule="auto"/>
        <w:ind w:firstLine="560" w:firstLineChars="200"/>
        <w:rPr>
          <w:kern w:val="2"/>
          <w:sz w:val="28"/>
          <w:szCs w:val="28"/>
          <w:highlight w:val="none"/>
        </w:rPr>
      </w:pPr>
      <w:r>
        <w:rPr>
          <w:rFonts w:hint="eastAsia"/>
          <w:color w:val="auto"/>
          <w:sz w:val="28"/>
          <w:szCs w:val="28"/>
          <w:highlight w:val="none"/>
        </w:rPr>
        <w:t>（</w:t>
      </w:r>
      <w:r>
        <w:rPr>
          <w:color w:val="auto"/>
          <w:sz w:val="28"/>
          <w:szCs w:val="28"/>
          <w:highlight w:val="none"/>
        </w:rPr>
        <w:t>6</w:t>
      </w:r>
      <w:r>
        <w:rPr>
          <w:rFonts w:hint="eastAsia"/>
          <w:color w:val="auto"/>
          <w:sz w:val="28"/>
          <w:szCs w:val="28"/>
          <w:highlight w:val="none"/>
        </w:rPr>
        <w:t>）质保期: 不低于</w:t>
      </w:r>
      <w:r>
        <w:rPr>
          <w:color w:val="auto"/>
          <w:sz w:val="28"/>
          <w:szCs w:val="28"/>
          <w:highlight w:val="none"/>
        </w:rPr>
        <w:t>4</w:t>
      </w:r>
      <w:r>
        <w:rPr>
          <w:rFonts w:hint="eastAsia"/>
          <w:color w:val="auto"/>
          <w:sz w:val="28"/>
          <w:szCs w:val="28"/>
          <w:highlight w:val="none"/>
        </w:rPr>
        <w:t>年。</w:t>
      </w:r>
    </w:p>
    <w:p>
      <w:pPr>
        <w:spacing w:line="300" w:lineRule="auto"/>
        <w:ind w:firstLine="560" w:firstLineChars="200"/>
        <w:rPr>
          <w:rFonts w:ascii="宋体" w:hAnsi="宋体"/>
          <w:sz w:val="28"/>
          <w:szCs w:val="28"/>
          <w:highlight w:val="none"/>
        </w:rPr>
      </w:pPr>
      <w:r>
        <w:rPr>
          <w:rFonts w:hint="eastAsia" w:ascii="宋体" w:hAnsi="宋体"/>
          <w:sz w:val="28"/>
          <w:szCs w:val="28"/>
          <w:highlight w:val="none"/>
        </w:rPr>
        <w:t>3</w:t>
      </w:r>
      <w:r>
        <w:rPr>
          <w:rFonts w:ascii="宋体" w:hAnsi="宋体"/>
          <w:sz w:val="28"/>
          <w:szCs w:val="28"/>
          <w:highlight w:val="none"/>
        </w:rPr>
        <w:t xml:space="preserve">. </w:t>
      </w:r>
      <w:r>
        <w:rPr>
          <w:rFonts w:hint="eastAsia" w:ascii="宋体" w:hAnsi="宋体"/>
          <w:sz w:val="28"/>
          <w:szCs w:val="28"/>
          <w:highlight w:val="none"/>
        </w:rPr>
        <w:t>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bookmarkStart w:id="2" w:name="_Hlk9865971"/>
      <w:r>
        <w:rPr>
          <w:rFonts w:hint="eastAsia" w:ascii="宋体" w:hAnsi="宋体"/>
          <w:sz w:val="28"/>
          <w:szCs w:val="28"/>
          <w:highlight w:val="none"/>
        </w:rPr>
        <w:t>4.本次招标采取公开招标方式，不承诺最低价（最高价）中标。招标公告和中标公示信息均在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0"/>
          <w:b/>
          <w:color w:val="auto"/>
          <w:sz w:val="24"/>
          <w:highlight w:val="none"/>
        </w:rPr>
        <w:t>https://bulletin.nuist.edu.cn/779/lis</w:t>
      </w:r>
      <w:r>
        <w:rPr>
          <w:rStyle w:val="20"/>
          <w:color w:val="auto"/>
          <w:sz w:val="24"/>
          <w:highlight w:val="none"/>
        </w:rPr>
        <w:t>t.htm</w:t>
      </w:r>
      <w:r>
        <w:rPr>
          <w:rStyle w:val="20"/>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rPr>
        <w:t>zbc.nuist.edu.cn</w:t>
      </w:r>
      <w:r>
        <w:rPr>
          <w:rFonts w:ascii="宋体" w:hAnsi="宋体"/>
          <w:b/>
          <w:sz w:val="24"/>
          <w:szCs w:val="28"/>
          <w:highlight w:val="non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bookmarkStart w:id="3" w:name="_Hlk9866054"/>
      <w:r>
        <w:rPr>
          <w:rFonts w:hint="eastAsia" w:ascii="宋体" w:hAnsi="宋体"/>
          <w:sz w:val="28"/>
          <w:szCs w:val="28"/>
          <w:highlight w:val="none"/>
        </w:rPr>
        <w:t>5.招标文件由我校采购人、项目归口管理部门和财务处联合起草；经学校相关职能部门会审通过形成正式招标文件。同时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份纸质的正式招标文件，由财务处负责人和招标</w:t>
      </w:r>
      <w:r>
        <w:rPr>
          <w:rFonts w:hint="eastAsia" w:ascii="宋体" w:hAnsi="宋体" w:cs="宋体"/>
          <w:sz w:val="28"/>
          <w:szCs w:val="28"/>
          <w:highlight w:val="none"/>
          <w:lang w:val="en-US" w:eastAsia="zh-CN"/>
        </w:rPr>
        <w:t>办</w:t>
      </w:r>
      <w:r>
        <w:rPr>
          <w:rFonts w:hint="eastAsia" w:ascii="宋体" w:hAnsi="宋体" w:cs="宋体"/>
          <w:sz w:val="28"/>
          <w:szCs w:val="28"/>
          <w:highlight w:val="none"/>
        </w:rPr>
        <w:t>工作人员同时签字并加盖财务处骑缝章后，分别交财务处、项目归口管理部门（或采购人）、审计处各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sz w:val="28"/>
          <w:szCs w:val="28"/>
          <w:highlight w:val="none"/>
        </w:rPr>
      </w:pPr>
      <w:r>
        <w:rPr>
          <w:rFonts w:hint="eastAsia" w:ascii="宋体" w:hAnsi="宋体"/>
          <w:sz w:val="28"/>
          <w:szCs w:val="28"/>
          <w:highlight w:val="none"/>
        </w:rPr>
        <w:t>6</w:t>
      </w:r>
      <w:r>
        <w:rPr>
          <w:rFonts w:ascii="宋体" w:hAnsi="宋体"/>
          <w:sz w:val="28"/>
          <w:szCs w:val="28"/>
          <w:highlight w:val="none"/>
        </w:rPr>
        <w:t>.</w:t>
      </w:r>
      <w:r>
        <w:rPr>
          <w:rFonts w:hint="eastAsia" w:ascii="宋体" w:hAnsi="宋体"/>
          <w:sz w:val="28"/>
          <w:szCs w:val="28"/>
          <w:highlight w:val="none"/>
        </w:rPr>
        <w:t>正式的答疑回复文件也按上述方式处理留存。</w:t>
      </w:r>
    </w:p>
    <w:p>
      <w:pPr>
        <w:pStyle w:val="41"/>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hint="eastAsia" w:cs="Times New Roman"/>
          <w:color w:val="auto"/>
          <w:kern w:val="2"/>
          <w:sz w:val="28"/>
          <w:szCs w:val="28"/>
          <w:highlight w:val="none"/>
        </w:rPr>
        <w:t>7</w:t>
      </w:r>
      <w:r>
        <w:rPr>
          <w:rFonts w:cs="Times New Roman"/>
          <w:color w:val="auto"/>
          <w:kern w:val="2"/>
          <w:sz w:val="28"/>
          <w:szCs w:val="28"/>
          <w:highlight w:val="none"/>
        </w:rPr>
        <w:t>.</w:t>
      </w:r>
      <w:r>
        <w:rPr>
          <w:rFonts w:hint="eastAsia" w:cs="Times New Roman"/>
          <w:color w:val="auto"/>
          <w:kern w:val="2"/>
          <w:sz w:val="28"/>
          <w:szCs w:val="28"/>
          <w:highlight w:val="none"/>
        </w:rPr>
        <w:t>投标有效期：自开标之日起90天内投标有效。</w:t>
      </w:r>
    </w:p>
    <w:p>
      <w:pPr>
        <w:pStyle w:val="41"/>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8.</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kern w:val="0"/>
          <w:sz w:val="28"/>
          <w:szCs w:val="28"/>
          <w:highlight w:val="none"/>
        </w:rPr>
      </w:pPr>
      <w:r>
        <w:rPr>
          <w:rFonts w:hint="eastAsia" w:ascii="宋体" w:hAnsi="宋体" w:cs="Arial"/>
          <w:sz w:val="28"/>
          <w:szCs w:val="28"/>
          <w:highlight w:val="none"/>
        </w:rPr>
        <w:t>（一）参加政府采购的供应商应当具备政府采购法</w:t>
      </w:r>
      <w:r>
        <w:rPr>
          <w:rFonts w:ascii="宋体" w:hAnsi="宋体" w:cs="Arial"/>
          <w:sz w:val="28"/>
          <w:szCs w:val="28"/>
          <w:highlight w:val="none"/>
        </w:rPr>
        <w:t>第二十二条</w:t>
      </w:r>
      <w:r>
        <w:rPr>
          <w:rFonts w:hint="eastAsia" w:ascii="宋体" w:hAnsi="宋体" w:cs="Arial"/>
          <w:sz w:val="28"/>
          <w:szCs w:val="28"/>
          <w:highlight w:val="none"/>
        </w:rPr>
        <w:t>第一款</w:t>
      </w:r>
      <w:r>
        <w:rPr>
          <w:rFonts w:ascii="宋体" w:hAnsi="宋体" w:cs="Arial"/>
          <w:sz w:val="28"/>
          <w:szCs w:val="28"/>
          <w:highlight w:val="none"/>
        </w:rPr>
        <w:t>规定</w:t>
      </w:r>
      <w:r>
        <w:rPr>
          <w:rFonts w:hint="eastAsia" w:ascii="宋体" w:hAnsi="宋体" w:cs="Arial"/>
          <w:sz w:val="28"/>
          <w:szCs w:val="28"/>
          <w:highlight w:val="none"/>
        </w:rPr>
        <w:t>的条件，并依照政府采购法实施条例第十七条规定提供下列材料：</w:t>
      </w:r>
    </w:p>
    <w:p>
      <w:pPr>
        <w:adjustRightInd w:val="0"/>
        <w:snapToGrid w:val="0"/>
        <w:spacing w:line="360" w:lineRule="auto"/>
        <w:ind w:firstLine="560" w:firstLineChars="200"/>
        <w:rPr>
          <w:rFonts w:ascii="宋体" w:hAnsi="宋体"/>
          <w:sz w:val="28"/>
          <w:szCs w:val="28"/>
          <w:highlight w:val="none"/>
        </w:rPr>
      </w:pPr>
      <w:r>
        <w:rPr>
          <w:rFonts w:hint="eastAsia" w:ascii="宋体" w:hAnsi="宋体" w:cs="Arial"/>
          <w:sz w:val="28"/>
          <w:szCs w:val="28"/>
          <w:highlight w:val="none"/>
        </w:rPr>
        <w:t>1.具有独立承担民事责任的能力</w:t>
      </w:r>
      <w:r>
        <w:rPr>
          <w:rFonts w:hint="eastAsia" w:ascii="宋体" w:hAnsi="宋体"/>
          <w:sz w:val="28"/>
          <w:szCs w:val="28"/>
          <w:highlight w:val="none"/>
        </w:rPr>
        <w:t>：须为独立法人企业，需提供企业法人营业执照；</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2.具有良好的商业信誉和健全的财务会计制度</w:t>
      </w:r>
      <w:r>
        <w:rPr>
          <w:rFonts w:hint="eastAsia" w:ascii="宋体" w:hAnsi="宋体"/>
          <w:sz w:val="28"/>
          <w:szCs w:val="28"/>
          <w:highlight w:val="none"/>
        </w:rPr>
        <w:t>：需提供参加本次投标活动前近六个月内（2020年01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4.有依法缴纳税收和社会保障资金的良好记录</w:t>
      </w:r>
      <w:r>
        <w:rPr>
          <w:rFonts w:hint="eastAsia" w:ascii="宋体" w:hAnsi="宋体"/>
          <w:sz w:val="28"/>
          <w:szCs w:val="28"/>
          <w:highlight w:val="none"/>
        </w:rPr>
        <w:t>：提供参加本次投标活动前近六个月内（2020年01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5.参加政府采购活动前三年内，在经营活动中没有违法记录</w:t>
      </w:r>
      <w:r>
        <w:rPr>
          <w:rFonts w:hint="eastAsia" w:ascii="宋体" w:hAnsi="宋体"/>
          <w:sz w:val="28"/>
          <w:szCs w:val="28"/>
          <w:highlight w:val="none"/>
        </w:rPr>
        <w:t>：需提供参加本次投标活动前3年内在经营活动中没有重大违法记录的书面声明；</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6.法律、行政法规规定的其他条件：无。</w:t>
      </w:r>
    </w:p>
    <w:p>
      <w:pPr>
        <w:pStyle w:val="2"/>
        <w:ind w:firstLine="560"/>
        <w:rPr>
          <w:rFonts w:ascii="宋体" w:hAnsi="宋体" w:cs="宋体"/>
          <w:kern w:val="0"/>
          <w:sz w:val="28"/>
          <w:szCs w:val="28"/>
          <w:highlight w:val="none"/>
        </w:rPr>
      </w:pPr>
      <w:r>
        <w:rPr>
          <w:rFonts w:hint="eastAsia" w:ascii="宋体" w:hAnsi="宋体" w:cs="宋体"/>
          <w:kern w:val="0"/>
          <w:sz w:val="28"/>
          <w:szCs w:val="28"/>
          <w:highlight w:val="none"/>
        </w:rPr>
        <w:t xml:space="preserve">（二）采购人根据采购项目的特殊要求规定的特定条件，并提供符合特殊要求的证明材料或情况说明： </w:t>
      </w:r>
    </w:p>
    <w:p>
      <w:pPr>
        <w:spacing w:line="360" w:lineRule="auto"/>
        <w:ind w:firstLine="570"/>
        <w:rPr>
          <w:rFonts w:ascii="宋体" w:hAnsi="宋体"/>
          <w:sz w:val="28"/>
          <w:szCs w:val="28"/>
          <w:highlight w:val="none"/>
        </w:rPr>
      </w:pPr>
      <w:r>
        <w:rPr>
          <w:rFonts w:hint="eastAsia" w:ascii="宋体" w:hAnsi="宋体"/>
          <w:sz w:val="28"/>
          <w:szCs w:val="28"/>
          <w:highlight w:val="none"/>
        </w:rPr>
        <w:t>生产商必须具备国家颁布的中国环保产品认证（CQC）（提供资质证书复印件加盖公章，原件中标后备查）</w:t>
      </w:r>
    </w:p>
    <w:p>
      <w:pPr>
        <w:spacing w:line="360" w:lineRule="auto"/>
        <w:ind w:firstLine="570"/>
        <w:rPr>
          <w:b/>
          <w:bCs/>
          <w:highlight w:val="none"/>
        </w:rPr>
      </w:pPr>
      <w:r>
        <w:rPr>
          <w:rFonts w:hint="eastAsia" w:ascii="宋体" w:hAnsi="宋体"/>
          <w:sz w:val="28"/>
          <w:szCs w:val="28"/>
          <w:highlight w:val="none"/>
        </w:rPr>
        <w:t>（三）本项目不允许投标单位组成联合体进行投标，不允许转包；挂靠及借用其他企业资质、弄虚作假等报名、投标一律无效，违者一经查实，取消报名和中标资格，拉入我校招标黑名单，同时将投标单位及所有投标参与人员清出我校招标范围</w:t>
      </w:r>
      <w:r>
        <w:rPr>
          <w:rFonts w:hint="eastAsia" w:ascii="宋体" w:hAnsi="宋体"/>
          <w:b/>
          <w:bCs/>
          <w:sz w:val="28"/>
          <w:szCs w:val="28"/>
          <w:highlight w:val="none"/>
        </w:rPr>
        <w:t>（提供承诺加盖单位公章）</w:t>
      </w:r>
      <w:r>
        <w:rPr>
          <w:rFonts w:hint="eastAsia" w:ascii="宋体" w:hAnsi="宋体"/>
          <w:sz w:val="28"/>
          <w:szCs w:val="28"/>
          <w:highlight w:val="none"/>
        </w:rPr>
        <w:t>。</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（四）投标人不得存在下列情形之一</w:t>
      </w:r>
      <w:r>
        <w:rPr>
          <w:rFonts w:hint="eastAsia" w:ascii="宋体" w:hAnsi="宋体"/>
          <w:sz w:val="28"/>
          <w:szCs w:val="28"/>
          <w:highlight w:val="none"/>
        </w:rPr>
        <w:t>（</w:t>
      </w:r>
      <w:r>
        <w:rPr>
          <w:rFonts w:hint="eastAsia" w:ascii="宋体" w:hAnsi="宋体"/>
          <w:b/>
          <w:sz w:val="28"/>
          <w:szCs w:val="28"/>
          <w:highlight w:val="none"/>
        </w:rPr>
        <w:t>提供加盖投标人公章的承诺书）</w:t>
      </w:r>
      <w:r>
        <w:rPr>
          <w:rFonts w:hint="eastAsia" w:ascii="宋体" w:hAnsi="宋体" w:cs="宋体"/>
          <w:kern w:val="0"/>
          <w:sz w:val="28"/>
          <w:szCs w:val="28"/>
          <w:highlight w:val="none"/>
        </w:rPr>
        <w:t>：</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（1）为招标人不具有独立法人资格的附属机构（单位）；</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（2）与招标人存在利害关系可能影响招标公正性的；</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（3）单位负责人为同一人或者存在控股、管理关系的不同单位；</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（五）</w:t>
      </w:r>
      <w:r>
        <w:rPr>
          <w:rFonts w:hint="eastAsia" w:ascii="宋体" w:hAnsi="宋体" w:cs="宋体"/>
          <w:bCs/>
          <w:kern w:val="0"/>
          <w:sz w:val="28"/>
          <w:szCs w:val="28"/>
          <w:highlight w:val="non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kern w:val="0"/>
          <w:sz w:val="28"/>
          <w:szCs w:val="28"/>
          <w:highlight w:val="none"/>
        </w:rPr>
      </w:pPr>
      <w:r>
        <w:rPr>
          <w:rFonts w:hint="eastAsia" w:ascii="宋体" w:hAnsi="宋体" w:cs="宋体"/>
          <w:sz w:val="28"/>
          <w:szCs w:val="28"/>
          <w:highlight w:val="none"/>
        </w:rPr>
        <w:t>供应商被“信用中国”网站（www.creditchina.gov.cn）、“中国政府采购网”(www.ccgp.gov.cn)列入失信被执行人、重大税收违法案件当事人名单、政府采购严重违法失信行为记录名单</w:t>
      </w:r>
      <w:r>
        <w:rPr>
          <w:rFonts w:hint="eastAsia" w:ascii="宋体" w:hAnsi="宋体" w:cs="宋体"/>
          <w:b/>
          <w:sz w:val="28"/>
          <w:szCs w:val="28"/>
          <w:highlight w:val="none"/>
        </w:rPr>
        <w:t>（提供本项目报名截止日后的</w:t>
      </w:r>
      <w:r>
        <w:rPr>
          <w:rFonts w:hint="eastAsia" w:ascii="宋体" w:hAnsi="宋体" w:cs="宋体"/>
          <w:b/>
          <w:sz w:val="28"/>
          <w:szCs w:val="28"/>
          <w:highlight w:val="none"/>
          <w:lang w:val="en-US" w:eastAsia="zh-CN"/>
        </w:rPr>
        <w:t>以上两个</w:t>
      </w:r>
      <w:r>
        <w:rPr>
          <w:rFonts w:hint="eastAsia" w:ascii="宋体" w:hAnsi="宋体" w:cs="宋体"/>
          <w:b/>
          <w:sz w:val="28"/>
          <w:szCs w:val="28"/>
          <w:highlight w:val="none"/>
        </w:rPr>
        <w:t>网站截图并加盖单位公章）</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三、</w:t>
      </w:r>
      <w:r>
        <w:rPr>
          <w:rFonts w:hint="eastAsia" w:ascii="宋体" w:hAnsi="宋体"/>
          <w:sz w:val="28"/>
          <w:szCs w:val="28"/>
          <w:highlight w:val="none"/>
        </w:rPr>
        <w:t>投标人应按最新规范的工程量清单格式报价，每一项目只有一个报价，不应有任何选择性报价。报价中应明确所投产品（或服务）的名称、品牌和型号，每一项目的报价应附有该项目的技术性能、材质、主要附件的详细描述和材料分析表等</w:t>
      </w:r>
      <w:r>
        <w:rPr>
          <w:rFonts w:hint="eastAsia" w:ascii="宋体" w:hAnsi="宋体" w:cs="宋体"/>
          <w:sz w:val="28"/>
          <w:szCs w:val="28"/>
          <w:highlight w:val="none"/>
        </w:rPr>
        <w:t>。</w:t>
      </w:r>
    </w:p>
    <w:p>
      <w:pPr>
        <w:spacing w:line="348" w:lineRule="auto"/>
        <w:ind w:firstLine="560" w:firstLineChars="200"/>
        <w:rPr>
          <w:rFonts w:ascii="宋体" w:hAnsi="宋体"/>
          <w:sz w:val="28"/>
          <w:szCs w:val="28"/>
          <w:highlight w:val="none"/>
        </w:rPr>
      </w:pPr>
      <w:r>
        <w:rPr>
          <w:rFonts w:hint="eastAsia" w:ascii="宋体" w:hAnsi="宋体" w:cs="宋体"/>
          <w:sz w:val="28"/>
          <w:szCs w:val="28"/>
          <w:highlight w:val="none"/>
        </w:rPr>
        <w:t>四、</w:t>
      </w:r>
      <w:r>
        <w:rPr>
          <w:rFonts w:hint="eastAsia" w:ascii="宋体" w:hAnsi="宋体"/>
          <w:sz w:val="28"/>
          <w:szCs w:val="28"/>
          <w:highlight w:val="none"/>
        </w:rPr>
        <w:t>本项目为交钥匙工程，报价为工程、货物（含服务）到招标文件指定的地点安装完毕并验收合格后的最终报价。投标单位的报价应包含人工费、材料费、机械进场费、管理费、合理利润、运输费、上下力费、各项措施费（施工围挡按照甲方要求提供）、规费、税金及政策性文件规定的各项应有费用。特别应包含完成拆除后室内建筑与装修、设备、物资的保护费用，如保护不当造成损失，由施工单位负责赔偿与修复。一旦确定中标，不得另行提出其它费用要求。特别强调：机械进场费不分批次，一次性全部计入报价。投标报价应是招标文件所确定的招标范围内的全部工作内容的价格体现。</w:t>
      </w:r>
    </w:p>
    <w:p>
      <w:pPr>
        <w:pStyle w:val="41"/>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五、</w:t>
      </w:r>
      <w:r>
        <w:rPr>
          <w:rFonts w:hint="eastAsia"/>
          <w:b/>
          <w:bCs/>
          <w:color w:val="auto"/>
          <w:kern w:val="2"/>
          <w:sz w:val="28"/>
          <w:szCs w:val="28"/>
          <w:highlight w:val="none"/>
        </w:rPr>
        <w:t>本项目设最高限价70万</w:t>
      </w:r>
      <w:r>
        <w:rPr>
          <w:rFonts w:hint="eastAsia"/>
          <w:color w:val="auto"/>
          <w:kern w:val="2"/>
          <w:sz w:val="28"/>
          <w:szCs w:val="28"/>
          <w:highlight w:val="none"/>
        </w:rPr>
        <w:t>，超报价者无效。本项目只接受人民币报价。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六、投标报价编制要求</w:t>
      </w:r>
    </w:p>
    <w:p>
      <w:pPr>
        <w:tabs>
          <w:tab w:val="left" w:pos="0"/>
          <w:tab w:val="left" w:pos="993"/>
          <w:tab w:val="left" w:pos="1134"/>
        </w:tabs>
        <w:adjustRightInd w:val="0"/>
        <w:snapToGrid w:val="0"/>
        <w:spacing w:line="360" w:lineRule="auto"/>
        <w:ind w:firstLine="420" w:firstLineChars="150"/>
        <w:rPr>
          <w:rFonts w:ascii="宋体" w:hAnsi="宋体"/>
          <w:sz w:val="28"/>
          <w:szCs w:val="28"/>
          <w:highlight w:val="none"/>
        </w:rPr>
      </w:pPr>
      <w:r>
        <w:rPr>
          <w:rFonts w:hint="eastAsia" w:ascii="宋体" w:hAnsi="宋体"/>
          <w:sz w:val="28"/>
          <w:szCs w:val="28"/>
          <w:highlight w:val="none"/>
        </w:rPr>
        <w:t>（1）投标报价必须按正规清单计价软件版式编制，根据投标人实际情况自主进行，并最大限度地满足招标文件的要求，但不得低于成本。应充分考虑政策性风险、市场风险和施工过程中可能发生的费用进行报价,包括按现行规定要求的对工程实体或有关材料检验、抽样检测费等。特别是赶工措施费、环保检测费。中标后将不再另行结算支付。</w:t>
      </w:r>
    </w:p>
    <w:p>
      <w:pPr>
        <w:tabs>
          <w:tab w:val="left" w:pos="0"/>
          <w:tab w:val="left" w:pos="993"/>
          <w:tab w:val="left" w:pos="1134"/>
        </w:tabs>
        <w:adjustRightInd w:val="0"/>
        <w:snapToGrid w:val="0"/>
        <w:spacing w:line="360" w:lineRule="auto"/>
        <w:ind w:firstLine="420" w:firstLineChars="150"/>
        <w:rPr>
          <w:rFonts w:ascii="宋体" w:hAnsi="宋体"/>
          <w:sz w:val="28"/>
          <w:szCs w:val="28"/>
          <w:highlight w:val="none"/>
        </w:rPr>
      </w:pPr>
      <w:r>
        <w:rPr>
          <w:rFonts w:hint="eastAsia" w:ascii="宋体" w:hAnsi="宋体"/>
          <w:sz w:val="28"/>
          <w:szCs w:val="28"/>
          <w:highlight w:val="none"/>
        </w:rPr>
        <w:t>（2）本工程由投标人自购的材料，其规格、技术指标、质量等级详见招标工程技术方案及实体项目工程量等要求，同时必须满足相应技术规范或技术标准的要求。</w:t>
      </w:r>
    </w:p>
    <w:p>
      <w:pPr>
        <w:tabs>
          <w:tab w:val="left" w:pos="0"/>
          <w:tab w:val="left" w:pos="993"/>
          <w:tab w:val="left" w:pos="1134"/>
        </w:tabs>
        <w:adjustRightInd w:val="0"/>
        <w:snapToGrid w:val="0"/>
        <w:spacing w:line="360" w:lineRule="auto"/>
        <w:ind w:firstLine="420" w:firstLineChars="15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3</w:t>
      </w:r>
      <w:r>
        <w:rPr>
          <w:rFonts w:hint="eastAsia" w:ascii="宋体" w:hAnsi="宋体"/>
          <w:sz w:val="28"/>
          <w:szCs w:val="28"/>
          <w:highlight w:val="none"/>
        </w:rPr>
        <w:t>）中标单位必须在约定工期内完成所有项目的生产、安装，否则，将根据合同约定进行处罚。</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4</w:t>
      </w:r>
      <w:r>
        <w:rPr>
          <w:rFonts w:hint="eastAsia" w:ascii="宋体" w:hAnsi="宋体"/>
          <w:sz w:val="28"/>
          <w:szCs w:val="28"/>
          <w:highlight w:val="none"/>
        </w:rPr>
        <w:t>）环境保护费中含按政府有关部门规定应缴纳的各项费用。若由业主代交，则在工程结算时从工程款中扣回。</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5</w:t>
      </w:r>
      <w:r>
        <w:rPr>
          <w:rFonts w:hint="eastAsia" w:ascii="宋体" w:hAnsi="宋体"/>
          <w:sz w:val="28"/>
          <w:szCs w:val="28"/>
          <w:highlight w:val="none"/>
        </w:rPr>
        <w:t>）措施项目费应根据工程实际情况自行报价，未报价的措施项目费视同含在其它措施项目内工程结算时不另行增加，对已报价的措施项目也不予调整。</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6</w:t>
      </w:r>
      <w:r>
        <w:rPr>
          <w:rFonts w:hint="eastAsia" w:ascii="宋体" w:hAnsi="宋体"/>
          <w:sz w:val="28"/>
          <w:szCs w:val="28"/>
          <w:highlight w:val="none"/>
        </w:rPr>
        <w:t>）投标单位可以勘察现场，分析施工条件（水、电、路等）。建设方对于现有的施工条件将不增加任何投入，涉及到的（水、电、路等）须</w:t>
      </w:r>
      <w:r>
        <w:rPr>
          <w:rFonts w:hint="eastAsia" w:ascii="宋体" w:hAnsi="宋体"/>
          <w:sz w:val="28"/>
          <w:szCs w:val="28"/>
          <w:highlight w:val="none"/>
        </w:rPr>
        <w:t>增加投入的因素，在投标报价中予以考虑，结算时不得调整。</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7</w:t>
      </w:r>
      <w:r>
        <w:rPr>
          <w:rFonts w:hint="eastAsia" w:ascii="宋体" w:hAnsi="宋体"/>
          <w:sz w:val="28"/>
          <w:szCs w:val="28"/>
          <w:highlight w:val="none"/>
        </w:rPr>
        <w:t>）根据国家、地方规范和标准、各种现行文件规定、质检部门要求执行的而施工图和工程量清单中未明确的施工内容，在投标报价时必须综合到相关子目中进行报价，施工时不另行签证。</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8</w:t>
      </w:r>
      <w:r>
        <w:rPr>
          <w:rFonts w:hint="eastAsia" w:ascii="宋体" w:hAnsi="宋体"/>
          <w:sz w:val="28"/>
          <w:szCs w:val="28"/>
          <w:highlight w:val="none"/>
        </w:rPr>
        <w:t>）材料均由中标人自行采购，材料的价格由投标人充分考虑本工程的质量要求、工期要求以及市场竞争的风险等综合因素自行报价。所有材料报价中含价差，且为固定价，竣工结算时不作任何调整。</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w:t>
      </w:r>
      <w:r>
        <w:rPr>
          <w:rFonts w:ascii="宋体" w:hAnsi="宋体"/>
          <w:sz w:val="28"/>
          <w:szCs w:val="28"/>
          <w:highlight w:val="none"/>
        </w:rPr>
        <w:t>9</w:t>
      </w:r>
      <w:r>
        <w:rPr>
          <w:rFonts w:hint="eastAsia" w:ascii="宋体" w:hAnsi="宋体"/>
          <w:sz w:val="28"/>
          <w:szCs w:val="28"/>
          <w:highlight w:val="none"/>
        </w:rPr>
        <w:t>）因该项目为在场地改造，施工期间有可能产生的相关配合费、临时设施费等，所有人机材自行考虑并综合到相关子目中报价，施工中不另行签证。</w:t>
      </w:r>
    </w:p>
    <w:p>
      <w:pPr>
        <w:tabs>
          <w:tab w:val="left" w:pos="567"/>
        </w:tabs>
        <w:spacing w:line="360" w:lineRule="auto"/>
        <w:ind w:firstLine="420" w:firstLineChars="150"/>
        <w:rPr>
          <w:rFonts w:ascii="宋体" w:hAnsi="宋体"/>
          <w:sz w:val="28"/>
          <w:szCs w:val="28"/>
          <w:highlight w:val="none"/>
        </w:rPr>
      </w:pPr>
      <w:r>
        <w:rPr>
          <w:rFonts w:hint="eastAsia" w:ascii="宋体" w:hAnsi="宋体"/>
          <w:sz w:val="28"/>
          <w:szCs w:val="28"/>
          <w:highlight w:val="none"/>
        </w:rPr>
        <w:t>（1</w:t>
      </w:r>
      <w:r>
        <w:rPr>
          <w:rFonts w:ascii="宋体" w:hAnsi="宋体"/>
          <w:sz w:val="28"/>
          <w:szCs w:val="28"/>
          <w:highlight w:val="none"/>
        </w:rPr>
        <w:t>0</w:t>
      </w:r>
      <w:r>
        <w:rPr>
          <w:rFonts w:hint="eastAsia" w:ascii="宋体" w:hAnsi="宋体"/>
          <w:sz w:val="28"/>
          <w:szCs w:val="28"/>
          <w:highlight w:val="none"/>
        </w:rPr>
        <w:t>）本工程为固定单价合同，请各单位自行考虑满足后期施工可能发生的各类工程量增减。与合同（包括合同附件，如招标文件、图纸等）约定工作内容不符的事项均须办理工程及设计变更；所有涉及到隐蔽施工或拆除工程、工日、机械台班及其它事后不可复核的项目，均应办理工程量签证，签证数量通过《工程量签证单》进行确认；</w:t>
      </w:r>
      <w:r>
        <w:rPr>
          <w:rFonts w:hint="eastAsia" w:ascii="宋体" w:hAnsi="宋体"/>
          <w:bCs/>
          <w:iCs/>
          <w:sz w:val="28"/>
          <w:szCs w:val="28"/>
          <w:highlight w:val="none"/>
        </w:rPr>
        <w:t>同时变更部分须参照我校</w:t>
      </w:r>
      <w:r>
        <w:rPr>
          <w:rFonts w:hint="eastAsia" w:ascii="宋体" w:hAnsi="宋体"/>
          <w:b/>
          <w:bCs/>
          <w:sz w:val="28"/>
          <w:szCs w:val="28"/>
          <w:highlight w:val="none"/>
        </w:rPr>
        <w:t>《南京信息工程大学建设项目工程变更实施办法（修</w:t>
      </w:r>
      <w:r>
        <w:rPr>
          <w:rFonts w:hint="eastAsia" w:ascii="宋体" w:hAnsi="宋体"/>
          <w:b/>
          <w:bCs/>
          <w:iCs/>
          <w:sz w:val="28"/>
          <w:szCs w:val="28"/>
          <w:highlight w:val="none"/>
        </w:rPr>
        <w:t>订）</w:t>
      </w:r>
      <w:r>
        <w:rPr>
          <w:rFonts w:hint="eastAsia" w:ascii="宋体" w:hAnsi="宋体"/>
          <w:b/>
          <w:iCs/>
          <w:sz w:val="28"/>
          <w:szCs w:val="28"/>
          <w:highlight w:val="none"/>
        </w:rPr>
        <w:t>》</w:t>
      </w:r>
      <w:r>
        <w:rPr>
          <w:rFonts w:hint="eastAsia" w:ascii="宋体" w:hAnsi="宋体"/>
          <w:bCs/>
          <w:iCs/>
          <w:sz w:val="28"/>
          <w:szCs w:val="28"/>
          <w:highlight w:val="none"/>
        </w:rPr>
        <w:t>（南信大校发〔2019〕128号）。</w:t>
      </w:r>
    </w:p>
    <w:p>
      <w:pPr>
        <w:ind w:firstLine="420" w:firstLineChars="150"/>
        <w:rPr>
          <w:rFonts w:ascii="宋体" w:hAnsi="宋体"/>
          <w:sz w:val="28"/>
          <w:szCs w:val="28"/>
          <w:highlight w:val="none"/>
        </w:rPr>
      </w:pPr>
      <w:r>
        <w:rPr>
          <w:rFonts w:hint="eastAsia" w:ascii="宋体" w:hAnsi="宋体"/>
          <w:sz w:val="28"/>
          <w:szCs w:val="28"/>
          <w:highlight w:val="none"/>
        </w:rPr>
        <w:t>（1</w:t>
      </w:r>
      <w:r>
        <w:rPr>
          <w:rFonts w:ascii="宋体" w:hAnsi="宋体"/>
          <w:sz w:val="28"/>
          <w:szCs w:val="28"/>
          <w:highlight w:val="none"/>
        </w:rPr>
        <w:t>1</w:t>
      </w:r>
      <w:r>
        <w:rPr>
          <w:rFonts w:hint="eastAsia" w:ascii="宋体" w:hAnsi="宋体"/>
          <w:sz w:val="28"/>
          <w:szCs w:val="28"/>
          <w:highlight w:val="none"/>
        </w:rPr>
        <w:t>）因工程</w:t>
      </w:r>
      <w:r>
        <w:rPr>
          <w:rFonts w:ascii="宋体" w:hAnsi="宋体"/>
          <w:sz w:val="28"/>
          <w:szCs w:val="28"/>
          <w:highlight w:val="none"/>
        </w:rPr>
        <w:t>变更引起的价格调整</w:t>
      </w:r>
      <w:r>
        <w:rPr>
          <w:rFonts w:hint="eastAsia" w:ascii="宋体" w:hAnsi="宋体"/>
          <w:sz w:val="28"/>
          <w:szCs w:val="28"/>
          <w:highlight w:val="none"/>
        </w:rPr>
        <w:t>，</w:t>
      </w:r>
      <w:r>
        <w:rPr>
          <w:rFonts w:ascii="宋体" w:hAnsi="宋体"/>
          <w:sz w:val="28"/>
          <w:szCs w:val="28"/>
          <w:highlight w:val="none"/>
        </w:rPr>
        <w:t>除</w:t>
      </w:r>
      <w:r>
        <w:rPr>
          <w:rFonts w:hint="eastAsia" w:ascii="宋体" w:hAnsi="宋体"/>
          <w:sz w:val="28"/>
          <w:szCs w:val="28"/>
          <w:highlight w:val="none"/>
        </w:rPr>
        <w:t>合同</w:t>
      </w:r>
      <w:r>
        <w:rPr>
          <w:rFonts w:ascii="宋体" w:hAnsi="宋体"/>
          <w:sz w:val="28"/>
          <w:szCs w:val="28"/>
          <w:highlight w:val="none"/>
        </w:rPr>
        <w:t>专用条款另有约定外，因变更引起的价格调整按照本款约定处理：</w:t>
      </w:r>
    </w:p>
    <w:p>
      <w:pPr>
        <w:rPr>
          <w:rFonts w:ascii="宋体" w:hAnsi="宋体"/>
          <w:sz w:val="28"/>
          <w:szCs w:val="28"/>
          <w:highlight w:val="none"/>
        </w:rPr>
      </w:pPr>
      <w:r>
        <w:rPr>
          <w:rFonts w:ascii="宋体" w:hAnsi="宋体"/>
          <w:sz w:val="28"/>
          <w:szCs w:val="28"/>
          <w:highlight w:val="none"/>
        </w:rPr>
        <w:t>　　</w:t>
      </w:r>
      <w:r>
        <w:rPr>
          <w:rFonts w:hint="eastAsia" w:ascii="宋体" w:hAnsi="宋体"/>
          <w:sz w:val="28"/>
          <w:szCs w:val="28"/>
          <w:highlight w:val="none"/>
        </w:rPr>
        <w:t>a.</w:t>
      </w:r>
      <w:r>
        <w:rPr>
          <w:rFonts w:ascii="宋体" w:hAnsi="宋体"/>
          <w:sz w:val="28"/>
          <w:szCs w:val="28"/>
          <w:highlight w:val="none"/>
        </w:rPr>
        <w:t>已标价工程量清单中有适用于变更工程的子目的，采用该子目的单价</w:t>
      </w:r>
      <w:r>
        <w:rPr>
          <w:rFonts w:hint="eastAsia" w:ascii="宋体" w:hAnsi="宋体"/>
          <w:sz w:val="28"/>
          <w:szCs w:val="28"/>
          <w:highlight w:val="none"/>
        </w:rPr>
        <w:t>；</w:t>
      </w:r>
    </w:p>
    <w:p>
      <w:pPr>
        <w:rPr>
          <w:rFonts w:ascii="宋体" w:hAnsi="宋体"/>
          <w:sz w:val="28"/>
          <w:szCs w:val="28"/>
          <w:highlight w:val="none"/>
        </w:rPr>
      </w:pPr>
      <w:r>
        <w:rPr>
          <w:rFonts w:ascii="宋体" w:hAnsi="宋体"/>
          <w:sz w:val="28"/>
          <w:szCs w:val="28"/>
          <w:highlight w:val="none"/>
        </w:rPr>
        <w:t>　　</w:t>
      </w:r>
      <w:r>
        <w:rPr>
          <w:rFonts w:hint="eastAsia" w:ascii="宋体" w:hAnsi="宋体"/>
          <w:sz w:val="28"/>
          <w:szCs w:val="28"/>
          <w:highlight w:val="none"/>
        </w:rPr>
        <w:t>b.</w:t>
      </w:r>
      <w:r>
        <w:rPr>
          <w:rFonts w:ascii="宋体" w:hAnsi="宋体"/>
          <w:sz w:val="28"/>
          <w:szCs w:val="28"/>
          <w:highlight w:val="none"/>
        </w:rPr>
        <w:t>已标价工程量清单中无适用于变更工程的子目，但有类似子目的，可在合理范围内参照类似子目的单价，</w:t>
      </w:r>
      <w:r>
        <w:rPr>
          <w:rFonts w:hint="eastAsia" w:ascii="宋体" w:hAnsi="宋体"/>
          <w:sz w:val="28"/>
          <w:szCs w:val="28"/>
          <w:highlight w:val="none"/>
        </w:rPr>
        <w:t>参照投标报价水平重新组价；</w:t>
      </w:r>
    </w:p>
    <w:p>
      <w:pPr>
        <w:rPr>
          <w:rFonts w:ascii="宋体" w:hAnsi="宋体"/>
          <w:sz w:val="28"/>
          <w:szCs w:val="28"/>
          <w:highlight w:val="none"/>
        </w:rPr>
      </w:pPr>
      <w:r>
        <w:rPr>
          <w:rFonts w:ascii="宋体" w:hAnsi="宋体"/>
          <w:sz w:val="28"/>
          <w:szCs w:val="28"/>
          <w:highlight w:val="none"/>
        </w:rPr>
        <w:t>　　</w:t>
      </w:r>
      <w:r>
        <w:rPr>
          <w:rFonts w:hint="eastAsia" w:ascii="宋体" w:hAnsi="宋体"/>
          <w:sz w:val="28"/>
          <w:szCs w:val="28"/>
          <w:highlight w:val="none"/>
        </w:rPr>
        <w:t>C.</w:t>
      </w:r>
      <w:r>
        <w:rPr>
          <w:rFonts w:ascii="宋体" w:hAnsi="宋体"/>
          <w:sz w:val="28"/>
          <w:szCs w:val="28"/>
          <w:highlight w:val="none"/>
        </w:rPr>
        <w:t>已标价工程量清单中无适用或类似子目的单价，</w:t>
      </w:r>
      <w:r>
        <w:rPr>
          <w:rFonts w:hint="eastAsia" w:ascii="宋体" w:hAnsi="宋体"/>
          <w:sz w:val="28"/>
          <w:szCs w:val="28"/>
          <w:highlight w:val="none"/>
        </w:rPr>
        <w:t>参照同期《江苏工程建设材料价格信息》、按投标文件报价水平同比优惠，无信息指导价的</w:t>
      </w:r>
      <w:r>
        <w:rPr>
          <w:rFonts w:ascii="宋体" w:hAnsi="宋体"/>
          <w:sz w:val="28"/>
          <w:szCs w:val="28"/>
          <w:highlight w:val="none"/>
        </w:rPr>
        <w:t>由发包人</w:t>
      </w:r>
      <w:r>
        <w:rPr>
          <w:rFonts w:hint="eastAsia" w:ascii="宋体" w:hAnsi="宋体"/>
          <w:sz w:val="28"/>
          <w:szCs w:val="28"/>
          <w:highlight w:val="none"/>
        </w:rPr>
        <w:t>、</w:t>
      </w:r>
      <w:r>
        <w:rPr>
          <w:rFonts w:ascii="宋体" w:hAnsi="宋体"/>
          <w:sz w:val="28"/>
          <w:szCs w:val="28"/>
          <w:highlight w:val="none"/>
        </w:rPr>
        <w:t>监理</w:t>
      </w:r>
      <w:r>
        <w:rPr>
          <w:rFonts w:hint="eastAsia" w:ascii="宋体" w:hAnsi="宋体"/>
          <w:sz w:val="28"/>
          <w:szCs w:val="28"/>
          <w:highlight w:val="none"/>
        </w:rPr>
        <w:t>、审计</w:t>
      </w:r>
      <w:r>
        <w:rPr>
          <w:rFonts w:ascii="宋体" w:hAnsi="宋体"/>
          <w:sz w:val="28"/>
          <w:szCs w:val="28"/>
          <w:highlight w:val="none"/>
        </w:rPr>
        <w:t>与承包人</w:t>
      </w:r>
      <w:r>
        <w:rPr>
          <w:rFonts w:hint="eastAsia" w:ascii="宋体" w:hAnsi="宋体"/>
          <w:sz w:val="28"/>
          <w:szCs w:val="28"/>
          <w:highlight w:val="none"/>
        </w:rPr>
        <w:t>按市场行情和投标报价水平核定。</w:t>
      </w:r>
    </w:p>
    <w:p>
      <w:pPr>
        <w:spacing w:line="360" w:lineRule="auto"/>
        <w:rPr>
          <w:rFonts w:ascii="宋体" w:hAnsi="宋体"/>
          <w:sz w:val="28"/>
          <w:szCs w:val="28"/>
          <w:highlight w:val="none"/>
        </w:rPr>
      </w:pPr>
      <w:r>
        <w:rPr>
          <w:rFonts w:hint="eastAsia" w:ascii="宋体" w:hAnsi="宋体"/>
          <w:sz w:val="28"/>
          <w:szCs w:val="28"/>
          <w:highlight w:val="none"/>
        </w:rPr>
        <w:t xml:space="preserve">   （1</w:t>
      </w:r>
      <w:r>
        <w:rPr>
          <w:rFonts w:ascii="宋体" w:hAnsi="宋体"/>
          <w:sz w:val="28"/>
          <w:szCs w:val="28"/>
          <w:highlight w:val="none"/>
        </w:rPr>
        <w:t>2</w:t>
      </w:r>
      <w:r>
        <w:rPr>
          <w:rFonts w:hint="eastAsia" w:ascii="宋体" w:hAnsi="宋体"/>
          <w:sz w:val="28"/>
          <w:szCs w:val="28"/>
          <w:highlight w:val="none"/>
        </w:rPr>
        <w:t>）现场产生的土方与垃圾必须运至校外，建筑垃圾校外弃置场地自行解决，严禁堆放或弃置在校园内，相关费用报价时计入总价。</w:t>
      </w:r>
    </w:p>
    <w:p>
      <w:pPr>
        <w:spacing w:line="360" w:lineRule="auto"/>
        <w:ind w:firstLine="420" w:firstLineChars="150"/>
        <w:rPr>
          <w:rFonts w:ascii="宋体" w:hAnsi="宋体"/>
          <w:sz w:val="28"/>
          <w:szCs w:val="28"/>
          <w:highlight w:val="none"/>
        </w:rPr>
      </w:pPr>
      <w:r>
        <w:rPr>
          <w:rFonts w:hint="eastAsia" w:ascii="宋体" w:hAnsi="宋体"/>
          <w:sz w:val="28"/>
          <w:szCs w:val="28"/>
          <w:highlight w:val="none"/>
        </w:rPr>
        <w:t>（1</w:t>
      </w:r>
      <w:r>
        <w:rPr>
          <w:rFonts w:ascii="宋体" w:hAnsi="宋体"/>
          <w:sz w:val="28"/>
          <w:szCs w:val="28"/>
          <w:highlight w:val="none"/>
        </w:rPr>
        <w:t>3</w:t>
      </w:r>
      <w:r>
        <w:rPr>
          <w:rFonts w:hint="eastAsia" w:ascii="宋体" w:hAnsi="宋体"/>
          <w:sz w:val="28"/>
          <w:szCs w:val="28"/>
          <w:highlight w:val="none"/>
        </w:rPr>
        <w:t>）施工所发生的水电费用根据国家、学校、地方相关规定、标准在审计处结算审计时扣除。</w:t>
      </w:r>
    </w:p>
    <w:p>
      <w:pPr>
        <w:spacing w:line="360" w:lineRule="auto"/>
        <w:ind w:firstLine="551" w:firstLineChars="196"/>
        <w:rPr>
          <w:rFonts w:ascii="宋体" w:hAnsi="宋体"/>
          <w:b/>
          <w:sz w:val="28"/>
          <w:szCs w:val="28"/>
          <w:highlight w:val="none"/>
        </w:rPr>
      </w:pPr>
      <w:r>
        <w:rPr>
          <w:rFonts w:hint="eastAsia" w:ascii="宋体" w:hAnsi="宋体"/>
          <w:b/>
          <w:sz w:val="28"/>
          <w:szCs w:val="28"/>
          <w:highlight w:val="none"/>
        </w:rPr>
        <w:t>七.审计条款</w:t>
      </w:r>
    </w:p>
    <w:p>
      <w:pPr>
        <w:spacing w:line="360" w:lineRule="auto"/>
        <w:ind w:firstLine="548" w:firstLineChars="196"/>
        <w:rPr>
          <w:rFonts w:ascii="宋体" w:hAnsi="宋体"/>
          <w:sz w:val="28"/>
          <w:szCs w:val="28"/>
          <w:highlight w:val="none"/>
        </w:rPr>
      </w:pPr>
      <w:r>
        <w:rPr>
          <w:rFonts w:hint="eastAsia" w:ascii="宋体" w:hAnsi="宋体"/>
          <w:sz w:val="28"/>
          <w:szCs w:val="28"/>
          <w:highlight w:val="none"/>
        </w:rPr>
        <w:t>按照相关文件执行，按下列规定支付审价审计费用，审减费率按审价审计核减额3.5%计取：</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(1)工程核减率超过5%及以上的，其审价审计费用全部由施工单位承担，并由建设单位从施工单位工程款中扣除；</w:t>
      </w:r>
    </w:p>
    <w:p>
      <w:pPr>
        <w:spacing w:line="360" w:lineRule="auto"/>
        <w:ind w:firstLine="557" w:firstLineChars="199"/>
        <w:rPr>
          <w:rFonts w:ascii="宋体" w:hAnsi="宋体"/>
          <w:sz w:val="28"/>
          <w:szCs w:val="28"/>
          <w:highlight w:val="none"/>
        </w:rPr>
      </w:pPr>
      <w:r>
        <w:rPr>
          <w:rFonts w:hint="eastAsia" w:ascii="宋体" w:hAnsi="宋体"/>
          <w:sz w:val="28"/>
          <w:szCs w:val="28"/>
          <w:highlight w:val="none"/>
        </w:rPr>
        <w:t>(2)工程核减率在5%以下的，其审价审计费用由建设单位承担。</w:t>
      </w:r>
    </w:p>
    <w:p>
      <w:pPr>
        <w:spacing w:line="360" w:lineRule="auto"/>
        <w:ind w:firstLine="560" w:firstLineChars="200"/>
        <w:rPr>
          <w:highlight w:val="none"/>
        </w:rPr>
      </w:pPr>
      <w:r>
        <w:rPr>
          <w:rFonts w:hint="eastAsia" w:ascii="宋体" w:hAnsi="宋体"/>
          <w:sz w:val="28"/>
          <w:szCs w:val="28"/>
          <w:highlight w:val="none"/>
        </w:rPr>
        <w:t>核减率按审价审计费用最终核定额与施工单位申报的结算额之间的差额除以施工单位申报的结算额计算。</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sz w:val="28"/>
          <w:szCs w:val="28"/>
          <w:highlight w:val="none"/>
        </w:rPr>
        <w:t>《南京信息工程大学教室课桌椅采购安装项目报价清单》（需加盖单位公章和法人签字签章）（附件3）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hAns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w:t>
      </w:r>
      <w:r>
        <w:rPr>
          <w:rFonts w:hint="eastAsia" w:ascii="宋体" w:hAnsi="宋体"/>
          <w:sz w:val="28"/>
          <w:szCs w:val="28"/>
          <w:highlight w:val="none"/>
        </w:rPr>
        <w:t>技术要求响应表；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w:t>
      </w:r>
      <w:r>
        <w:rPr>
          <w:rFonts w:hint="eastAsia" w:ascii="宋体" w:hAnsi="宋体"/>
          <w:sz w:val="28"/>
          <w:szCs w:val="28"/>
          <w:highlight w:val="none"/>
        </w:rPr>
        <w:t>售前及售后服务承诺书（需加盖单位公章）；</w:t>
      </w:r>
    </w:p>
    <w:p>
      <w:pPr>
        <w:spacing w:line="360" w:lineRule="auto"/>
        <w:ind w:firstLine="548" w:firstLineChars="196"/>
        <w:rPr>
          <w:rFonts w:ascii="宋体" w:hAns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w:t>
      </w:r>
      <w:r>
        <w:rPr>
          <w:rFonts w:hint="eastAsia" w:ascii="宋体" w:hAnsi="宋体"/>
          <w:sz w:val="28"/>
          <w:szCs w:val="28"/>
          <w:highlight w:val="none"/>
        </w:rPr>
        <w:t>保证所送货物与《报价清单》要求一致的承诺书（需加盖单位公章）；</w:t>
      </w:r>
    </w:p>
    <w:p>
      <w:pPr>
        <w:adjustRightInd w:val="0"/>
        <w:snapToGrid w:val="0"/>
        <w:spacing w:line="520" w:lineRule="exact"/>
        <w:ind w:firstLine="560" w:firstLineChars="200"/>
        <w:rPr>
          <w:rFonts w:ascii="宋体" w:hAns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）近三年</w:t>
      </w:r>
      <w:r>
        <w:rPr>
          <w:rFonts w:hint="eastAsia" w:ascii="宋体" w:hAnsi="宋体"/>
          <w:sz w:val="28"/>
          <w:szCs w:val="28"/>
          <w:highlight w:val="none"/>
        </w:rPr>
        <w:t>课桌</w:t>
      </w:r>
      <w:r>
        <w:rPr>
          <w:rFonts w:ascii="宋体" w:hAnsi="宋体"/>
          <w:sz w:val="28"/>
          <w:szCs w:val="28"/>
          <w:highlight w:val="none"/>
        </w:rPr>
        <w:t>椅</w:t>
      </w:r>
      <w:r>
        <w:rPr>
          <w:rFonts w:hint="eastAsia" w:ascii="宋体" w:hAnsi="宋体"/>
          <w:sz w:val="28"/>
          <w:szCs w:val="28"/>
          <w:highlight w:val="none"/>
        </w:rPr>
        <w:t>采购及安装项目业绩汇总表（附中标通知书、合同、验收报告复印件）；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w:t>
      </w:r>
      <w:r>
        <w:rPr>
          <w:rFonts w:hint="eastAsia" w:ascii="宋体" w:hAnsi="宋体"/>
          <w:sz w:val="28"/>
          <w:szCs w:val="28"/>
          <w:highlight w:val="none"/>
        </w:rPr>
        <w:t>产品质量承诺书</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2）对所提供投标资料真实性的声明，如有失信，自愿接受我校的相关处罚（法人代表或授权委托人签名并加盖单位公章的原件）；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3）招标文件规定或投标人对照评标办法的得分因素以及附件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招标文件给出评标办法（见附件6）</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我校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60" w:firstLineChars="200"/>
        <w:rPr>
          <w:highlight w:val="none"/>
        </w:rPr>
      </w:pPr>
      <w:r>
        <w:rPr>
          <w:rFonts w:hint="eastAsia" w:ascii="宋体" w:hAnsi="宋体"/>
          <w:sz w:val="28"/>
          <w:szCs w:val="28"/>
          <w:highlight w:val="none"/>
        </w:rPr>
        <w:t>4.本项目需送样品。</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5</w:t>
      </w:r>
      <w:r>
        <w:rPr>
          <w:rFonts w:ascii="宋体" w:hAnsi="宋体" w:cs="宋体"/>
          <w:sz w:val="28"/>
          <w:szCs w:val="28"/>
          <w:highlight w:val="none"/>
        </w:rPr>
        <w:t>.</w:t>
      </w:r>
      <w:r>
        <w:rPr>
          <w:rFonts w:hint="eastAsia" w:ascii="宋体" w:hAnsi="宋体" w:cs="宋体"/>
          <w:sz w:val="28"/>
          <w:szCs w:val="28"/>
          <w:highlight w:val="none"/>
        </w:rPr>
        <w:t>财务处工作人员在投标人的见证下唱标。投标人或投标人代表在唱标结果上签名确认。如投标人均未参加唱标，则由财务处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6</w:t>
      </w:r>
      <w:r>
        <w:rPr>
          <w:rFonts w:ascii="宋体" w:hAnsi="宋体" w:cs="宋体"/>
          <w:sz w:val="28"/>
          <w:szCs w:val="28"/>
          <w:highlight w:val="none"/>
        </w:rPr>
        <w:t>.</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7</w:t>
      </w:r>
      <w:r>
        <w:rPr>
          <w:rFonts w:ascii="宋体" w:hAnsi="宋体" w:cs="宋体"/>
          <w:sz w:val="28"/>
          <w:szCs w:val="28"/>
          <w:highlight w:val="none"/>
        </w:rPr>
        <w:t>.</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8</w:t>
      </w:r>
      <w:r>
        <w:rPr>
          <w:rFonts w:ascii="宋体" w:hAnsi="宋体" w:cs="宋体"/>
          <w:sz w:val="28"/>
          <w:szCs w:val="28"/>
          <w:highlight w:val="none"/>
        </w:rPr>
        <w:t>.</w:t>
      </w:r>
      <w:r>
        <w:rPr>
          <w:rFonts w:hint="eastAsia" w:ascii="宋体" w:hAnsi="宋体" w:cs="宋体"/>
          <w:sz w:val="28"/>
          <w:szCs w:val="28"/>
          <w:highlight w:val="none"/>
        </w:rPr>
        <w:t>财务处根据评标专家组综合排序，在学校网站和财务处招标网站对拟中标单位进行公示。公示结束，无异议，确定中标单位。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“ZWC2020015资料费”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adjustRightInd w:val="0"/>
        <w:snapToGrid w:val="0"/>
        <w:spacing w:line="360" w:lineRule="auto"/>
        <w:ind w:firstLine="560" w:firstLineChars="200"/>
        <w:rPr>
          <w:rFonts w:ascii="宋体" w:hAnsi="宋体" w:cs="宋体"/>
          <w:bCs/>
          <w:sz w:val="28"/>
          <w:szCs w:val="28"/>
          <w:highlight w:val="none"/>
        </w:rPr>
      </w:pPr>
      <w:r>
        <w:rPr>
          <w:rFonts w:hint="eastAsia" w:ascii="宋体" w:hAnsi="宋体"/>
          <w:sz w:val="28"/>
          <w:szCs w:val="28"/>
          <w:highlight w:val="none"/>
        </w:rPr>
        <w:t>本着“质量第一、价格合理、服务优异、保障有力”的原则，由项目归口管理部门和财务处从样品质量、投标报价、投标单位实力、售后服务等综合因素提出评标办法（见附件6），集体评标，提出拟中标单位，经公示无异议后发放中标通知书，签订供货合同。</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w:t>
      </w:r>
      <w:r>
        <w:rPr>
          <w:rFonts w:hint="eastAsia" w:ascii="宋体" w:hAnsi="宋体"/>
          <w:sz w:val="28"/>
          <w:szCs w:val="28"/>
          <w:highlight w:val="none"/>
          <w:u w:val="single"/>
        </w:rPr>
        <w:t>中标金额的5%</w:t>
      </w:r>
      <w:r>
        <w:rPr>
          <w:rFonts w:hint="eastAsia" w:ascii="宋体" w:hAnsi="宋体" w:cs="宋体"/>
          <w:sz w:val="28"/>
          <w:szCs w:val="28"/>
          <w:highlight w:val="none"/>
        </w:rPr>
        <w:t>的履约保证金并前来我校领取《中标通知书》（一式二份）。</w:t>
      </w:r>
      <w:r>
        <w:rPr>
          <w:rFonts w:hint="eastAsia" w:ascii="宋体" w:hAnsi="宋体"/>
          <w:bCs/>
          <w:sz w:val="28"/>
          <w:szCs w:val="28"/>
          <w:highlight w:val="none"/>
        </w:rPr>
        <w:t>工程竣工验收合格后无息退还。若中标人拒绝提交的，视为放弃中标。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w:t>
      </w:r>
      <w:r>
        <w:rPr>
          <w:rFonts w:hint="eastAsia" w:ascii="宋体" w:hAnsi="宋体" w:cs="宋体"/>
          <w:kern w:val="0"/>
          <w:sz w:val="28"/>
          <w:szCs w:val="28"/>
          <w:highlight w:val="none"/>
        </w:rPr>
        <w:t>总务处</w:t>
      </w:r>
      <w:r>
        <w:rPr>
          <w:rFonts w:hint="eastAsia" w:ascii="宋体" w:hAnsi="宋体"/>
          <w:sz w:val="28"/>
          <w:szCs w:val="28"/>
          <w:highlight w:val="none"/>
        </w:rPr>
        <w:t>签订施工和服务合同</w:t>
      </w:r>
      <w:r>
        <w:rPr>
          <w:rFonts w:hint="eastAsia" w:ascii="宋体" w:hAnsi="宋体" w:cs="宋体"/>
          <w:sz w:val="28"/>
          <w:szCs w:val="28"/>
          <w:highlight w:val="none"/>
        </w:rPr>
        <w:t>。中标人不得以任何理由拖延、拒签合同；中标单位拒不签订合同的，我校将其列入黑名单，三年内不得到我校从事任何招投标活动。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（1）本工程不支付预付款。</w:t>
      </w:r>
    </w:p>
    <w:p>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w:t>
      </w:r>
      <w:r>
        <w:rPr>
          <w:rFonts w:hint="eastAsia" w:ascii="宋体" w:hAnsi="宋体"/>
          <w:b/>
          <w:sz w:val="28"/>
          <w:szCs w:val="28"/>
          <w:highlight w:val="none"/>
          <w:u w:val="single"/>
        </w:rPr>
        <w:t>所送批量设备安装完毕并经过学校验收合格， 供应商提供座椅合格检测报告(费用由乙方支付)</w:t>
      </w:r>
      <w:r>
        <w:rPr>
          <w:rFonts w:hint="eastAsia" w:ascii="宋体" w:hAnsi="宋体"/>
          <w:sz w:val="28"/>
          <w:szCs w:val="28"/>
          <w:highlight w:val="none"/>
        </w:rPr>
        <w:t>，付至合同价的80%，经审计后，支付至审定价的95%，另5%余款在质保期满，桌椅正常使用并经学校确认无质量问题后一次性无息付清。</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sz w:val="28"/>
          <w:szCs w:val="28"/>
          <w:highlight w:val="none"/>
        </w:rPr>
        <w:t>10115401040000228</w:t>
      </w:r>
      <w:r>
        <w:rPr>
          <w:rFonts w:hint="eastAsia" w:ascii="宋体" w:hAnsi="宋体" w:cs="宋体"/>
          <w:sz w:val="28"/>
          <w:szCs w:val="28"/>
          <w:highlight w:val="none"/>
        </w:rPr>
        <w:t>；开户银行：中国农业银行南京盘城支行。请各投标人务必在转账留言栏备注填写</w:t>
      </w:r>
      <w:r>
        <w:rPr>
          <w:rFonts w:hint="eastAsia" w:ascii="宋体" w:hAnsi="宋体" w:cs="宋体"/>
          <w:b/>
          <w:sz w:val="28"/>
          <w:szCs w:val="28"/>
          <w:highlight w:val="none"/>
        </w:rPr>
        <w:t>“ZWC2020015资料费”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w:t>
      </w:r>
      <w:r>
        <w:rPr>
          <w:rFonts w:hint="eastAsia" w:ascii="宋体" w:hAnsi="宋体" w:cs="宋体"/>
          <w:b/>
          <w:bCs/>
          <w:sz w:val="28"/>
          <w:szCs w:val="28"/>
          <w:highlight w:val="none"/>
          <w:lang w:val="en-US" w:eastAsia="zh-CN"/>
        </w:rPr>
        <w:t>办</w:t>
      </w:r>
      <w:r>
        <w:rPr>
          <w:rFonts w:hint="eastAsia" w:ascii="宋体" w:hAnsi="宋体" w:cs="宋体"/>
          <w:b/>
          <w:bCs/>
          <w:sz w:val="28"/>
          <w:szCs w:val="28"/>
          <w:highlight w:val="none"/>
        </w:rPr>
        <w:t>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履约保证金（或投标保证金）：中标价的5%。</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w:t>
      </w:r>
      <w:r>
        <w:rPr>
          <w:rFonts w:hint="eastAsia" w:ascii="宋体" w:hAnsi="宋体" w:cs="宋体"/>
          <w:sz w:val="28"/>
          <w:szCs w:val="28"/>
          <w:highlight w:val="none"/>
          <w:lang w:val="en-US" w:eastAsia="zh-CN"/>
        </w:rPr>
        <w:t>办</w:t>
      </w:r>
      <w:r>
        <w:rPr>
          <w:rFonts w:hint="eastAsia" w:ascii="宋体" w:hAnsi="宋体" w:cs="宋体"/>
          <w:sz w:val="28"/>
          <w:szCs w:val="28"/>
          <w:highlight w:val="none"/>
        </w:rPr>
        <w:t>领取中标通知书后再与采购单位签订供货和服务合同。中标价的5%履约保证金交款账号同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spacing w:line="348" w:lineRule="auto"/>
        <w:ind w:firstLine="560" w:firstLineChars="200"/>
        <w:rPr>
          <w:rFonts w:ascii="宋体" w:hAnsi="宋体"/>
          <w:sz w:val="28"/>
          <w:szCs w:val="28"/>
          <w:highlight w:val="none"/>
        </w:rPr>
      </w:pPr>
      <w:r>
        <w:rPr>
          <w:rFonts w:hint="eastAsia" w:ascii="宋体" w:hAnsi="宋体"/>
          <w:sz w:val="28"/>
          <w:szCs w:val="28"/>
          <w:highlight w:val="none"/>
        </w:rPr>
        <w:t>（1）验收依据为标书要求和样品。所送样品必须完全符合标书要求，所送批量货物必须完全符合样品实际。</w:t>
      </w:r>
    </w:p>
    <w:p>
      <w:pPr>
        <w:spacing w:line="348" w:lineRule="auto"/>
        <w:ind w:firstLine="562" w:firstLineChars="200"/>
        <w:rPr>
          <w:b/>
          <w:highlight w:val="none"/>
        </w:rPr>
      </w:pPr>
      <w:r>
        <w:rPr>
          <w:rFonts w:hint="eastAsia" w:ascii="宋体" w:hAnsi="宋体"/>
          <w:b/>
          <w:sz w:val="28"/>
          <w:szCs w:val="28"/>
          <w:highlight w:val="none"/>
        </w:rPr>
        <w:t>（2）如所送批量货物与投标文件和所送样品存在任何负向偏离，一律退回并追究中标单位相关责任，另按分项总价款的50%进行扣款。</w:t>
      </w:r>
    </w:p>
    <w:p>
      <w:pPr>
        <w:spacing w:line="348" w:lineRule="auto"/>
        <w:ind w:firstLine="560" w:firstLineChars="200"/>
        <w:rPr>
          <w:rFonts w:ascii="宋体" w:hAnsi="宋体"/>
          <w:sz w:val="28"/>
          <w:szCs w:val="28"/>
          <w:highlight w:val="none"/>
        </w:rPr>
      </w:pPr>
      <w:bookmarkStart w:id="6" w:name="_Hlk9866833"/>
      <w:r>
        <w:rPr>
          <w:rFonts w:ascii="宋体" w:hAnsi="宋体"/>
          <w:sz w:val="28"/>
          <w:szCs w:val="28"/>
          <w:highlight w:val="none"/>
        </w:rPr>
        <w:t>7</w:t>
      </w:r>
      <w:r>
        <w:rPr>
          <w:rFonts w:hint="eastAsia" w:ascii="宋体" w:hAnsi="宋体"/>
          <w:sz w:val="28"/>
          <w:szCs w:val="28"/>
          <w:highlight w:val="none"/>
        </w:rPr>
        <w:t>.质量保证与售后服务</w:t>
      </w:r>
    </w:p>
    <w:p>
      <w:pPr>
        <w:pStyle w:val="50"/>
        <w:spacing w:before="0" w:after="0"/>
        <w:ind w:firstLine="540"/>
        <w:rPr>
          <w:rFonts w:ascii="宋体" w:hAnsi="宋体"/>
          <w:sz w:val="28"/>
          <w:szCs w:val="28"/>
          <w:highlight w:val="none"/>
        </w:rPr>
      </w:pPr>
      <w:r>
        <w:rPr>
          <w:rFonts w:hint="eastAsia" w:ascii="宋体" w:hAnsi="宋体"/>
          <w:sz w:val="28"/>
          <w:szCs w:val="28"/>
          <w:highlight w:val="none"/>
        </w:rPr>
        <w:t>（1）家具的质量保证期为通过验收后的不少于</w:t>
      </w:r>
      <w:r>
        <w:rPr>
          <w:rFonts w:ascii="宋体" w:hAnsi="宋体"/>
          <w:sz w:val="28"/>
          <w:szCs w:val="28"/>
          <w:highlight w:val="none"/>
        </w:rPr>
        <w:t>4</w:t>
      </w:r>
      <w:r>
        <w:rPr>
          <w:rFonts w:hint="eastAsia" w:ascii="宋体" w:hAnsi="宋体"/>
          <w:sz w:val="28"/>
          <w:szCs w:val="28"/>
          <w:highlight w:val="none"/>
        </w:rPr>
        <w:t>年,在此质量保证期内发生的任何故障，中标方均应负责免费修复，无法修复的产品或零部件应免费更换(人为因素或不可抗力因素除外)。</w:t>
      </w:r>
    </w:p>
    <w:p>
      <w:pPr>
        <w:pStyle w:val="50"/>
        <w:spacing w:before="0" w:after="0"/>
        <w:ind w:firstLine="540"/>
        <w:rPr>
          <w:rFonts w:ascii="宋体" w:hAnsi="宋体" w:cs="Arial Unicode MS"/>
          <w:sz w:val="28"/>
          <w:szCs w:val="28"/>
          <w:highlight w:val="none"/>
        </w:rPr>
      </w:pPr>
      <w:r>
        <w:rPr>
          <w:rFonts w:hint="eastAsia" w:ascii="宋体" w:hAnsi="宋体" w:cs="Arial Unicode MS"/>
          <w:sz w:val="28"/>
          <w:szCs w:val="28"/>
          <w:highlight w:val="none"/>
        </w:rPr>
        <w:t>（2）</w:t>
      </w:r>
      <w:r>
        <w:rPr>
          <w:rFonts w:hint="eastAsia" w:ascii="宋体" w:hAnsi="宋体"/>
          <w:sz w:val="28"/>
          <w:szCs w:val="28"/>
          <w:highlight w:val="none"/>
        </w:rPr>
        <w:t>质保期后应保证采购方对产品的技术咨询(无偿)和零件的供给(有偿)。</w:t>
      </w:r>
    </w:p>
    <w:p>
      <w:pPr>
        <w:pStyle w:val="50"/>
        <w:spacing w:before="0" w:after="0"/>
        <w:ind w:firstLine="540"/>
        <w:rPr>
          <w:rFonts w:ascii="宋体" w:hAnsi="宋体"/>
          <w:sz w:val="28"/>
          <w:szCs w:val="28"/>
          <w:highlight w:val="none"/>
        </w:rPr>
      </w:pPr>
      <w:r>
        <w:rPr>
          <w:rFonts w:hint="eastAsia" w:ascii="宋体" w:hAnsi="宋体" w:cs="Arial Unicode MS"/>
          <w:sz w:val="28"/>
          <w:szCs w:val="28"/>
          <w:highlight w:val="none"/>
        </w:rPr>
        <w:t>（3）</w:t>
      </w:r>
      <w:r>
        <w:rPr>
          <w:rFonts w:hint="eastAsia" w:ascii="宋体" w:hAnsi="宋体"/>
          <w:sz w:val="28"/>
          <w:szCs w:val="28"/>
          <w:highlight w:val="none"/>
        </w:rPr>
        <w:t>售后服务期间，一旦收到采购方的报修电话，中标方应在2小时内派遣有经验的维修工程师赴现场提供维修服务。维修工程师赴现场后应及时对故障进行检修，对于一般故障应在10小时内修复；对于重大故障应在24小时内修复。</w:t>
      </w:r>
    </w:p>
    <w:p>
      <w:pPr>
        <w:pStyle w:val="50"/>
        <w:spacing w:before="0" w:after="0"/>
        <w:ind w:firstLine="540"/>
        <w:rPr>
          <w:rFonts w:ascii="宋体" w:hAnsi="宋体"/>
          <w:sz w:val="28"/>
          <w:szCs w:val="28"/>
          <w:highlight w:val="none"/>
        </w:rPr>
      </w:pPr>
      <w:r>
        <w:rPr>
          <w:rFonts w:hint="eastAsia" w:ascii="宋体" w:hAnsi="宋体"/>
          <w:sz w:val="28"/>
          <w:szCs w:val="28"/>
          <w:highlight w:val="none"/>
        </w:rPr>
        <w:t>（4）备品、备件供应保障。在质量保证期结束后，中标方仍应以不高于向其他客户的供货价格，向买方提供所需的备品、备件，或向买方提供备品、备件可靠的供货渠道。</w:t>
      </w:r>
    </w:p>
    <w:p>
      <w:pPr>
        <w:widowControl/>
        <w:spacing w:line="360" w:lineRule="auto"/>
        <w:ind w:firstLine="560" w:firstLineChars="200"/>
        <w:jc w:val="left"/>
        <w:rPr>
          <w:rFonts w:ascii="宋体" w:hAnsi="宋体"/>
          <w:sz w:val="28"/>
          <w:szCs w:val="28"/>
          <w:highlight w:val="none"/>
        </w:rPr>
      </w:pPr>
      <w:r>
        <w:rPr>
          <w:rFonts w:hint="eastAsia" w:ascii="宋体" w:hAnsi="宋体"/>
          <w:sz w:val="28"/>
          <w:szCs w:val="28"/>
          <w:highlight w:val="none"/>
        </w:rPr>
        <w:t>（5）质保期内，非采购人的人为原因而出现产品质量及安装问题，由中标人负责包修、包换货包退，并承担因此而产生的一切费用。</w:t>
      </w:r>
    </w:p>
    <w:p>
      <w:pPr>
        <w:spacing w:before="312" w:beforeLines="100" w:after="312" w:afterLines="100" w:line="360" w:lineRule="auto"/>
        <w:jc w:val="center"/>
        <w:rPr>
          <w:rFonts w:ascii="黑体" w:hAnsi="黑体" w:eastAsia="黑体"/>
          <w:sz w:val="28"/>
          <w:szCs w:val="28"/>
          <w:highlight w:val="none"/>
        </w:rPr>
      </w:pPr>
      <w:r>
        <w:rPr>
          <w:rFonts w:hint="eastAsia" w:ascii="黑体" w:hAnsi="黑体" w:eastAsia="黑体"/>
          <w:sz w:val="28"/>
          <w:szCs w:val="28"/>
          <w:highlight w:val="none"/>
        </w:rPr>
        <w:t>八、送样要求</w:t>
      </w:r>
    </w:p>
    <w:p>
      <w:pPr>
        <w:snapToGrid w:val="0"/>
        <w:spacing w:line="360" w:lineRule="auto"/>
        <w:ind w:firstLine="420" w:firstLineChars="150"/>
        <w:rPr>
          <w:rFonts w:ascii="宋体" w:hAnsi="宋体"/>
          <w:sz w:val="28"/>
          <w:szCs w:val="28"/>
          <w:highlight w:val="none"/>
        </w:rPr>
      </w:pPr>
      <w:r>
        <w:rPr>
          <w:rFonts w:hint="eastAsia" w:ascii="宋体" w:hAnsi="宋体"/>
          <w:sz w:val="28"/>
          <w:szCs w:val="28"/>
          <w:highlight w:val="none"/>
        </w:rPr>
        <w:t>1.投标单位必须严格按照南京信息工程大学教室课桌椅采购清单中的品牌、种类、规格、型号、材质提供符合相应要求并且单位加盖公章的产品质量承诺书（附件5），并且投标现场提供小样。在递交样品时，请在每件样品外用易于撕除的胶带贴上打印有供应商名称的纸张，纸张不大于5cm*5cm。（样品上不许做任何其他记号，否则视为无效投标）。</w:t>
      </w:r>
    </w:p>
    <w:p>
      <w:pPr>
        <w:adjustRightInd w:val="0"/>
        <w:snapToGrid w:val="0"/>
        <w:spacing w:line="360" w:lineRule="auto"/>
        <w:ind w:firstLine="562" w:firstLineChars="200"/>
        <w:rPr>
          <w:rFonts w:ascii="宋体" w:hAnsi="宋体"/>
          <w:b/>
          <w:sz w:val="28"/>
          <w:szCs w:val="28"/>
          <w:highlight w:val="none"/>
        </w:rPr>
      </w:pPr>
      <w:r>
        <w:rPr>
          <w:rFonts w:hint="eastAsia" w:ascii="宋体" w:hAnsi="宋体"/>
          <w:b/>
          <w:sz w:val="28"/>
          <w:szCs w:val="28"/>
          <w:highlight w:val="none"/>
        </w:rPr>
        <w:t>现场送样：</w:t>
      </w:r>
    </w:p>
    <w:p>
      <w:pPr>
        <w:adjustRightInd w:val="0"/>
        <w:snapToGrid w:val="0"/>
        <w:spacing w:line="360" w:lineRule="auto"/>
        <w:ind w:left="562"/>
        <w:rPr>
          <w:rFonts w:ascii="宋体" w:hAnsi="宋体"/>
          <w:sz w:val="28"/>
          <w:szCs w:val="28"/>
          <w:highlight w:val="none"/>
        </w:rPr>
      </w:pPr>
      <w:r>
        <w:rPr>
          <w:rFonts w:hint="eastAsia" w:ascii="宋体" w:hAnsi="宋体"/>
          <w:sz w:val="28"/>
          <w:szCs w:val="28"/>
          <w:highlight w:val="none"/>
        </w:rPr>
        <w:t>（1）200*200*25mm带半圆或鸭嘴边桌面板1块，有一边不要封边；</w:t>
      </w:r>
      <w:bookmarkStart w:id="7" w:name="OLE_LINK121"/>
    </w:p>
    <w:p>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（2）200*200*18mm三聚氰胺板面1块，对边封边；</w:t>
      </w:r>
    </w:p>
    <w:p>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（3）课桌腿一片，喷塑；</w:t>
      </w:r>
    </w:p>
    <w:p>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（4）椅子一张（提供样品制作标准和要求与本次采购项目技术指标一致）</w:t>
      </w:r>
      <w:bookmarkEnd w:id="7"/>
      <w:r>
        <w:rPr>
          <w:rFonts w:hint="eastAsia" w:ascii="宋体" w:hAnsi="宋体"/>
          <w:sz w:val="28"/>
          <w:szCs w:val="28"/>
          <w:highlight w:val="none"/>
        </w:rPr>
        <w:t>。</w:t>
      </w:r>
    </w:p>
    <w:p>
      <w:pPr>
        <w:adjustRightInd w:val="0"/>
        <w:snapToGrid w:val="0"/>
        <w:spacing w:line="360" w:lineRule="auto"/>
        <w:ind w:firstLine="560" w:firstLineChars="200"/>
        <w:rPr>
          <w:rFonts w:ascii="黑体" w:hAnsi="黑体" w:eastAsia="黑体"/>
          <w:sz w:val="28"/>
          <w:szCs w:val="28"/>
          <w:highlight w:val="none"/>
        </w:rPr>
      </w:pPr>
      <w:r>
        <w:rPr>
          <w:rFonts w:hint="eastAsia" w:ascii="宋体" w:hAnsi="宋体"/>
          <w:sz w:val="28"/>
          <w:szCs w:val="28"/>
          <w:highlight w:val="none"/>
        </w:rPr>
        <w:t>2.中标单位的投标样品将由我校封存留样，未中标单位的投标样品在接到我校通知后一周内自行领回，逾期不再提供保管。</w:t>
      </w:r>
    </w:p>
    <w:p>
      <w:pPr>
        <w:spacing w:before="312" w:beforeLines="100" w:after="312" w:afterLines="100" w:line="360" w:lineRule="auto"/>
        <w:jc w:val="center"/>
        <w:rPr>
          <w:rFonts w:ascii="黑体" w:hAnsi="黑体" w:eastAsia="黑体"/>
          <w:sz w:val="28"/>
          <w:szCs w:val="28"/>
          <w:highlight w:val="none"/>
        </w:rPr>
      </w:pPr>
      <w:r>
        <w:rPr>
          <w:rFonts w:hint="eastAsia" w:ascii="黑体" w:hAnsi="黑体" w:eastAsia="黑体"/>
          <w:sz w:val="28"/>
          <w:szCs w:val="28"/>
          <w:highlight w:val="none"/>
        </w:rPr>
        <w:t>九、日程安排和联系方式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hAnsi="宋体" w:cs="宋体"/>
          <w:kern w:val="0"/>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3.</w:t>
      </w:r>
      <w:r>
        <w:rPr>
          <w:rFonts w:hint="eastAsia" w:ascii="宋体" w:hAnsi="宋体"/>
          <w:sz w:val="28"/>
          <w:szCs w:val="28"/>
          <w:highlight w:val="none"/>
        </w:rPr>
        <w:t>勘察现场及要求</w:t>
      </w:r>
    </w:p>
    <w:p>
      <w:pPr>
        <w:tabs>
          <w:tab w:val="left" w:pos="0"/>
          <w:tab w:val="left" w:pos="1134"/>
        </w:tabs>
        <w:adjustRightInd w:val="0"/>
        <w:snapToGrid w:val="0"/>
        <w:spacing w:line="360" w:lineRule="auto"/>
        <w:ind w:firstLine="420" w:firstLineChars="150"/>
        <w:rPr>
          <w:rFonts w:ascii="宋体" w:hAnsi="宋体"/>
          <w:bCs/>
          <w:snapToGrid w:val="0"/>
          <w:sz w:val="28"/>
          <w:szCs w:val="28"/>
          <w:highlight w:val="none"/>
        </w:rPr>
      </w:pPr>
      <w:r>
        <w:rPr>
          <w:rFonts w:hint="eastAsia" w:ascii="宋体" w:hAnsi="宋体"/>
          <w:sz w:val="28"/>
          <w:szCs w:val="28"/>
          <w:highlight w:val="none"/>
        </w:rPr>
        <w:t>（1）投标人可以对工程施工现场及周围环境进行勘察，以获取编制投标文件和签署合同所需的所有资料。勘察现场所发生的费用由投标人承担。</w:t>
      </w:r>
      <w:r>
        <w:rPr>
          <w:rFonts w:hint="eastAsia" w:ascii="宋体" w:hAnsi="宋体"/>
          <w:bCs/>
          <w:snapToGrid w:val="0"/>
          <w:sz w:val="28"/>
          <w:szCs w:val="28"/>
          <w:highlight w:val="none"/>
        </w:rPr>
        <w:t>现场勘察时间：</w:t>
      </w:r>
      <w:r>
        <w:rPr>
          <w:rFonts w:hint="eastAsia" w:ascii="宋体" w:hAnsi="宋体"/>
          <w:b/>
          <w:bCs w:val="0"/>
          <w:snapToGrid w:val="0"/>
          <w:color w:val="auto"/>
          <w:sz w:val="28"/>
          <w:szCs w:val="28"/>
          <w:highlight w:val="none"/>
        </w:rPr>
        <w:t>20</w:t>
      </w:r>
      <w:r>
        <w:rPr>
          <w:rFonts w:ascii="宋体" w:hAnsi="宋体"/>
          <w:b/>
          <w:bCs w:val="0"/>
          <w:snapToGrid w:val="0"/>
          <w:color w:val="auto"/>
          <w:sz w:val="28"/>
          <w:szCs w:val="28"/>
          <w:highlight w:val="none"/>
        </w:rPr>
        <w:t>20</w:t>
      </w:r>
      <w:r>
        <w:rPr>
          <w:rFonts w:hint="eastAsia" w:ascii="宋体" w:hAnsi="宋体"/>
          <w:b/>
          <w:bCs w:val="0"/>
          <w:snapToGrid w:val="0"/>
          <w:color w:val="auto"/>
          <w:sz w:val="28"/>
          <w:szCs w:val="28"/>
          <w:highlight w:val="none"/>
        </w:rPr>
        <w:t>年7月1</w:t>
      </w:r>
      <w:r>
        <w:rPr>
          <w:rFonts w:ascii="宋体" w:hAnsi="宋体"/>
          <w:b/>
          <w:bCs w:val="0"/>
          <w:snapToGrid w:val="0"/>
          <w:color w:val="auto"/>
          <w:sz w:val="28"/>
          <w:szCs w:val="28"/>
          <w:highlight w:val="none"/>
        </w:rPr>
        <w:t>6</w:t>
      </w:r>
      <w:r>
        <w:rPr>
          <w:rFonts w:hint="eastAsia" w:ascii="宋体" w:hAnsi="宋体"/>
          <w:b/>
          <w:bCs w:val="0"/>
          <w:snapToGrid w:val="0"/>
          <w:color w:val="auto"/>
          <w:sz w:val="28"/>
          <w:szCs w:val="28"/>
          <w:highlight w:val="none"/>
        </w:rPr>
        <w:t>日</w:t>
      </w:r>
      <w:r>
        <w:rPr>
          <w:rFonts w:hint="eastAsia" w:ascii="宋体" w:hAnsi="宋体"/>
          <w:b/>
          <w:bCs w:val="0"/>
          <w:snapToGrid w:val="0"/>
          <w:color w:val="auto"/>
          <w:sz w:val="28"/>
          <w:szCs w:val="28"/>
          <w:highlight w:val="none"/>
          <w:u w:val="single"/>
        </w:rPr>
        <w:t>09：00</w:t>
      </w:r>
      <w:r>
        <w:rPr>
          <w:rFonts w:ascii="宋体" w:hAnsi="宋体"/>
          <w:b/>
          <w:bCs w:val="0"/>
          <w:snapToGrid w:val="0"/>
          <w:color w:val="auto"/>
          <w:sz w:val="28"/>
          <w:szCs w:val="28"/>
          <w:highlight w:val="none"/>
          <w:u w:val="single"/>
        </w:rPr>
        <w:t>—</w:t>
      </w:r>
      <w:r>
        <w:rPr>
          <w:rFonts w:hint="eastAsia" w:ascii="宋体" w:hAnsi="宋体"/>
          <w:b/>
          <w:bCs w:val="0"/>
          <w:snapToGrid w:val="0"/>
          <w:color w:val="auto"/>
          <w:sz w:val="28"/>
          <w:szCs w:val="28"/>
          <w:highlight w:val="none"/>
          <w:u w:val="single"/>
        </w:rPr>
        <w:t>16：00</w:t>
      </w:r>
      <w:r>
        <w:rPr>
          <w:rFonts w:hint="eastAsia" w:ascii="宋体" w:hAnsi="宋体"/>
          <w:bCs/>
          <w:snapToGrid w:val="0"/>
          <w:color w:val="auto"/>
          <w:sz w:val="28"/>
          <w:szCs w:val="28"/>
          <w:highlight w:val="none"/>
        </w:rPr>
        <w:t>，</w:t>
      </w:r>
      <w:r>
        <w:rPr>
          <w:rFonts w:hint="eastAsia" w:ascii="宋体" w:hAnsi="宋体"/>
          <w:bCs/>
          <w:snapToGrid w:val="0"/>
          <w:sz w:val="28"/>
          <w:szCs w:val="28"/>
          <w:highlight w:val="none"/>
        </w:rPr>
        <w:t>联系人刘老师：025-5</w:t>
      </w:r>
      <w:r>
        <w:rPr>
          <w:rFonts w:ascii="宋体" w:hAnsi="宋体"/>
          <w:bCs/>
          <w:snapToGrid w:val="0"/>
          <w:sz w:val="28"/>
          <w:szCs w:val="28"/>
          <w:highlight w:val="none"/>
        </w:rPr>
        <w:t>8235296</w:t>
      </w:r>
      <w:r>
        <w:rPr>
          <w:rFonts w:hint="eastAsia" w:ascii="宋体" w:hAnsi="宋体"/>
          <w:bCs/>
          <w:snapToGrid w:val="0"/>
          <w:sz w:val="28"/>
          <w:szCs w:val="28"/>
          <w:highlight w:val="none"/>
        </w:rPr>
        <w:t>、18951997519。</w:t>
      </w:r>
      <w:r>
        <w:rPr>
          <w:rFonts w:hint="eastAsia" w:ascii="宋体" w:hAnsi="宋体"/>
          <w:sz w:val="28"/>
          <w:szCs w:val="28"/>
          <w:highlight w:val="none"/>
        </w:rPr>
        <w:t>若投标人希望进行现场勘察，</w:t>
      </w:r>
      <w:r>
        <w:rPr>
          <w:rFonts w:hint="eastAsia" w:ascii="宋体" w:hAnsi="宋体"/>
          <w:b/>
          <w:bCs/>
          <w:sz w:val="28"/>
          <w:szCs w:val="28"/>
          <w:highlight w:val="none"/>
        </w:rPr>
        <w:t>疫情期间需要提前联系刘老师，申请入校。</w:t>
      </w:r>
      <w:r>
        <w:rPr>
          <w:rFonts w:hint="eastAsia" w:ascii="宋体" w:hAnsi="宋体"/>
          <w:sz w:val="28"/>
          <w:szCs w:val="28"/>
          <w:highlight w:val="none"/>
        </w:rPr>
        <w:t>现场勘察只介绍大致改造内容、改造物周边情况、三通一平情况。不接受任何咨询，不集中签到、不填写签到表。需提问的，按照招标答疑要求执行。</w:t>
      </w:r>
    </w:p>
    <w:p>
      <w:pPr>
        <w:tabs>
          <w:tab w:val="left" w:pos="0"/>
          <w:tab w:val="left" w:pos="1134"/>
        </w:tabs>
        <w:adjustRightInd w:val="0"/>
        <w:snapToGrid w:val="0"/>
        <w:spacing w:line="360" w:lineRule="auto"/>
        <w:ind w:firstLine="420" w:firstLineChars="150"/>
        <w:rPr>
          <w:highlight w:val="none"/>
        </w:rPr>
      </w:pPr>
      <w:r>
        <w:rPr>
          <w:rFonts w:hint="eastAsia" w:ascii="宋体" w:hAnsi="宋体"/>
          <w:bCs/>
          <w:snapToGrid w:val="0"/>
          <w:sz w:val="28"/>
          <w:szCs w:val="28"/>
          <w:highlight w:val="none"/>
        </w:rPr>
        <w:t>（2）招标人向投标人提供的有关施工现场的资料和数据是招标人现有的能使投标人利用的资料。招标人对投标人由此而做出的推论、理解和结论概不负责。</w:t>
      </w:r>
      <w:r>
        <w:rPr>
          <w:rFonts w:hint="eastAsia" w:ascii="宋体" w:hAnsi="宋体"/>
          <w:bCs/>
          <w:sz w:val="28"/>
          <w:szCs w:val="28"/>
          <w:highlight w:val="none"/>
        </w:rPr>
        <w:t>投标人应认真踏勘施工现场，熟悉现场地形、道路、地下和周围环境，了解一切可能影响施工、投标报价的因素，且投标人应对自行获得的资料、信息的正确性负全部的责任，因此所需费用自行承担。一旦投标人中标，中标人不得以不完全了解施工现场为由，而提出额外的赔偿、补偿、增加费用和延长工期。中标人若提出此类要求，招标人不予采纳。</w:t>
      </w:r>
    </w:p>
    <w:p>
      <w:pPr>
        <w:spacing w:line="360" w:lineRule="auto"/>
        <w:ind w:firstLine="560" w:firstLineChars="200"/>
        <w:rPr>
          <w:rFonts w:ascii="宋体"/>
          <w:sz w:val="28"/>
          <w:szCs w:val="28"/>
          <w:highlight w:val="none"/>
        </w:rPr>
      </w:pPr>
      <w:r>
        <w:rPr>
          <w:rFonts w:hint="eastAsia" w:ascii="宋体" w:hAnsi="宋体"/>
          <w:sz w:val="28"/>
          <w:szCs w:val="28"/>
          <w:highlight w:val="none"/>
        </w:rPr>
        <w:t>4</w:t>
      </w:r>
      <w:r>
        <w:rPr>
          <w:rFonts w:ascii="宋体" w:hAnsi="宋体"/>
          <w:sz w:val="28"/>
          <w:szCs w:val="28"/>
          <w:highlight w:val="none"/>
        </w:rPr>
        <w:t>.</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w:t>
      </w:r>
      <w:r>
        <w:rPr>
          <w:rFonts w:hint="eastAsia" w:ascii="宋体" w:hAnsi="宋体"/>
          <w:sz w:val="28"/>
          <w:szCs w:val="28"/>
          <w:highlight w:val="none"/>
        </w:rPr>
        <w:t>请在</w:t>
      </w:r>
      <w:r>
        <w:rPr>
          <w:rFonts w:ascii="宋体" w:hAnsi="宋体"/>
          <w:b/>
          <w:sz w:val="28"/>
          <w:szCs w:val="28"/>
          <w:highlight w:val="none"/>
          <w:u w:val="single"/>
        </w:rPr>
        <w:t>2020</w:t>
      </w:r>
      <w:r>
        <w:rPr>
          <w:rFonts w:hint="eastAsia" w:ascii="宋体" w:hAnsi="宋体"/>
          <w:b/>
          <w:sz w:val="28"/>
          <w:szCs w:val="28"/>
          <w:highlight w:val="none"/>
          <w:u w:val="single"/>
        </w:rPr>
        <w:t>年07月1</w:t>
      </w:r>
      <w:r>
        <w:rPr>
          <w:rFonts w:hint="eastAsia" w:ascii="宋体" w:hAnsi="宋体"/>
          <w:b/>
          <w:sz w:val="28"/>
          <w:szCs w:val="28"/>
          <w:highlight w:val="none"/>
          <w:u w:val="single"/>
          <w:lang w:val="en-US" w:eastAsia="zh-CN"/>
        </w:rPr>
        <w:t>6</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）我校项目归口管理部门将通过财务处招标</w:t>
      </w:r>
      <w:r>
        <w:rPr>
          <w:rFonts w:hint="eastAsia" w:ascii="宋体" w:hAnsi="宋体"/>
          <w:sz w:val="28"/>
          <w:szCs w:val="28"/>
          <w:highlight w:val="none"/>
          <w:lang w:val="en-US" w:eastAsia="zh-CN"/>
        </w:rPr>
        <w:t>办</w:t>
      </w:r>
      <w:r>
        <w:rPr>
          <w:rFonts w:hint="eastAsia" w:ascii="宋体" w:hAnsi="宋体"/>
          <w:sz w:val="28"/>
          <w:szCs w:val="28"/>
          <w:highlight w:val="none"/>
        </w:rPr>
        <w:t>向各投标人统一进行书面（或电子版）答疑回复。</w:t>
      </w:r>
    </w:p>
    <w:p>
      <w:pPr>
        <w:widowControl/>
        <w:snapToGrid w:val="0"/>
        <w:spacing w:line="360" w:lineRule="auto"/>
        <w:ind w:firstLine="548" w:firstLineChars="196"/>
        <w:rPr>
          <w:rFonts w:ascii="宋体" w:hAnsi="宋体"/>
          <w:sz w:val="28"/>
          <w:szCs w:val="28"/>
          <w:highlight w:val="none"/>
        </w:rPr>
      </w:pPr>
      <w:r>
        <w:rPr>
          <w:rFonts w:hint="eastAsia" w:ascii="宋体" w:hAnsi="宋体"/>
          <w:sz w:val="28"/>
          <w:szCs w:val="28"/>
          <w:highlight w:val="none"/>
        </w:rPr>
        <w:t xml:space="preserve"> 5.样品和投标文件送达</w:t>
      </w:r>
    </w:p>
    <w:p>
      <w:pPr>
        <w:widowControl/>
        <w:snapToGrid w:val="0"/>
        <w:spacing w:line="360" w:lineRule="auto"/>
        <w:ind w:firstLine="548" w:firstLineChars="196"/>
        <w:rPr>
          <w:rFonts w:ascii="宋体" w:hAnsi="宋体"/>
          <w:b/>
          <w:sz w:val="28"/>
          <w:szCs w:val="28"/>
          <w:highlight w:val="none"/>
        </w:rPr>
      </w:pPr>
      <w:r>
        <w:rPr>
          <w:rFonts w:hint="eastAsia" w:ascii="宋体" w:hAnsi="宋体"/>
          <w:sz w:val="28"/>
          <w:szCs w:val="28"/>
          <w:highlight w:val="none"/>
        </w:rPr>
        <w:t>（1）投标样品和文件送达方式：本项目只接收</w:t>
      </w:r>
      <w:r>
        <w:rPr>
          <w:rFonts w:hint="eastAsia" w:ascii="宋体" w:hAnsi="宋体"/>
          <w:b/>
          <w:sz w:val="28"/>
          <w:szCs w:val="28"/>
          <w:highlight w:val="none"/>
        </w:rPr>
        <w:t>专人派送的投标文件与样品，不接收邮寄。</w:t>
      </w:r>
      <w:r>
        <w:rPr>
          <w:rFonts w:hint="eastAsia" w:ascii="宋体" w:hAnsi="宋体"/>
          <w:sz w:val="28"/>
          <w:szCs w:val="28"/>
          <w:highlight w:val="none"/>
        </w:rPr>
        <w:t>请各投标单位自行安排人员，务必于投标截止时间前将投标文件与样品送达我校，投标截止时间后，招标人不受理任何投标文件及样品</w:t>
      </w:r>
      <w:r>
        <w:rPr>
          <w:rFonts w:hint="eastAsia" w:ascii="宋体" w:hAnsi="宋体"/>
          <w:b/>
          <w:bCs/>
          <w:sz w:val="28"/>
          <w:szCs w:val="28"/>
          <w:highlight w:val="none"/>
        </w:rPr>
        <w:t>。由于疫情，</w:t>
      </w:r>
      <w:r>
        <w:rPr>
          <w:rFonts w:ascii="&amp;quot" w:hAnsi="&amp;quot" w:eastAsia="&amp;quot" w:cs="&amp;quot"/>
          <w:b/>
          <w:bCs/>
          <w:sz w:val="28"/>
          <w:szCs w:val="28"/>
          <w:highlight w:val="none"/>
        </w:rPr>
        <w:t>请</w:t>
      </w:r>
      <w:r>
        <w:rPr>
          <w:rFonts w:hint="eastAsia" w:ascii="&amp;quot" w:hAnsi="&amp;quot" w:cs="&amp;quot"/>
          <w:b/>
          <w:bCs/>
          <w:sz w:val="28"/>
          <w:szCs w:val="28"/>
          <w:highlight w:val="none"/>
        </w:rPr>
        <w:t>各投标单位</w:t>
      </w:r>
      <w:r>
        <w:rPr>
          <w:rFonts w:ascii="&amp;quot" w:hAnsi="&amp;quot" w:eastAsia="&amp;quot" w:cs="&amp;quot"/>
          <w:b/>
          <w:bCs/>
          <w:sz w:val="28"/>
          <w:szCs w:val="28"/>
          <w:highlight w:val="none"/>
        </w:rPr>
        <w:t>按附件表格填写进校人员信息，至少</w:t>
      </w:r>
      <w:r>
        <w:rPr>
          <w:rFonts w:hint="eastAsia" w:ascii="&amp;quot" w:hAnsi="&amp;quot" w:cs="&amp;quot"/>
          <w:b/>
          <w:bCs/>
          <w:sz w:val="28"/>
          <w:szCs w:val="28"/>
          <w:highlight w:val="none"/>
        </w:rPr>
        <w:t>在申请入校</w:t>
      </w:r>
      <w:r>
        <w:rPr>
          <w:rFonts w:hint="eastAsia" w:ascii="宋体" w:hAnsi="宋体"/>
          <w:b/>
          <w:bCs/>
          <w:sz w:val="28"/>
          <w:szCs w:val="28"/>
          <w:highlight w:val="none"/>
        </w:rPr>
        <w:t>日</w:t>
      </w:r>
      <w:r>
        <w:rPr>
          <w:rFonts w:ascii="宋体" w:hAnsi="宋体"/>
          <w:b/>
          <w:bCs/>
          <w:sz w:val="28"/>
          <w:szCs w:val="28"/>
          <w:highlight w:val="none"/>
        </w:rPr>
        <w:t>前</w:t>
      </w:r>
      <w:r>
        <w:rPr>
          <w:rFonts w:hint="eastAsia" w:ascii="宋体" w:hAnsi="宋体"/>
          <w:b/>
          <w:bCs/>
          <w:sz w:val="28"/>
          <w:szCs w:val="28"/>
          <w:highlight w:val="none"/>
        </w:rPr>
        <w:t>2</w:t>
      </w:r>
      <w:r>
        <w:rPr>
          <w:rFonts w:ascii="宋体" w:hAnsi="宋体"/>
          <w:b/>
          <w:bCs/>
          <w:sz w:val="28"/>
          <w:szCs w:val="28"/>
          <w:highlight w:val="none"/>
        </w:rPr>
        <w:t>天将</w:t>
      </w:r>
      <w:r>
        <w:rPr>
          <w:rFonts w:ascii="&amp;quot" w:hAnsi="&amp;quot" w:eastAsia="&amp;quot" w:cs="&amp;quot"/>
          <w:b/>
          <w:bCs/>
          <w:sz w:val="28"/>
          <w:szCs w:val="28"/>
          <w:highlight w:val="none"/>
        </w:rPr>
        <w:t>表格发送至邮箱，以便我单位填写疫情期间外来人员进校申请。</w:t>
      </w:r>
      <w:r>
        <w:rPr>
          <w:rFonts w:hint="eastAsia" w:ascii="宋体" w:hAnsi="宋体"/>
          <w:b/>
          <w:sz w:val="28"/>
          <w:szCs w:val="28"/>
          <w:highlight w:val="none"/>
        </w:rPr>
        <w:t>（若后期有调整，会将调整信息发送到各投标单位报名邮箱，请各投标单位在投标前密切关注报名邮箱）</w:t>
      </w:r>
    </w:p>
    <w:p>
      <w:pPr>
        <w:widowControl/>
        <w:snapToGrid w:val="0"/>
        <w:spacing w:line="360" w:lineRule="auto"/>
        <w:ind w:firstLine="548" w:firstLineChars="196"/>
        <w:rPr>
          <w:rFonts w:ascii="宋体" w:hAnsi="宋体" w:cs="宋体"/>
          <w:kern w:val="0"/>
          <w:sz w:val="28"/>
          <w:szCs w:val="28"/>
          <w:highlight w:val="none"/>
        </w:rPr>
      </w:pPr>
      <w:r>
        <w:rPr>
          <w:rFonts w:hint="eastAsia" w:ascii="宋体" w:hAnsi="宋体"/>
          <w:sz w:val="28"/>
          <w:szCs w:val="28"/>
          <w:highlight w:val="none"/>
        </w:rPr>
        <w:t>（2）送达地点：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w:t>
      </w:r>
      <w:r>
        <w:rPr>
          <w:rFonts w:hint="eastAsia" w:ascii="宋体" w:hAnsi="宋体"/>
          <w:sz w:val="28"/>
          <w:szCs w:val="28"/>
          <w:highlight w:val="none"/>
        </w:rPr>
        <w:t>室（投标文件）、体育馆新闻中心（样品）</w:t>
      </w:r>
      <w:r>
        <w:rPr>
          <w:rFonts w:hint="eastAsia" w:ascii="宋体" w:hAnsi="宋体" w:cs="宋体"/>
          <w:kern w:val="0"/>
          <w:sz w:val="28"/>
          <w:szCs w:val="28"/>
          <w:highlight w:val="none"/>
        </w:rPr>
        <w:t>。</w:t>
      </w:r>
    </w:p>
    <w:p>
      <w:pPr>
        <w:widowControl/>
        <w:snapToGrid w:val="0"/>
        <w:spacing w:line="360" w:lineRule="auto"/>
        <w:ind w:firstLine="548" w:firstLineChars="196"/>
        <w:rPr>
          <w:rFonts w:ascii="宋体" w:hAnsi="宋体"/>
          <w:sz w:val="28"/>
          <w:szCs w:val="28"/>
          <w:highlight w:val="none"/>
        </w:rPr>
      </w:pPr>
      <w:r>
        <w:rPr>
          <w:rFonts w:hint="eastAsia" w:ascii="宋体" w:hAnsi="宋体"/>
          <w:sz w:val="28"/>
          <w:szCs w:val="28"/>
          <w:highlight w:val="none"/>
        </w:rPr>
        <w:t>（3）文件与样品接收起止时间：2020年</w:t>
      </w:r>
      <w:r>
        <w:rPr>
          <w:rFonts w:ascii="宋体" w:hAnsi="宋体"/>
          <w:sz w:val="28"/>
          <w:szCs w:val="28"/>
          <w:highlight w:val="none"/>
        </w:rPr>
        <w:t>7</w:t>
      </w:r>
      <w:r>
        <w:rPr>
          <w:rFonts w:hint="eastAsia" w:ascii="宋体" w:hAnsi="宋体"/>
          <w:sz w:val="28"/>
          <w:szCs w:val="28"/>
          <w:highlight w:val="none"/>
        </w:rPr>
        <w:t>月3</w:t>
      </w:r>
      <w:r>
        <w:rPr>
          <w:rFonts w:hint="eastAsia" w:ascii="宋体" w:hAnsi="宋体"/>
          <w:sz w:val="28"/>
          <w:szCs w:val="28"/>
          <w:highlight w:val="none"/>
          <w:lang w:val="en-US" w:eastAsia="zh-CN"/>
        </w:rPr>
        <w:t>0</w:t>
      </w:r>
      <w:r>
        <w:rPr>
          <w:rFonts w:hint="eastAsia" w:ascii="宋体" w:hAnsi="宋体"/>
          <w:sz w:val="28"/>
          <w:szCs w:val="28"/>
          <w:highlight w:val="none"/>
        </w:rPr>
        <w:t>日08:30-09：30。</w:t>
      </w:r>
      <w:bookmarkStart w:id="8" w:name="_Hlk32349437"/>
    </w:p>
    <w:bookmarkEnd w:id="8"/>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cs="宋体"/>
          <w:kern w:val="0"/>
          <w:sz w:val="28"/>
          <w:szCs w:val="28"/>
          <w:highlight w:val="none"/>
        </w:rPr>
        <w:t>（4）联系人：马老师、罗老师；联系电话：025-58731441。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6.开标、唱标和评标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highlight w:val="none"/>
        </w:rPr>
        <w:t>：2020年07月3</w:t>
      </w:r>
      <w:r>
        <w:rPr>
          <w:rFonts w:hint="eastAsia" w:ascii="宋体" w:hAnsi="宋体"/>
          <w:sz w:val="28"/>
          <w:szCs w:val="28"/>
          <w:highlight w:val="none"/>
          <w:lang w:val="en-US" w:eastAsia="zh-CN"/>
        </w:rPr>
        <w:t>0</w:t>
      </w:r>
      <w:r>
        <w:rPr>
          <w:rFonts w:hint="eastAsia" w:ascii="宋体" w:hAnsi="宋体"/>
          <w:sz w:val="28"/>
          <w:szCs w:val="28"/>
          <w:highlight w:val="none"/>
        </w:rPr>
        <w:t>日09：30；(不</w:t>
      </w:r>
      <w:r>
        <w:rPr>
          <w:rFonts w:hint="eastAsia" w:ascii="宋体" w:hAnsi="宋体"/>
          <w:sz w:val="28"/>
          <w:szCs w:val="28"/>
          <w:highlight w:val="none"/>
        </w:rPr>
        <w:t>安排公开开标、唱标，由财务处招标</w:t>
      </w:r>
      <w:r>
        <w:rPr>
          <w:rFonts w:hint="eastAsia" w:ascii="宋体" w:hAnsi="宋体"/>
          <w:sz w:val="28"/>
          <w:szCs w:val="28"/>
          <w:highlight w:val="none"/>
          <w:lang w:val="en-US" w:eastAsia="zh-CN"/>
        </w:rPr>
        <w:t>办</w:t>
      </w:r>
      <w:r>
        <w:rPr>
          <w:rFonts w:hint="eastAsia" w:ascii="宋体" w:hAnsi="宋体"/>
          <w:sz w:val="28"/>
          <w:szCs w:val="28"/>
          <w:highlight w:val="none"/>
        </w:rPr>
        <w:t>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）财务处招标</w:t>
      </w:r>
      <w:r>
        <w:rPr>
          <w:rFonts w:hint="eastAsia" w:ascii="宋体" w:hAnsi="宋体"/>
          <w:sz w:val="28"/>
          <w:szCs w:val="28"/>
          <w:highlight w:val="none"/>
          <w:lang w:val="en-US" w:eastAsia="zh-CN"/>
        </w:rPr>
        <w:t>办</w:t>
      </w:r>
      <w:r>
        <w:rPr>
          <w:rFonts w:hint="eastAsia" w:ascii="宋体" w:hAnsi="宋体"/>
          <w:sz w:val="28"/>
          <w:szCs w:val="28"/>
          <w:highlight w:val="none"/>
        </w:rPr>
        <w:t>（招投标管理业务单位）：联系电话：</w:t>
      </w:r>
      <w:r>
        <w:rPr>
          <w:rFonts w:ascii="宋体" w:hAnsi="宋体"/>
          <w:sz w:val="28"/>
          <w:szCs w:val="28"/>
          <w:highlight w:val="none"/>
        </w:rPr>
        <w:t>025-58731441</w:t>
      </w:r>
      <w:r>
        <w:rPr>
          <w:rFonts w:hint="eastAsia" w:ascii="宋体" w:hAnsi="宋体"/>
          <w:sz w:val="28"/>
          <w:szCs w:val="28"/>
          <w:highlight w:val="none"/>
        </w:rPr>
        <w:t>，联系人：马老师、罗老师；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w:t>
      </w:r>
      <w:bookmarkStart w:id="13" w:name="_GoBack"/>
      <w:r>
        <w:rPr>
          <w:rFonts w:hint="eastAsia" w:ascii="宋体" w:hAnsi="宋体"/>
          <w:sz w:val="28"/>
          <w:szCs w:val="28"/>
          <w:highlight w:val="none"/>
        </w:rPr>
        <w:t>025-58</w:t>
      </w:r>
      <w:r>
        <w:rPr>
          <w:rFonts w:ascii="宋体" w:hAnsi="宋体"/>
          <w:sz w:val="28"/>
          <w:szCs w:val="28"/>
          <w:highlight w:val="none"/>
        </w:rPr>
        <w:t>235296</w:t>
      </w:r>
      <w:bookmarkEnd w:id="13"/>
      <w:r>
        <w:rPr>
          <w:rFonts w:hint="eastAsia" w:ascii="宋体" w:hAnsi="宋体"/>
          <w:sz w:val="28"/>
          <w:szCs w:val="28"/>
          <w:highlight w:val="none"/>
        </w:rPr>
        <w:t>，联系人：刘老师。</w:t>
      </w:r>
    </w:p>
    <w:p>
      <w:pPr>
        <w:pStyle w:val="2"/>
        <w:rPr>
          <w:highlight w:val="none"/>
        </w:rPr>
      </w:pPr>
    </w:p>
    <w:p>
      <w:pPr>
        <w:pStyle w:val="2"/>
        <w:rPr>
          <w:highlight w:val="none"/>
        </w:rPr>
      </w:pPr>
    </w:p>
    <w:p>
      <w:pPr>
        <w:tabs>
          <w:tab w:val="left" w:pos="1260"/>
        </w:tabs>
        <w:spacing w:line="360" w:lineRule="auto"/>
        <w:ind w:left="1959" w:leftChars="933" w:firstLine="2530" w:firstLineChars="900"/>
        <w:rPr>
          <w:rFonts w:hint="default" w:ascii="宋体" w:eastAsia="宋体"/>
          <w:b/>
          <w:sz w:val="28"/>
          <w:szCs w:val="28"/>
          <w:highlight w:val="none"/>
          <w:lang w:val="en-US" w:eastAsia="zh-CN"/>
        </w:rPr>
      </w:pPr>
      <w:bookmarkStart w:id="9" w:name="_Hlk9866962"/>
      <w:r>
        <w:rPr>
          <w:rFonts w:hint="eastAsia" w:ascii="宋体" w:hAnsi="宋体"/>
          <w:b/>
          <w:sz w:val="28"/>
          <w:szCs w:val="28"/>
          <w:highlight w:val="none"/>
        </w:rPr>
        <w:t>南京信息工程大学</w:t>
      </w:r>
      <w:r>
        <w:rPr>
          <w:rFonts w:hint="eastAsia" w:ascii="宋体" w:hAnsi="宋体"/>
          <w:b/>
          <w:sz w:val="28"/>
          <w:szCs w:val="28"/>
          <w:highlight w:val="none"/>
          <w:lang w:val="en-US" w:eastAsia="zh-CN"/>
        </w:rPr>
        <w:t>招标办</w:t>
      </w:r>
    </w:p>
    <w:p>
      <w:pPr>
        <w:pStyle w:val="11"/>
        <w:spacing w:line="360" w:lineRule="auto"/>
        <w:ind w:left="99" w:leftChars="47" w:firstLine="4919" w:firstLineChars="1750"/>
        <w:rPr>
          <w:b/>
          <w:bCs/>
          <w:highlight w:val="none"/>
        </w:rPr>
      </w:pPr>
      <w:r>
        <w:rPr>
          <w:rStyle w:val="40"/>
          <w:rFonts w:ascii="宋体" w:hAnsi="宋体" w:eastAsia="宋体"/>
          <w:sz w:val="28"/>
          <w:szCs w:val="28"/>
          <w:highlight w:val="none"/>
        </w:rPr>
        <w:t>20</w:t>
      </w:r>
      <w:r>
        <w:rPr>
          <w:rStyle w:val="40"/>
          <w:rFonts w:hint="eastAsia" w:ascii="宋体" w:hAnsi="宋体" w:eastAsia="宋体"/>
          <w:sz w:val="28"/>
          <w:szCs w:val="28"/>
          <w:highlight w:val="none"/>
        </w:rPr>
        <w:t>20年0</w:t>
      </w:r>
      <w:r>
        <w:rPr>
          <w:rStyle w:val="40"/>
          <w:rFonts w:hint="eastAsia" w:ascii="宋体" w:hAnsi="宋体"/>
          <w:sz w:val="28"/>
          <w:szCs w:val="28"/>
          <w:highlight w:val="none"/>
        </w:rPr>
        <w:t>7</w:t>
      </w:r>
      <w:r>
        <w:rPr>
          <w:rStyle w:val="40"/>
          <w:rFonts w:hint="eastAsia" w:ascii="宋体" w:hAnsi="宋体" w:eastAsia="宋体"/>
          <w:sz w:val="28"/>
          <w:szCs w:val="28"/>
          <w:highlight w:val="none"/>
        </w:rPr>
        <w:t>月</w:t>
      </w:r>
      <w:r>
        <w:rPr>
          <w:rStyle w:val="40"/>
          <w:rFonts w:hint="eastAsia" w:ascii="宋体" w:hAnsi="宋体"/>
          <w:sz w:val="28"/>
          <w:szCs w:val="28"/>
          <w:highlight w:val="none"/>
        </w:rPr>
        <w:t>1</w:t>
      </w:r>
      <w:r>
        <w:rPr>
          <w:rStyle w:val="40"/>
          <w:rFonts w:hint="eastAsia" w:ascii="宋体" w:hAnsi="宋体"/>
          <w:sz w:val="28"/>
          <w:szCs w:val="28"/>
          <w:highlight w:val="none"/>
          <w:lang w:val="en-US"/>
        </w:rPr>
        <w:t>0</w:t>
      </w:r>
      <w:r>
        <w:rPr>
          <w:rStyle w:val="40"/>
          <w:rFonts w:hint="eastAsia" w:ascii="宋体" w:hAnsi="宋体" w:eastAsia="宋体"/>
          <w:sz w:val="28"/>
          <w:szCs w:val="28"/>
          <w:highlight w:val="none"/>
        </w:rPr>
        <w:t>日</w:t>
      </w:r>
      <w:bookmarkEnd w:id="9"/>
      <w:r>
        <w:rPr>
          <w:rStyle w:val="40"/>
          <w:rFonts w:ascii="宋体" w:hAnsi="Times New Roman" w:eastAsia="宋体"/>
          <w:b w:val="0"/>
          <w:sz w:val="28"/>
          <w:szCs w:val="28"/>
          <w:highlight w:val="none"/>
        </w:rPr>
        <w:br w:type="page"/>
      </w:r>
      <w:bookmarkStart w:id="10" w:name="_Toc462564147"/>
      <w:r>
        <w:rPr>
          <w:b/>
          <w:bCs/>
          <w:szCs w:val="24"/>
          <w:highlight w:val="none"/>
        </w:rPr>
        <w:t>附件1：</w:t>
      </w:r>
      <w:r>
        <w:rPr>
          <w:rFonts w:hint="eastAsia"/>
          <w:b/>
          <w:bCs/>
          <w:szCs w:val="24"/>
          <w:highlight w:val="none"/>
        </w:rPr>
        <w:t>项目需求及技术指标</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项目需求及技术指标</w:t>
      </w:r>
    </w:p>
    <w:p>
      <w:pPr>
        <w:spacing w:line="360" w:lineRule="auto"/>
        <w:ind w:firstLine="560" w:firstLineChars="200"/>
        <w:rPr>
          <w:rFonts w:ascii="宋体" w:hAnsi="宋体"/>
          <w:sz w:val="28"/>
          <w:szCs w:val="28"/>
          <w:highlight w:val="none"/>
        </w:rPr>
      </w:pPr>
      <w:r>
        <w:rPr>
          <w:rFonts w:hint="eastAsia" w:ascii="宋体" w:hAnsi="宋体"/>
          <w:sz w:val="28"/>
          <w:szCs w:val="28"/>
          <w:highlight w:val="none"/>
        </w:rPr>
        <w:t>项目所采购</w:t>
      </w:r>
      <w:r>
        <w:rPr>
          <w:rFonts w:ascii="宋体" w:hAnsi="宋体"/>
          <w:sz w:val="28"/>
          <w:szCs w:val="28"/>
          <w:highlight w:val="none"/>
        </w:rPr>
        <w:t>家</w:t>
      </w:r>
      <w:r>
        <w:rPr>
          <w:rFonts w:hint="eastAsia" w:ascii="宋体" w:hAnsi="宋体"/>
          <w:sz w:val="28"/>
          <w:szCs w:val="28"/>
          <w:highlight w:val="none"/>
        </w:rPr>
        <w:t>具体需求和技术指标见下表，投标单位需严格按照下表中相关指标和设计图纸进行，不得进行变更，不得进行以次充好。实际送达货物与实物存在负向偏离的扣除分项总价款的50%。</w:t>
      </w:r>
    </w:p>
    <w:p>
      <w:pPr>
        <w:spacing w:line="360" w:lineRule="auto"/>
        <w:rPr>
          <w:rFonts w:ascii="宋体" w:hAnsi="宋体"/>
          <w:sz w:val="28"/>
          <w:szCs w:val="28"/>
          <w:highlight w:val="none"/>
        </w:rPr>
      </w:pPr>
      <w:r>
        <w:rPr>
          <w:rFonts w:hint="eastAsia" w:ascii="宋体" w:hAnsi="宋体"/>
          <w:sz w:val="28"/>
          <w:szCs w:val="28"/>
          <w:highlight w:val="none"/>
        </w:rPr>
        <w:t>课桌、课椅技术指标：</w:t>
      </w: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540"/>
        <w:gridCol w:w="2304"/>
        <w:gridCol w:w="1543"/>
        <w:gridCol w:w="3822"/>
        <w:gridCol w:w="572"/>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 w:type="dxa"/>
            <w:noWrap/>
          </w:tcPr>
          <w:p>
            <w:pPr>
              <w:jc w:val="center"/>
              <w:rPr>
                <w:rFonts w:ascii="宋体" w:hAnsi="宋体"/>
                <w:szCs w:val="21"/>
                <w:highlight w:val="none"/>
              </w:rPr>
            </w:pPr>
            <w:r>
              <w:rPr>
                <w:rFonts w:hint="eastAsia" w:ascii="宋体" w:hAnsi="宋体"/>
                <w:szCs w:val="21"/>
                <w:highlight w:val="none"/>
              </w:rPr>
              <w:t>序号</w:t>
            </w:r>
          </w:p>
        </w:tc>
        <w:tc>
          <w:tcPr>
            <w:tcW w:w="540" w:type="dxa"/>
            <w:noWrap/>
          </w:tcPr>
          <w:p>
            <w:pPr>
              <w:jc w:val="center"/>
              <w:rPr>
                <w:rFonts w:ascii="宋体" w:hAnsi="宋体"/>
                <w:szCs w:val="21"/>
                <w:highlight w:val="none"/>
              </w:rPr>
            </w:pPr>
            <w:r>
              <w:rPr>
                <w:rFonts w:hint="eastAsia" w:ascii="宋体" w:hAnsi="宋体"/>
                <w:szCs w:val="21"/>
                <w:highlight w:val="none"/>
              </w:rPr>
              <w:t>名称</w:t>
            </w:r>
          </w:p>
        </w:tc>
        <w:tc>
          <w:tcPr>
            <w:tcW w:w="2304" w:type="dxa"/>
            <w:noWrap/>
            <w:vAlign w:val="center"/>
          </w:tcPr>
          <w:p>
            <w:pPr>
              <w:jc w:val="center"/>
              <w:rPr>
                <w:rFonts w:ascii="宋体" w:hAnsi="宋体"/>
                <w:szCs w:val="21"/>
                <w:highlight w:val="none"/>
              </w:rPr>
            </w:pPr>
            <w:r>
              <w:rPr>
                <w:rFonts w:hint="eastAsia" w:ascii="宋体" w:hAnsi="宋体"/>
                <w:szCs w:val="21"/>
                <w:highlight w:val="none"/>
              </w:rPr>
              <w:t>参考图片</w:t>
            </w:r>
          </w:p>
        </w:tc>
        <w:tc>
          <w:tcPr>
            <w:tcW w:w="1543" w:type="dxa"/>
            <w:noWrap/>
            <w:vAlign w:val="center"/>
          </w:tcPr>
          <w:p>
            <w:pPr>
              <w:jc w:val="center"/>
              <w:rPr>
                <w:rFonts w:ascii="宋体" w:hAnsi="宋体"/>
                <w:szCs w:val="21"/>
                <w:highlight w:val="none"/>
              </w:rPr>
            </w:pPr>
            <w:r>
              <w:rPr>
                <w:rFonts w:hint="eastAsia" w:ascii="宋体" w:hAnsi="宋体"/>
                <w:szCs w:val="21"/>
                <w:highlight w:val="none"/>
              </w:rPr>
              <w:t>规格（mm）</w:t>
            </w:r>
          </w:p>
        </w:tc>
        <w:tc>
          <w:tcPr>
            <w:tcW w:w="3822" w:type="dxa"/>
            <w:noWrap/>
            <w:vAlign w:val="center"/>
          </w:tcPr>
          <w:p>
            <w:pPr>
              <w:jc w:val="center"/>
              <w:rPr>
                <w:rFonts w:ascii="宋体" w:hAnsi="宋体"/>
                <w:szCs w:val="21"/>
                <w:highlight w:val="none"/>
              </w:rPr>
            </w:pPr>
            <w:r>
              <w:rPr>
                <w:rFonts w:hint="eastAsia" w:ascii="宋体" w:hAnsi="宋体"/>
                <w:szCs w:val="21"/>
                <w:highlight w:val="none"/>
              </w:rPr>
              <w:t>主要技术参数</w:t>
            </w:r>
          </w:p>
        </w:tc>
        <w:tc>
          <w:tcPr>
            <w:tcW w:w="572" w:type="dxa"/>
            <w:noWrap/>
          </w:tcPr>
          <w:p>
            <w:pPr>
              <w:jc w:val="center"/>
              <w:rPr>
                <w:rFonts w:ascii="宋体" w:hAnsi="宋体"/>
                <w:szCs w:val="21"/>
                <w:highlight w:val="none"/>
              </w:rPr>
            </w:pPr>
            <w:r>
              <w:rPr>
                <w:rFonts w:hint="eastAsia" w:ascii="宋体" w:hAnsi="宋体"/>
                <w:szCs w:val="21"/>
                <w:highlight w:val="none"/>
              </w:rPr>
              <w:t>数量</w:t>
            </w:r>
          </w:p>
        </w:tc>
        <w:tc>
          <w:tcPr>
            <w:tcW w:w="419" w:type="dxa"/>
            <w:noWrap/>
          </w:tcPr>
          <w:p>
            <w:pPr>
              <w:jc w:val="center"/>
              <w:rPr>
                <w:rFonts w:ascii="宋体" w:hAnsi="宋体"/>
                <w:szCs w:val="21"/>
                <w:highlight w:val="none"/>
              </w:rPr>
            </w:pPr>
            <w:r>
              <w:rPr>
                <w:rFonts w:hint="eastAsia" w:ascii="宋体" w:hAnsi="宋体"/>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jc w:val="center"/>
        </w:trPr>
        <w:tc>
          <w:tcPr>
            <w:tcW w:w="428" w:type="dxa"/>
            <w:tcBorders>
              <w:bottom w:val="single" w:color="auto" w:sz="4" w:space="0"/>
            </w:tcBorders>
            <w:vAlign w:val="center"/>
          </w:tcPr>
          <w:p>
            <w:pPr>
              <w:jc w:val="center"/>
              <w:rPr>
                <w:rFonts w:ascii="宋体" w:hAnsi="宋体"/>
                <w:szCs w:val="21"/>
                <w:highlight w:val="none"/>
              </w:rPr>
            </w:pPr>
            <w:r>
              <w:rPr>
                <w:rFonts w:hint="eastAsia" w:ascii="宋体" w:hAnsi="宋体"/>
                <w:szCs w:val="21"/>
                <w:highlight w:val="none"/>
              </w:rPr>
              <w:t>1</w:t>
            </w:r>
          </w:p>
        </w:tc>
        <w:tc>
          <w:tcPr>
            <w:tcW w:w="540" w:type="dxa"/>
            <w:vMerge w:val="restart"/>
            <w:tcBorders>
              <w:bottom w:val="single" w:color="auto" w:sz="4" w:space="0"/>
            </w:tcBorders>
            <w:noWrap/>
            <w:vAlign w:val="center"/>
          </w:tcPr>
          <w:p>
            <w:pPr>
              <w:jc w:val="center"/>
              <w:rPr>
                <w:rFonts w:ascii="宋体" w:hAnsi="宋体"/>
                <w:szCs w:val="21"/>
                <w:highlight w:val="none"/>
              </w:rPr>
            </w:pPr>
            <w:r>
              <w:rPr>
                <w:rFonts w:hint="eastAsia" w:ascii="宋体" w:hAnsi="宋体"/>
                <w:szCs w:val="21"/>
                <w:highlight w:val="none"/>
              </w:rPr>
              <w:t>双人课桌</w:t>
            </w:r>
          </w:p>
          <w:p>
            <w:pPr>
              <w:jc w:val="center"/>
              <w:rPr>
                <w:rFonts w:ascii="宋体" w:hAnsi="宋体"/>
                <w:szCs w:val="21"/>
                <w:highlight w:val="none"/>
              </w:rPr>
            </w:pPr>
          </w:p>
        </w:tc>
        <w:tc>
          <w:tcPr>
            <w:tcW w:w="2304" w:type="dxa"/>
            <w:tcBorders>
              <w:bottom w:val="single" w:color="auto" w:sz="4" w:space="0"/>
            </w:tcBorders>
            <w:noWrap/>
            <w:vAlign w:val="center"/>
          </w:tcPr>
          <w:p>
            <w:pPr>
              <w:jc w:val="center"/>
              <w:rPr>
                <w:rFonts w:ascii="宋体" w:hAnsi="宋体"/>
                <w:szCs w:val="21"/>
                <w:highlight w:val="none"/>
              </w:rPr>
            </w:pPr>
          </w:p>
          <w:p>
            <w:pPr>
              <w:jc w:val="center"/>
              <w:rPr>
                <w:rFonts w:ascii="宋体" w:hAnsi="宋体"/>
                <w:szCs w:val="21"/>
                <w:highlight w:val="none"/>
              </w:rPr>
            </w:pPr>
            <w:r>
              <w:rPr>
                <w:rFonts w:hint="eastAsia"/>
                <w:szCs w:val="21"/>
                <w:highlight w:val="none"/>
              </w:rPr>
              <w:t>(塑胶脚套</w:t>
            </w:r>
            <w:r>
              <w:rPr>
                <w:szCs w:val="21"/>
                <w:highlight w:val="none"/>
              </w:rPr>
              <w:drawing>
                <wp:anchor distT="0" distB="0" distL="0" distR="0" simplePos="0" relativeHeight="251657216" behindDoc="0" locked="0" layoutInCell="1" allowOverlap="1">
                  <wp:simplePos x="0" y="0"/>
                  <wp:positionH relativeFrom="column">
                    <wp:posOffset>-45085</wp:posOffset>
                  </wp:positionH>
                  <wp:positionV relativeFrom="paragraph">
                    <wp:posOffset>122555</wp:posOffset>
                  </wp:positionV>
                  <wp:extent cx="1403985" cy="999490"/>
                  <wp:effectExtent l="0" t="0" r="5715" b="1016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03985" cy="999490"/>
                          </a:xfrm>
                          <a:prstGeom prst="rect">
                            <a:avLst/>
                          </a:prstGeom>
                          <a:noFill/>
                          <a:ln>
                            <a:noFill/>
                          </a:ln>
                        </pic:spPr>
                      </pic:pic>
                    </a:graphicData>
                  </a:graphic>
                </wp:anchor>
              </w:drawing>
            </w:r>
            <w:r>
              <w:rPr>
                <w:rFonts w:hint="eastAsia"/>
                <w:szCs w:val="21"/>
                <w:highlight w:val="none"/>
              </w:rPr>
              <w:t>型</w:t>
            </w:r>
            <w:r>
              <w:rPr>
                <w:rFonts w:hint="eastAsia" w:ascii="宋体" w:hAnsi="宋体"/>
                <w:szCs w:val="21"/>
                <w:highlight w:val="none"/>
              </w:rPr>
              <w:t>）</w:t>
            </w:r>
          </w:p>
          <w:p>
            <w:pPr>
              <w:jc w:val="center"/>
              <w:rPr>
                <w:szCs w:val="21"/>
                <w:highlight w:val="none"/>
              </w:rPr>
            </w:pPr>
          </w:p>
          <w:p>
            <w:pPr>
              <w:jc w:val="center"/>
              <w:rPr>
                <w:szCs w:val="21"/>
                <w:highlight w:val="none"/>
              </w:rPr>
            </w:pPr>
          </w:p>
          <w:p>
            <w:pPr>
              <w:jc w:val="center"/>
              <w:rPr>
                <w:szCs w:val="21"/>
                <w:highlight w:val="none"/>
              </w:rPr>
            </w:pPr>
          </w:p>
          <w:p>
            <w:pPr>
              <w:jc w:val="center"/>
              <w:rPr>
                <w:rFonts w:ascii="宋体" w:hAnsi="宋体"/>
                <w:szCs w:val="21"/>
                <w:highlight w:val="none"/>
              </w:rPr>
            </w:pPr>
            <w:r>
              <w:rPr>
                <w:rFonts w:ascii="宋体" w:hAnsi="宋体"/>
                <w:szCs w:val="21"/>
                <w:highlight w:val="none"/>
              </w:rPr>
              <w:drawing>
                <wp:anchor distT="0" distB="0" distL="0" distR="0" simplePos="0" relativeHeight="251658240" behindDoc="0" locked="0" layoutInCell="1" allowOverlap="1">
                  <wp:simplePos x="0" y="0"/>
                  <wp:positionH relativeFrom="column">
                    <wp:posOffset>-8255</wp:posOffset>
                  </wp:positionH>
                  <wp:positionV relativeFrom="paragraph">
                    <wp:posOffset>198120</wp:posOffset>
                  </wp:positionV>
                  <wp:extent cx="1382395" cy="904875"/>
                  <wp:effectExtent l="0" t="0" r="825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1382395" cy="904875"/>
                          </a:xfrm>
                          <a:prstGeom prst="rect">
                            <a:avLst/>
                          </a:prstGeom>
                          <a:noFill/>
                          <a:ln w="9525">
                            <a:noFill/>
                            <a:miter lim="800000"/>
                            <a:headEnd/>
                            <a:tailEnd/>
                          </a:ln>
                        </pic:spPr>
                      </pic:pic>
                    </a:graphicData>
                  </a:graphic>
                </wp:anchor>
              </w:drawing>
            </w:r>
            <w:r>
              <w:rPr>
                <w:rFonts w:hint="eastAsia"/>
                <w:szCs w:val="21"/>
                <w:highlight w:val="none"/>
              </w:rPr>
              <w:t>（万向轮型）</w:t>
            </w:r>
          </w:p>
          <w:p>
            <w:pPr>
              <w:jc w:val="center"/>
              <w:rPr>
                <w:rFonts w:ascii="宋体" w:hAnsi="宋体"/>
                <w:szCs w:val="21"/>
                <w:highlight w:val="none"/>
              </w:rPr>
            </w:pPr>
          </w:p>
        </w:tc>
        <w:tc>
          <w:tcPr>
            <w:tcW w:w="1543" w:type="dxa"/>
            <w:tcBorders>
              <w:bottom w:val="single" w:color="auto" w:sz="4" w:space="0"/>
            </w:tcBorders>
            <w:vAlign w:val="center"/>
          </w:tcPr>
          <w:p>
            <w:pPr>
              <w:jc w:val="left"/>
              <w:rPr>
                <w:rFonts w:ascii="宋体" w:hAnsi="宋体"/>
                <w:szCs w:val="21"/>
                <w:highlight w:val="none"/>
              </w:rPr>
            </w:pPr>
            <w:r>
              <w:rPr>
                <w:rFonts w:hint="eastAsia" w:ascii="宋体" w:hAnsi="宋体"/>
                <w:szCs w:val="21"/>
                <w:highlight w:val="none"/>
              </w:rPr>
              <w:t>1400*500*750</w:t>
            </w:r>
          </w:p>
        </w:tc>
        <w:tc>
          <w:tcPr>
            <w:tcW w:w="3822" w:type="dxa"/>
            <w:tcBorders>
              <w:bottom w:val="single" w:color="auto" w:sz="4" w:space="0"/>
            </w:tcBorders>
            <w:vAlign w:val="center"/>
          </w:tcPr>
          <w:p>
            <w:pPr>
              <w:pStyle w:val="15"/>
              <w:numPr>
                <w:ilvl w:val="0"/>
                <w:numId w:val="2"/>
              </w:numPr>
              <w:ind w:firstLine="420"/>
              <w:rPr>
                <w:rFonts w:cstheme="minorBidi"/>
                <w:kern w:val="2"/>
                <w:sz w:val="21"/>
                <w:szCs w:val="21"/>
                <w:highlight w:val="none"/>
              </w:rPr>
            </w:pPr>
            <w:r>
              <w:rPr>
                <w:rFonts w:hint="eastAsia" w:cstheme="minorBidi"/>
                <w:kern w:val="2"/>
                <w:sz w:val="21"/>
                <w:szCs w:val="21"/>
                <w:highlight w:val="none"/>
              </w:rPr>
              <w:t>桌面：桌面采用采用环保型实木颗粒板（参考品牌：皖华、大亚、露水河），表面贴0.7mm防火板（参考品牌：威盛亚、富美家、玉龙ERON），甲醛含量E1级， 厚度25mm，桌面半圆边或鸭嘴边，其余三边PVC封边厚度不低于2mm，与桌面同色</w:t>
            </w:r>
          </w:p>
          <w:p>
            <w:pPr>
              <w:pStyle w:val="15"/>
              <w:numPr>
                <w:ilvl w:val="0"/>
                <w:numId w:val="2"/>
              </w:numPr>
              <w:ind w:firstLine="420"/>
              <w:rPr>
                <w:rFonts w:cstheme="minorBidi"/>
                <w:kern w:val="2"/>
                <w:sz w:val="21"/>
                <w:szCs w:val="21"/>
                <w:highlight w:val="none"/>
              </w:rPr>
            </w:pPr>
            <w:r>
              <w:rPr>
                <w:rFonts w:hint="eastAsia" w:cstheme="minorBidi"/>
                <w:kern w:val="2"/>
                <w:sz w:val="21"/>
                <w:szCs w:val="21"/>
                <w:highlight w:val="none"/>
              </w:rPr>
              <w:t>前挡板采用采用环保型实木颗粒免漆板（参考品牌：皖华、大亚、露水河），甲醛含量E1级，厚度18m。PVC封边厚度不低于1.5mm，与挡板同色</w:t>
            </w:r>
          </w:p>
          <w:p>
            <w:pPr>
              <w:pStyle w:val="15"/>
              <w:numPr>
                <w:ilvl w:val="0"/>
                <w:numId w:val="2"/>
              </w:numPr>
              <w:ind w:firstLine="420"/>
              <w:rPr>
                <w:rFonts w:cstheme="minorBidi"/>
                <w:kern w:val="2"/>
                <w:sz w:val="21"/>
                <w:szCs w:val="21"/>
                <w:highlight w:val="none"/>
              </w:rPr>
            </w:pPr>
            <w:r>
              <w:rPr>
                <w:rFonts w:hint="eastAsia" w:cstheme="minorBidi"/>
                <w:kern w:val="2"/>
                <w:sz w:val="21"/>
                <w:szCs w:val="21"/>
                <w:highlight w:val="none"/>
              </w:rPr>
              <w:t>书网采用φ5mm实心钢筋</w:t>
            </w:r>
          </w:p>
          <w:p>
            <w:pPr>
              <w:pStyle w:val="15"/>
              <w:numPr>
                <w:ilvl w:val="0"/>
                <w:numId w:val="2"/>
              </w:numPr>
              <w:ind w:firstLine="420"/>
              <w:rPr>
                <w:rFonts w:cstheme="minorBidi"/>
                <w:kern w:val="2"/>
                <w:sz w:val="21"/>
                <w:szCs w:val="21"/>
                <w:highlight w:val="none"/>
              </w:rPr>
            </w:pPr>
            <w:r>
              <w:rPr>
                <w:rFonts w:hint="eastAsia" w:cstheme="minorBidi"/>
                <w:kern w:val="2"/>
                <w:sz w:val="21"/>
                <w:szCs w:val="21"/>
                <w:highlight w:val="none"/>
              </w:rPr>
              <w:t>桌腿采用φ38*1.5mm（或60*30*1.5mm椭圆管）钢管，表面经酸洗、磷化、喷塑</w:t>
            </w:r>
          </w:p>
          <w:p>
            <w:pPr>
              <w:pStyle w:val="15"/>
              <w:numPr>
                <w:ilvl w:val="0"/>
                <w:numId w:val="2"/>
              </w:numPr>
              <w:ind w:firstLine="420"/>
              <w:rPr>
                <w:rFonts w:cstheme="minorBidi"/>
                <w:kern w:val="2"/>
                <w:sz w:val="21"/>
                <w:szCs w:val="21"/>
                <w:highlight w:val="none"/>
              </w:rPr>
            </w:pPr>
            <w:r>
              <w:rPr>
                <w:rFonts w:hint="eastAsia" w:cstheme="minorBidi"/>
                <w:kern w:val="2"/>
                <w:sz w:val="21"/>
                <w:szCs w:val="21"/>
                <w:highlight w:val="none"/>
              </w:rPr>
              <w:t>桌脚采用优质ABS塑胶脚套或刹车万向轮</w:t>
            </w:r>
          </w:p>
          <w:p>
            <w:pPr>
              <w:pStyle w:val="15"/>
              <w:numPr>
                <w:ilvl w:val="0"/>
                <w:numId w:val="2"/>
              </w:numPr>
              <w:ind w:firstLine="420"/>
              <w:rPr>
                <w:rFonts w:cstheme="minorBidi"/>
                <w:kern w:val="2"/>
                <w:sz w:val="18"/>
                <w:szCs w:val="18"/>
                <w:highlight w:val="none"/>
              </w:rPr>
            </w:pPr>
            <w:r>
              <w:rPr>
                <w:rFonts w:hint="eastAsia" w:cstheme="minorBidi"/>
                <w:kern w:val="2"/>
                <w:sz w:val="21"/>
                <w:szCs w:val="21"/>
                <w:highlight w:val="none"/>
              </w:rPr>
              <w:t>颜色待定</w:t>
            </w:r>
          </w:p>
        </w:tc>
        <w:tc>
          <w:tcPr>
            <w:tcW w:w="572" w:type="dxa"/>
            <w:tcBorders>
              <w:bottom w:val="single" w:color="auto" w:sz="4" w:space="0"/>
            </w:tcBorders>
            <w:noWrap/>
            <w:vAlign w:val="center"/>
          </w:tcPr>
          <w:p>
            <w:pPr>
              <w:jc w:val="left"/>
              <w:rPr>
                <w:rFonts w:ascii="宋体" w:hAnsi="宋体"/>
                <w:sz w:val="18"/>
                <w:szCs w:val="18"/>
                <w:highlight w:val="none"/>
              </w:rPr>
            </w:pPr>
            <w:r>
              <w:rPr>
                <w:rFonts w:ascii="宋体" w:hAnsi="宋体"/>
                <w:sz w:val="18"/>
                <w:szCs w:val="18"/>
                <w:highlight w:val="none"/>
              </w:rPr>
              <w:t>500</w:t>
            </w:r>
          </w:p>
        </w:tc>
        <w:tc>
          <w:tcPr>
            <w:tcW w:w="419" w:type="dxa"/>
            <w:tcBorders>
              <w:bottom w:val="single" w:color="auto" w:sz="4" w:space="0"/>
            </w:tcBorders>
            <w:noWrap/>
            <w:vAlign w:val="center"/>
          </w:tcPr>
          <w:p>
            <w:pPr>
              <w:jc w:val="left"/>
              <w:rPr>
                <w:rFonts w:ascii="宋体" w:hAnsi="宋体"/>
                <w:sz w:val="18"/>
                <w:szCs w:val="18"/>
                <w:highlight w:val="none"/>
              </w:rPr>
            </w:pPr>
            <w:r>
              <w:rPr>
                <w:rFonts w:hint="eastAsia" w:ascii="宋体" w:hAnsi="宋体"/>
                <w:sz w:val="18"/>
                <w:szCs w:val="18"/>
                <w:highlight w:val="none"/>
              </w:rPr>
              <w:t>张</w:t>
            </w:r>
          </w:p>
          <w:p>
            <w:pPr>
              <w:jc w:val="left"/>
              <w:rPr>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428" w:type="dxa"/>
            <w:tcBorders>
              <w:bottom w:val="single" w:color="auto" w:sz="4" w:space="0"/>
            </w:tcBorders>
            <w:vAlign w:val="center"/>
          </w:tcPr>
          <w:p>
            <w:pPr>
              <w:rPr>
                <w:rFonts w:ascii="宋体" w:hAnsi="宋体"/>
                <w:szCs w:val="21"/>
                <w:highlight w:val="none"/>
              </w:rPr>
            </w:pPr>
            <w:r>
              <w:rPr>
                <w:rFonts w:hint="eastAsia" w:ascii="宋体" w:hAnsi="宋体"/>
                <w:szCs w:val="21"/>
                <w:highlight w:val="none"/>
              </w:rPr>
              <w:t>2</w:t>
            </w:r>
          </w:p>
        </w:tc>
        <w:tc>
          <w:tcPr>
            <w:tcW w:w="540" w:type="dxa"/>
            <w:vMerge w:val="continue"/>
            <w:tcBorders>
              <w:bottom w:val="single" w:color="auto" w:sz="4" w:space="0"/>
            </w:tcBorders>
            <w:vAlign w:val="center"/>
          </w:tcPr>
          <w:p>
            <w:pPr>
              <w:jc w:val="center"/>
              <w:rPr>
                <w:rFonts w:ascii="宋体" w:hAnsi="宋体"/>
                <w:szCs w:val="21"/>
                <w:highlight w:val="none"/>
              </w:rPr>
            </w:pPr>
          </w:p>
        </w:tc>
        <w:tc>
          <w:tcPr>
            <w:tcW w:w="2304" w:type="dxa"/>
            <w:tcBorders>
              <w:bottom w:val="single" w:color="auto" w:sz="4" w:space="0"/>
            </w:tcBorders>
            <w:vAlign w:val="center"/>
          </w:tcPr>
          <w:p>
            <w:pPr>
              <w:rPr>
                <w:rFonts w:ascii="宋体" w:hAnsi="宋体"/>
                <w:szCs w:val="21"/>
                <w:highlight w:val="none"/>
              </w:rPr>
            </w:pPr>
          </w:p>
          <w:p>
            <w:pPr>
              <w:rPr>
                <w:rFonts w:ascii="宋体" w:hAnsi="宋体"/>
                <w:szCs w:val="21"/>
                <w:highlight w:val="none"/>
              </w:rPr>
            </w:pPr>
          </w:p>
          <w:p>
            <w:pPr>
              <w:jc w:val="center"/>
              <w:rPr>
                <w:szCs w:val="21"/>
                <w:highlight w:val="none"/>
              </w:rPr>
            </w:pPr>
            <w:r>
              <w:rPr>
                <w:rFonts w:ascii="宋体" w:hAnsi="宋体"/>
                <w:szCs w:val="21"/>
                <w:highlight w:val="none"/>
              </w:rPr>
              <w:drawing>
                <wp:anchor distT="0" distB="0" distL="0" distR="0" simplePos="0" relativeHeight="251658240" behindDoc="0" locked="0" layoutInCell="1" allowOverlap="1">
                  <wp:simplePos x="0" y="0"/>
                  <wp:positionH relativeFrom="column">
                    <wp:posOffset>7620</wp:posOffset>
                  </wp:positionH>
                  <wp:positionV relativeFrom="paragraph">
                    <wp:posOffset>314960</wp:posOffset>
                  </wp:positionV>
                  <wp:extent cx="1374775" cy="1027430"/>
                  <wp:effectExtent l="0" t="0" r="15875" b="127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75378" cy="1028109"/>
                          </a:xfrm>
                          <a:prstGeom prst="rect">
                            <a:avLst/>
                          </a:prstGeom>
                          <a:noFill/>
                          <a:ln>
                            <a:noFill/>
                          </a:ln>
                        </pic:spPr>
                      </pic:pic>
                    </a:graphicData>
                  </a:graphic>
                </wp:anchor>
              </w:drawing>
            </w:r>
          </w:p>
          <w:p>
            <w:pPr>
              <w:jc w:val="center"/>
              <w:rPr>
                <w:szCs w:val="21"/>
                <w:highlight w:val="none"/>
              </w:rPr>
            </w:pPr>
            <w:r>
              <w:rPr>
                <w:rFonts w:hint="eastAsia"/>
                <w:szCs w:val="21"/>
                <w:highlight w:val="none"/>
              </w:rPr>
              <w:t>（塑胶脚套型）</w:t>
            </w: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jc w:val="center"/>
              <w:rPr>
                <w:rFonts w:ascii="宋体" w:hAnsi="宋体"/>
                <w:szCs w:val="21"/>
                <w:highlight w:val="none"/>
              </w:rPr>
            </w:pPr>
          </w:p>
        </w:tc>
        <w:tc>
          <w:tcPr>
            <w:tcW w:w="1543" w:type="dxa"/>
            <w:tcBorders>
              <w:bottom w:val="single" w:color="auto" w:sz="4" w:space="0"/>
            </w:tcBorders>
            <w:vAlign w:val="center"/>
          </w:tcPr>
          <w:p>
            <w:pPr>
              <w:jc w:val="left"/>
              <w:rPr>
                <w:rFonts w:ascii="宋体" w:hAnsi="宋体"/>
                <w:szCs w:val="21"/>
                <w:highlight w:val="none"/>
              </w:rPr>
            </w:pPr>
            <w:r>
              <w:rPr>
                <w:rFonts w:hint="eastAsia" w:ascii="宋体" w:hAnsi="宋体"/>
                <w:szCs w:val="21"/>
                <w:highlight w:val="none"/>
              </w:rPr>
              <w:t>1300*400*750</w:t>
            </w:r>
          </w:p>
        </w:tc>
        <w:tc>
          <w:tcPr>
            <w:tcW w:w="3822" w:type="dxa"/>
            <w:tcBorders>
              <w:bottom w:val="single" w:color="auto" w:sz="4" w:space="0"/>
            </w:tcBorders>
            <w:vAlign w:val="center"/>
          </w:tcPr>
          <w:p>
            <w:pPr>
              <w:pStyle w:val="15"/>
              <w:numPr>
                <w:ilvl w:val="0"/>
                <w:numId w:val="3"/>
              </w:numPr>
              <w:ind w:firstLine="420" w:firstLineChars="200"/>
              <w:rPr>
                <w:rFonts w:cstheme="minorBidi"/>
                <w:kern w:val="2"/>
                <w:sz w:val="21"/>
                <w:szCs w:val="21"/>
                <w:highlight w:val="none"/>
              </w:rPr>
            </w:pPr>
            <w:r>
              <w:rPr>
                <w:rFonts w:hint="eastAsia" w:cstheme="minorBidi"/>
                <w:kern w:val="2"/>
                <w:sz w:val="21"/>
                <w:szCs w:val="21"/>
                <w:highlight w:val="none"/>
              </w:rPr>
              <w:t>桌面：桌面采用采用环保型实木颗粒板（参考品牌：皖华、大亚、露水河），表面贴0.7mm防火板（参考品牌：威盛亚、富美家、玉龙ERON），甲醛含量E1级， 厚度25mm，桌面半圆边或鸭嘴边，其余三边PVC封边厚度不低于2mm，与桌面同色</w:t>
            </w:r>
          </w:p>
          <w:p>
            <w:pPr>
              <w:pStyle w:val="15"/>
              <w:numPr>
                <w:ilvl w:val="0"/>
                <w:numId w:val="3"/>
              </w:numPr>
              <w:ind w:firstLine="420" w:firstLineChars="200"/>
              <w:rPr>
                <w:rFonts w:cstheme="minorBidi"/>
                <w:kern w:val="2"/>
                <w:sz w:val="21"/>
                <w:szCs w:val="21"/>
                <w:highlight w:val="none"/>
              </w:rPr>
            </w:pPr>
            <w:r>
              <w:rPr>
                <w:rFonts w:hint="eastAsia" w:cstheme="minorBidi"/>
                <w:kern w:val="2"/>
                <w:sz w:val="21"/>
                <w:szCs w:val="21"/>
                <w:highlight w:val="none"/>
              </w:rPr>
              <w:t>前挡板采用采用环保型实木颗粒免漆板（参考品牌：皖华、大亚、露水河），甲醛含量E1级，厚度18m。PVC封边厚度不低于1.5mm，与挡板同色</w:t>
            </w:r>
          </w:p>
          <w:p>
            <w:pPr>
              <w:pStyle w:val="15"/>
              <w:numPr>
                <w:ilvl w:val="0"/>
                <w:numId w:val="3"/>
              </w:numPr>
              <w:ind w:firstLine="420" w:firstLineChars="200"/>
              <w:rPr>
                <w:rFonts w:cstheme="minorBidi"/>
                <w:kern w:val="2"/>
                <w:sz w:val="21"/>
                <w:szCs w:val="21"/>
                <w:highlight w:val="none"/>
              </w:rPr>
            </w:pPr>
            <w:r>
              <w:rPr>
                <w:rFonts w:hint="eastAsia" w:cstheme="minorBidi"/>
                <w:kern w:val="2"/>
                <w:sz w:val="21"/>
                <w:szCs w:val="21"/>
                <w:highlight w:val="none"/>
              </w:rPr>
              <w:t>书网采用φ5mm实心钢筋</w:t>
            </w:r>
          </w:p>
          <w:p>
            <w:pPr>
              <w:pStyle w:val="15"/>
              <w:numPr>
                <w:ilvl w:val="0"/>
                <w:numId w:val="3"/>
              </w:numPr>
              <w:ind w:firstLine="420" w:firstLineChars="200"/>
              <w:rPr>
                <w:rFonts w:cstheme="minorBidi"/>
                <w:kern w:val="2"/>
                <w:sz w:val="21"/>
                <w:szCs w:val="21"/>
                <w:highlight w:val="none"/>
              </w:rPr>
            </w:pPr>
            <w:r>
              <w:rPr>
                <w:rFonts w:hint="eastAsia" w:cstheme="minorBidi"/>
                <w:kern w:val="2"/>
                <w:sz w:val="21"/>
                <w:szCs w:val="21"/>
                <w:highlight w:val="none"/>
              </w:rPr>
              <w:t>桌腿采用φ38*1.5mm（或60*30*1.5mm椭圆管）钢管，表面经酸洗、磷化、喷塑</w:t>
            </w:r>
          </w:p>
          <w:p>
            <w:pPr>
              <w:pStyle w:val="15"/>
              <w:numPr>
                <w:ilvl w:val="0"/>
                <w:numId w:val="3"/>
              </w:numPr>
              <w:ind w:firstLine="420" w:firstLineChars="200"/>
              <w:rPr>
                <w:sz w:val="18"/>
                <w:szCs w:val="18"/>
                <w:highlight w:val="none"/>
              </w:rPr>
            </w:pPr>
            <w:r>
              <w:rPr>
                <w:rFonts w:hint="eastAsia" w:cstheme="minorBidi"/>
                <w:kern w:val="2"/>
                <w:sz w:val="21"/>
                <w:szCs w:val="21"/>
                <w:highlight w:val="none"/>
              </w:rPr>
              <w:t>桌脚采用优质ABS塑胶脚套</w:t>
            </w:r>
          </w:p>
          <w:p>
            <w:pPr>
              <w:pStyle w:val="15"/>
              <w:numPr>
                <w:ilvl w:val="0"/>
                <w:numId w:val="3"/>
              </w:numPr>
              <w:ind w:firstLine="420" w:firstLineChars="200"/>
              <w:rPr>
                <w:sz w:val="18"/>
                <w:szCs w:val="18"/>
                <w:highlight w:val="none"/>
              </w:rPr>
            </w:pPr>
            <w:r>
              <w:rPr>
                <w:rFonts w:hint="eastAsia" w:cstheme="minorBidi"/>
                <w:kern w:val="2"/>
                <w:sz w:val="21"/>
                <w:szCs w:val="21"/>
                <w:highlight w:val="none"/>
              </w:rPr>
              <w:t>颜色待定</w:t>
            </w:r>
          </w:p>
          <w:p>
            <w:pPr>
              <w:pStyle w:val="15"/>
              <w:rPr>
                <w:sz w:val="18"/>
                <w:szCs w:val="18"/>
                <w:highlight w:val="none"/>
              </w:rPr>
            </w:pPr>
            <w:r>
              <w:rPr>
                <w:rFonts w:hint="eastAsia" w:cstheme="minorBidi"/>
                <w:b/>
                <w:bCs/>
                <w:kern w:val="2"/>
                <w:sz w:val="21"/>
                <w:szCs w:val="21"/>
                <w:highlight w:val="none"/>
              </w:rPr>
              <w:t>（各供应商需考虑到有部分教室课桌需要与地面固定）</w:t>
            </w:r>
          </w:p>
        </w:tc>
        <w:tc>
          <w:tcPr>
            <w:tcW w:w="572" w:type="dxa"/>
            <w:tcBorders>
              <w:bottom w:val="single" w:color="auto" w:sz="4" w:space="0"/>
            </w:tcBorders>
            <w:vAlign w:val="center"/>
          </w:tcPr>
          <w:p>
            <w:pPr>
              <w:jc w:val="left"/>
              <w:rPr>
                <w:rFonts w:ascii="宋体" w:hAnsi="宋体"/>
                <w:sz w:val="18"/>
                <w:szCs w:val="18"/>
                <w:highlight w:val="none"/>
              </w:rPr>
            </w:pPr>
            <w:r>
              <w:rPr>
                <w:rFonts w:ascii="宋体" w:hAnsi="宋体"/>
                <w:sz w:val="18"/>
                <w:szCs w:val="18"/>
                <w:highlight w:val="none"/>
              </w:rPr>
              <w:t>300</w:t>
            </w:r>
          </w:p>
        </w:tc>
        <w:tc>
          <w:tcPr>
            <w:tcW w:w="419" w:type="dxa"/>
            <w:tcBorders>
              <w:bottom w:val="single" w:color="auto" w:sz="4" w:space="0"/>
            </w:tcBorders>
            <w:vAlign w:val="center"/>
          </w:tcPr>
          <w:p>
            <w:pPr>
              <w:jc w:val="left"/>
              <w:rPr>
                <w:rFonts w:ascii="宋体" w:hAnsi="宋体"/>
                <w:sz w:val="18"/>
                <w:szCs w:val="18"/>
                <w:highlight w:val="none"/>
              </w:rPr>
            </w:pPr>
            <w:r>
              <w:rPr>
                <w:rFonts w:hint="eastAsia" w:ascii="宋体" w:hAnsi="宋体"/>
                <w:sz w:val="18"/>
                <w:szCs w:val="18"/>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jc w:val="center"/>
        </w:trPr>
        <w:tc>
          <w:tcPr>
            <w:tcW w:w="428" w:type="dxa"/>
            <w:vAlign w:val="center"/>
          </w:tcPr>
          <w:p>
            <w:pPr>
              <w:jc w:val="center"/>
              <w:rPr>
                <w:rFonts w:ascii="宋体" w:hAnsi="宋体"/>
                <w:szCs w:val="21"/>
                <w:highlight w:val="none"/>
              </w:rPr>
            </w:pPr>
            <w:r>
              <w:rPr>
                <w:rFonts w:ascii="宋体" w:hAnsi="宋体"/>
                <w:szCs w:val="21"/>
                <w:highlight w:val="none"/>
              </w:rPr>
              <w:t>3</w:t>
            </w:r>
          </w:p>
        </w:tc>
        <w:tc>
          <w:tcPr>
            <w:tcW w:w="540" w:type="dxa"/>
            <w:vAlign w:val="center"/>
          </w:tcPr>
          <w:p>
            <w:pPr>
              <w:jc w:val="center"/>
              <w:rPr>
                <w:rFonts w:ascii="宋体" w:hAnsi="宋体"/>
                <w:szCs w:val="21"/>
                <w:highlight w:val="none"/>
              </w:rPr>
            </w:pPr>
            <w:r>
              <w:rPr>
                <w:rFonts w:hint="eastAsia" w:ascii="宋体" w:hAnsi="宋体"/>
                <w:szCs w:val="21"/>
                <w:highlight w:val="none"/>
              </w:rPr>
              <w:t>椅子</w:t>
            </w:r>
          </w:p>
        </w:tc>
        <w:tc>
          <w:tcPr>
            <w:tcW w:w="2304" w:type="dxa"/>
            <w:noWrap/>
            <w:vAlign w:val="center"/>
          </w:tcPr>
          <w:p>
            <w:pPr>
              <w:jc w:val="center"/>
              <w:rPr>
                <w:rFonts w:ascii="宋体" w:hAnsi="宋体"/>
                <w:szCs w:val="21"/>
                <w:highlight w:val="none"/>
              </w:rPr>
            </w:pPr>
            <w:r>
              <w:rPr>
                <w:rFonts w:ascii="宋体" w:hAnsi="宋体"/>
                <w:szCs w:val="21"/>
                <w:highlight w:val="none"/>
              </w:rPr>
              <w:drawing>
                <wp:inline distT="0" distB="0" distL="0" distR="0">
                  <wp:extent cx="1238885" cy="1151890"/>
                  <wp:effectExtent l="0" t="0" r="1841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40771" cy="1153744"/>
                          </a:xfrm>
                          <a:prstGeom prst="rect">
                            <a:avLst/>
                          </a:prstGeom>
                          <a:noFill/>
                          <a:ln>
                            <a:noFill/>
                          </a:ln>
                        </pic:spPr>
                      </pic:pic>
                    </a:graphicData>
                  </a:graphic>
                </wp:inline>
              </w:drawing>
            </w:r>
          </w:p>
        </w:tc>
        <w:tc>
          <w:tcPr>
            <w:tcW w:w="1543" w:type="dxa"/>
            <w:vAlign w:val="center"/>
          </w:tcPr>
          <w:p>
            <w:pPr>
              <w:jc w:val="center"/>
              <w:rPr>
                <w:rFonts w:ascii="宋体" w:hAnsi="宋体"/>
                <w:szCs w:val="21"/>
                <w:highlight w:val="none"/>
              </w:rPr>
            </w:pPr>
            <w:r>
              <w:rPr>
                <w:rFonts w:ascii="宋体" w:hAnsi="宋体"/>
                <w:szCs w:val="21"/>
                <w:highlight w:val="none"/>
              </w:rPr>
              <w:t>常规</w:t>
            </w:r>
          </w:p>
        </w:tc>
        <w:tc>
          <w:tcPr>
            <w:tcW w:w="3822" w:type="dxa"/>
            <w:vAlign w:val="center"/>
          </w:tcPr>
          <w:p>
            <w:pPr>
              <w:ind w:firstLine="420" w:firstLineChars="200"/>
              <w:jc w:val="left"/>
              <w:rPr>
                <w:rFonts w:ascii="宋体" w:hAnsi="宋体"/>
                <w:szCs w:val="21"/>
                <w:highlight w:val="none"/>
              </w:rPr>
            </w:pPr>
            <w:r>
              <w:rPr>
                <w:rFonts w:hint="eastAsia" w:ascii="宋体" w:hAnsi="宋体"/>
                <w:szCs w:val="21"/>
                <w:highlight w:val="none"/>
              </w:rPr>
              <w:t>1. 座椅采用进口环保PP塑料颗粒，制作过程中增加LGF增强剂，抗老化，抗氧化，使用寿命更长，易打理，符合人体工程学原理要求，坐感舒适</w:t>
            </w:r>
          </w:p>
          <w:p>
            <w:pPr>
              <w:ind w:firstLine="420" w:firstLineChars="200"/>
              <w:jc w:val="left"/>
              <w:rPr>
                <w:rFonts w:ascii="宋体" w:hAnsi="宋体"/>
                <w:szCs w:val="21"/>
                <w:highlight w:val="none"/>
              </w:rPr>
            </w:pPr>
            <w:r>
              <w:rPr>
                <w:rFonts w:hint="eastAsia" w:ascii="宋体" w:hAnsi="宋体"/>
                <w:szCs w:val="21"/>
                <w:highlight w:val="none"/>
              </w:rPr>
              <w:t>2.椅腿采用40*20*1.5mm椭圆管，横档采用φ22*1.5mm圆管表面经酸洗、磷化、喷塑</w:t>
            </w:r>
          </w:p>
          <w:p>
            <w:pPr>
              <w:ind w:firstLine="420" w:firstLineChars="200"/>
              <w:jc w:val="left"/>
              <w:rPr>
                <w:rFonts w:ascii="宋体" w:hAnsi="宋体"/>
                <w:szCs w:val="21"/>
                <w:highlight w:val="none"/>
              </w:rPr>
            </w:pPr>
            <w:r>
              <w:rPr>
                <w:rFonts w:hint="eastAsia" w:ascii="宋体" w:hAnsi="宋体"/>
                <w:szCs w:val="21"/>
                <w:highlight w:val="none"/>
              </w:rPr>
              <w:t>3.椅脚采用优质ABS塑胶脚套</w:t>
            </w:r>
          </w:p>
          <w:p>
            <w:pPr>
              <w:ind w:firstLine="420" w:firstLineChars="200"/>
              <w:jc w:val="left"/>
              <w:rPr>
                <w:rFonts w:ascii="宋体" w:hAnsi="宋体"/>
                <w:szCs w:val="21"/>
                <w:highlight w:val="none"/>
              </w:rPr>
            </w:pPr>
            <w:r>
              <w:rPr>
                <w:rFonts w:hint="eastAsia" w:ascii="宋体" w:hAnsi="宋体"/>
                <w:szCs w:val="21"/>
                <w:highlight w:val="none"/>
              </w:rPr>
              <w:t>4.颜色待定</w:t>
            </w:r>
          </w:p>
        </w:tc>
        <w:tc>
          <w:tcPr>
            <w:tcW w:w="572" w:type="dxa"/>
            <w:noWrap/>
            <w:vAlign w:val="center"/>
          </w:tcPr>
          <w:p>
            <w:pPr>
              <w:jc w:val="center"/>
              <w:rPr>
                <w:rFonts w:ascii="宋体" w:hAnsi="宋体"/>
                <w:sz w:val="15"/>
                <w:szCs w:val="15"/>
                <w:highlight w:val="none"/>
              </w:rPr>
            </w:pPr>
            <w:r>
              <w:rPr>
                <w:rFonts w:ascii="宋体" w:hAnsi="宋体"/>
                <w:sz w:val="15"/>
                <w:szCs w:val="15"/>
                <w:highlight w:val="none"/>
              </w:rPr>
              <w:t>1600</w:t>
            </w:r>
          </w:p>
        </w:tc>
        <w:tc>
          <w:tcPr>
            <w:tcW w:w="419" w:type="dxa"/>
            <w:noWrap/>
            <w:vAlign w:val="center"/>
          </w:tcPr>
          <w:p>
            <w:pPr>
              <w:jc w:val="center"/>
              <w:rPr>
                <w:rFonts w:ascii="宋体" w:hAnsi="宋体"/>
                <w:szCs w:val="21"/>
                <w:highlight w:val="none"/>
              </w:rPr>
            </w:pPr>
            <w:r>
              <w:rPr>
                <w:rFonts w:hint="eastAsia" w:ascii="宋体" w:hAnsi="宋体"/>
                <w:szCs w:val="21"/>
                <w:highlight w:val="none"/>
              </w:rPr>
              <w:t>把</w:t>
            </w:r>
          </w:p>
        </w:tc>
      </w:tr>
    </w:tbl>
    <w:p>
      <w:pPr>
        <w:spacing w:line="360" w:lineRule="auto"/>
        <w:rPr>
          <w:rFonts w:ascii="宋体" w:hAnsi="宋体"/>
          <w:b/>
          <w:sz w:val="24"/>
          <w:highlight w:val="none"/>
          <w:u w:val="single"/>
        </w:rPr>
      </w:pPr>
      <w:r>
        <w:rPr>
          <w:rFonts w:hint="eastAsia" w:ascii="宋体" w:hAnsi="宋体"/>
          <w:b/>
          <w:sz w:val="24"/>
          <w:highlight w:val="none"/>
          <w:u w:val="single"/>
        </w:rPr>
        <w:t>注：数量根据现场</w:t>
      </w:r>
      <w:r>
        <w:rPr>
          <w:rFonts w:ascii="宋体" w:hAnsi="宋体"/>
          <w:b/>
          <w:sz w:val="24"/>
          <w:highlight w:val="none"/>
          <w:u w:val="single"/>
        </w:rPr>
        <w:t>安装情况</w:t>
      </w:r>
      <w:r>
        <w:rPr>
          <w:rFonts w:hint="eastAsia" w:ascii="宋体" w:hAnsi="宋体"/>
          <w:b/>
          <w:sz w:val="24"/>
          <w:highlight w:val="none"/>
          <w:u w:val="single"/>
        </w:rPr>
        <w:t>可以</w:t>
      </w:r>
      <w:r>
        <w:rPr>
          <w:rFonts w:ascii="宋体" w:hAnsi="宋体"/>
          <w:b/>
          <w:sz w:val="24"/>
          <w:highlight w:val="none"/>
          <w:u w:val="single"/>
        </w:rPr>
        <w:t>适当增减</w:t>
      </w:r>
      <w:r>
        <w:rPr>
          <w:rFonts w:hint="eastAsia" w:ascii="宋体" w:hAnsi="宋体"/>
          <w:b/>
          <w:sz w:val="24"/>
          <w:highlight w:val="none"/>
          <w:u w:val="single"/>
        </w:rPr>
        <w:t>，据实结算；</w:t>
      </w:r>
    </w:p>
    <w:p>
      <w:pPr>
        <w:pStyle w:val="10"/>
        <w:adjustRightInd w:val="0"/>
        <w:snapToGrid w:val="0"/>
        <w:spacing w:before="120" w:after="120" w:line="360" w:lineRule="auto"/>
        <w:rPr>
          <w:rFonts w:ascii="Times New Roman" w:hAnsi="Times New Roman"/>
          <w:b/>
          <w:bCs/>
          <w:sz w:val="24"/>
          <w:szCs w:val="24"/>
          <w:highlight w:val="none"/>
        </w:rPr>
      </w:pPr>
    </w:p>
    <w:p>
      <w:pPr>
        <w:pStyle w:val="10"/>
        <w:adjustRightInd w:val="0"/>
        <w:snapToGrid w:val="0"/>
        <w:spacing w:before="120" w:after="120" w:line="360" w:lineRule="auto"/>
        <w:rPr>
          <w:rFonts w:ascii="Times New Roman" w:hAnsi="Times New Roman"/>
          <w:b/>
          <w:bCs/>
          <w:sz w:val="24"/>
          <w:szCs w:val="24"/>
          <w:highlight w:val="none"/>
        </w:rPr>
      </w:pPr>
    </w:p>
    <w:p>
      <w:pPr>
        <w:pStyle w:val="10"/>
        <w:adjustRightInd w:val="0"/>
        <w:snapToGrid w:val="0"/>
        <w:spacing w:before="120" w:after="120" w:line="360" w:lineRule="auto"/>
        <w:rPr>
          <w:rFonts w:ascii="Times New Roman" w:hAnsi="Times New Roman"/>
          <w:b/>
          <w:bCs/>
          <w:sz w:val="24"/>
          <w:szCs w:val="24"/>
          <w:highlight w:val="none"/>
        </w:rPr>
      </w:pPr>
    </w:p>
    <w:p>
      <w:pPr>
        <w:pStyle w:val="10"/>
        <w:adjustRightInd w:val="0"/>
        <w:snapToGrid w:val="0"/>
        <w:spacing w:before="120" w:after="120" w:line="360" w:lineRule="auto"/>
        <w:rPr>
          <w:rFonts w:ascii="Times New Roman" w:hAnsi="Times New Roman"/>
          <w:b/>
          <w:bCs/>
          <w:sz w:val="24"/>
          <w:szCs w:val="24"/>
          <w:highlight w:val="none"/>
        </w:rPr>
      </w:pPr>
    </w:p>
    <w:p>
      <w:pPr>
        <w:pStyle w:val="10"/>
        <w:adjustRightInd w:val="0"/>
        <w:snapToGrid w:val="0"/>
        <w:spacing w:before="120" w:after="120" w:line="360" w:lineRule="auto"/>
        <w:rPr>
          <w:rFonts w:ascii="Times New Roman" w:hAnsi="Times New Roman"/>
          <w:b/>
          <w:bCs/>
          <w:sz w:val="24"/>
          <w:szCs w:val="24"/>
          <w:highlight w:val="none"/>
        </w:rPr>
      </w:pPr>
    </w:p>
    <w:p>
      <w:pPr>
        <w:pStyle w:val="10"/>
        <w:adjustRightInd w:val="0"/>
        <w:snapToGrid w:val="0"/>
        <w:spacing w:before="120" w:after="120" w:line="360" w:lineRule="auto"/>
        <w:rPr>
          <w:rFonts w:ascii="Times New Roman" w:hAnsi="Times New Roman"/>
          <w:b/>
          <w:bCs/>
          <w:sz w:val="24"/>
          <w:szCs w:val="24"/>
          <w:highlight w:val="none"/>
        </w:rPr>
      </w:pPr>
    </w:p>
    <w:p>
      <w:pPr>
        <w:pStyle w:val="10"/>
        <w:adjustRightInd w:val="0"/>
        <w:snapToGrid w:val="0"/>
        <w:spacing w:before="120" w:after="120" w:line="360" w:lineRule="auto"/>
        <w:rPr>
          <w:rFonts w:ascii="Times New Roman" w:hAnsi="Times New Roman"/>
          <w:b/>
          <w:bCs/>
          <w:sz w:val="24"/>
          <w:szCs w:val="24"/>
          <w:highlight w:val="none"/>
        </w:rPr>
      </w:pPr>
    </w:p>
    <w:p>
      <w:pPr>
        <w:pStyle w:val="10"/>
        <w:adjustRightInd w:val="0"/>
        <w:snapToGrid w:val="0"/>
        <w:spacing w:before="120" w:after="120" w:line="360" w:lineRule="auto"/>
        <w:rPr>
          <w:rFonts w:ascii="Times New Roman" w:hAnsi="Times New Roman"/>
          <w:b/>
          <w:bCs/>
          <w:sz w:val="24"/>
          <w:szCs w:val="24"/>
          <w:highlight w:val="none"/>
        </w:rPr>
      </w:pPr>
    </w:p>
    <w:p>
      <w:pPr>
        <w:pStyle w:val="10"/>
        <w:adjustRightInd w:val="0"/>
        <w:snapToGrid w:val="0"/>
        <w:spacing w:before="120" w:after="120" w:line="360" w:lineRule="auto"/>
        <w:rPr>
          <w:rFonts w:ascii="Times New Roman" w:hAnsi="Times New Roman"/>
          <w:b/>
          <w:bCs/>
          <w:sz w:val="24"/>
          <w:szCs w:val="24"/>
          <w:highlight w:val="none"/>
        </w:rPr>
      </w:pPr>
    </w:p>
    <w:p>
      <w:pPr>
        <w:pStyle w:val="10"/>
        <w:adjustRightInd w:val="0"/>
        <w:snapToGrid w:val="0"/>
        <w:spacing w:before="120" w:after="120" w:line="360" w:lineRule="auto"/>
        <w:rPr>
          <w:rFonts w:ascii="Times New Roman" w:hAnsi="Times New Roman"/>
          <w:b/>
          <w:bCs/>
          <w:sz w:val="24"/>
          <w:szCs w:val="24"/>
          <w:highlight w:val="none"/>
        </w:rPr>
      </w:pPr>
    </w:p>
    <w:p>
      <w:pPr>
        <w:pStyle w:val="10"/>
        <w:adjustRightInd w:val="0"/>
        <w:snapToGrid w:val="0"/>
        <w:spacing w:before="120" w:after="120" w:line="360" w:lineRule="auto"/>
        <w:rPr>
          <w:rFonts w:ascii="Times New Roman" w:hAnsi="Times New Roman"/>
          <w:b/>
          <w:bCs/>
          <w:sz w:val="24"/>
          <w:szCs w:val="24"/>
          <w:highlight w:val="none"/>
        </w:rPr>
      </w:pPr>
    </w:p>
    <w:p>
      <w:pPr>
        <w:pStyle w:val="10"/>
        <w:adjustRightInd w:val="0"/>
        <w:snapToGrid w:val="0"/>
        <w:spacing w:before="120" w:after="120" w:line="360" w:lineRule="auto"/>
        <w:rPr>
          <w:rFonts w:ascii="Times New Roman" w:hAnsi="Times New Roman"/>
          <w:b/>
          <w:bCs/>
          <w:sz w:val="24"/>
          <w:szCs w:val="24"/>
          <w:highlight w:val="none"/>
        </w:rPr>
      </w:pPr>
    </w:p>
    <w:p>
      <w:pPr>
        <w:pStyle w:val="10"/>
        <w:adjustRightInd w:val="0"/>
        <w:snapToGrid w:val="0"/>
        <w:spacing w:before="120" w:after="120" w:line="360" w:lineRule="auto"/>
        <w:rPr>
          <w:rFonts w:ascii="Times New Roman" w:hAnsi="Times New Roman"/>
          <w:b/>
          <w:bCs/>
          <w:sz w:val="24"/>
          <w:szCs w:val="24"/>
          <w:highlight w:val="none"/>
        </w:rPr>
      </w:pPr>
    </w:p>
    <w:p>
      <w:pPr>
        <w:widowControl/>
        <w:jc w:val="left"/>
        <w:rPr>
          <w:rFonts w:hAnsi="宋体"/>
          <w:b/>
          <w:sz w:val="28"/>
          <w:szCs w:val="28"/>
          <w:highlight w:val="none"/>
        </w:rPr>
      </w:pPr>
      <w:r>
        <w:rPr>
          <w:rFonts w:hAnsi="宋体"/>
          <w:b/>
          <w:sz w:val="28"/>
          <w:szCs w:val="28"/>
          <w:highlight w:val="none"/>
        </w:rPr>
        <w:br w:type="page"/>
      </w: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1"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r>
        <w:rPr>
          <w:rFonts w:hint="eastAsia" w:ascii="宋体" w:hAnsi="宋体"/>
          <w:sz w:val="24"/>
          <w:highlight w:val="none"/>
          <w:lang w:val="zh-CN"/>
        </w:rPr>
        <w:t>（具体报价清单见附表，最终据实结算）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bookmarkEnd w:id="10"/>
    <w:bookmarkEnd w:id="11"/>
    <w:p>
      <w:pPr>
        <w:spacing w:line="480" w:lineRule="exact"/>
        <w:jc w:val="center"/>
        <w:rPr>
          <w:rFonts w:ascii="宋体" w:hAnsi="宋体"/>
          <w:sz w:val="36"/>
          <w:szCs w:val="36"/>
          <w:highlight w:val="none"/>
        </w:rPr>
      </w:pPr>
      <w:r>
        <w:rPr>
          <w:rFonts w:hint="eastAsia" w:ascii="宋体" w:hAnsi="宋体"/>
          <w:sz w:val="36"/>
          <w:szCs w:val="36"/>
          <w:highlight w:val="none"/>
        </w:rPr>
        <w:t>报 价 明 细 表</w:t>
      </w:r>
    </w:p>
    <w:p>
      <w:pPr>
        <w:spacing w:line="480" w:lineRule="exact"/>
        <w:rPr>
          <w:rFonts w:ascii="宋体" w:hAnsi="宋体"/>
          <w:sz w:val="24"/>
          <w:highlight w:val="none"/>
        </w:rPr>
      </w:pPr>
      <w:r>
        <w:rPr>
          <w:rFonts w:hint="eastAsia" w:ascii="宋体" w:hAnsi="宋体"/>
          <w:sz w:val="24"/>
          <w:highlight w:val="none"/>
        </w:rPr>
        <w:t>一、</w:t>
      </w:r>
      <w:r>
        <w:rPr>
          <w:rFonts w:ascii="宋体" w:hAnsi="宋体"/>
          <w:sz w:val="24"/>
          <w:highlight w:val="none"/>
        </w:rPr>
        <w:t>南京信息工程大学</w:t>
      </w:r>
      <w:r>
        <w:rPr>
          <w:rFonts w:hint="eastAsia" w:ascii="宋体" w:hAnsi="宋体"/>
          <w:sz w:val="24"/>
          <w:highlight w:val="none"/>
          <w:u w:val="single"/>
        </w:rPr>
        <w:t>教室课桌椅采购及安装服务项目</w:t>
      </w:r>
      <w:r>
        <w:rPr>
          <w:rFonts w:hint="eastAsia" w:ascii="宋体" w:hAnsi="宋体"/>
          <w:sz w:val="24"/>
          <w:highlight w:val="none"/>
        </w:rPr>
        <w:t>报价明细表：</w:t>
      </w:r>
    </w:p>
    <w:tbl>
      <w:tblPr>
        <w:tblStyle w:val="34"/>
        <w:tblW w:w="9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233"/>
        <w:gridCol w:w="2127"/>
        <w:gridCol w:w="1460"/>
        <w:gridCol w:w="992"/>
        <w:gridCol w:w="1047"/>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noWrap/>
            <w:vAlign w:val="center"/>
          </w:tcPr>
          <w:p>
            <w:pPr>
              <w:jc w:val="center"/>
              <w:rPr>
                <w:rFonts w:ascii="宋体" w:hAnsi="宋体"/>
                <w:b/>
                <w:szCs w:val="22"/>
                <w:highlight w:val="none"/>
              </w:rPr>
            </w:pPr>
            <w:r>
              <w:rPr>
                <w:rFonts w:hint="eastAsia" w:ascii="宋体" w:hAnsi="宋体"/>
                <w:b/>
                <w:szCs w:val="22"/>
                <w:highlight w:val="none"/>
              </w:rPr>
              <w:t>序号</w:t>
            </w:r>
          </w:p>
        </w:tc>
        <w:tc>
          <w:tcPr>
            <w:tcW w:w="1134" w:type="dxa"/>
            <w:noWrap/>
            <w:vAlign w:val="center"/>
          </w:tcPr>
          <w:p>
            <w:pPr>
              <w:jc w:val="center"/>
              <w:rPr>
                <w:rFonts w:ascii="宋体" w:hAnsi="宋体"/>
                <w:b/>
                <w:szCs w:val="22"/>
                <w:highlight w:val="none"/>
              </w:rPr>
            </w:pPr>
            <w:r>
              <w:rPr>
                <w:rFonts w:hint="eastAsia" w:ascii="宋体" w:hAnsi="宋体"/>
                <w:b/>
                <w:szCs w:val="22"/>
                <w:highlight w:val="none"/>
              </w:rPr>
              <w:t>名称</w:t>
            </w:r>
          </w:p>
        </w:tc>
        <w:tc>
          <w:tcPr>
            <w:tcW w:w="1233" w:type="dxa"/>
            <w:vAlign w:val="center"/>
          </w:tcPr>
          <w:p>
            <w:pPr>
              <w:jc w:val="center"/>
              <w:rPr>
                <w:rFonts w:ascii="宋体" w:hAnsi="宋体"/>
                <w:b/>
                <w:szCs w:val="22"/>
                <w:highlight w:val="none"/>
              </w:rPr>
            </w:pPr>
            <w:r>
              <w:rPr>
                <w:rFonts w:hint="eastAsia" w:ascii="宋体" w:hAnsi="宋体"/>
                <w:b/>
                <w:szCs w:val="22"/>
                <w:highlight w:val="none"/>
              </w:rPr>
              <w:t>品牌</w:t>
            </w:r>
          </w:p>
        </w:tc>
        <w:tc>
          <w:tcPr>
            <w:tcW w:w="2127" w:type="dxa"/>
            <w:noWrap/>
            <w:vAlign w:val="center"/>
          </w:tcPr>
          <w:p>
            <w:pPr>
              <w:jc w:val="center"/>
              <w:rPr>
                <w:rFonts w:ascii="宋体" w:hAnsi="宋体"/>
                <w:b/>
                <w:szCs w:val="22"/>
                <w:highlight w:val="none"/>
              </w:rPr>
            </w:pPr>
            <w:r>
              <w:rPr>
                <w:rFonts w:hint="eastAsia" w:ascii="宋体" w:hAnsi="宋体"/>
                <w:b/>
                <w:szCs w:val="22"/>
                <w:highlight w:val="none"/>
              </w:rPr>
              <w:t>规格</w:t>
            </w:r>
          </w:p>
        </w:tc>
        <w:tc>
          <w:tcPr>
            <w:tcW w:w="1460" w:type="dxa"/>
            <w:vAlign w:val="center"/>
          </w:tcPr>
          <w:p>
            <w:pPr>
              <w:jc w:val="center"/>
              <w:rPr>
                <w:rFonts w:ascii="宋体" w:hAnsi="宋体"/>
                <w:b/>
                <w:szCs w:val="22"/>
                <w:highlight w:val="none"/>
              </w:rPr>
            </w:pPr>
            <w:r>
              <w:rPr>
                <w:rFonts w:hint="eastAsia" w:ascii="宋体" w:hAnsi="宋体"/>
                <w:b/>
                <w:szCs w:val="22"/>
                <w:highlight w:val="none"/>
              </w:rPr>
              <w:t>单价（元</w:t>
            </w:r>
            <w:r>
              <w:rPr>
                <w:rFonts w:ascii="宋体" w:hAnsi="宋体"/>
                <w:b/>
                <w:szCs w:val="22"/>
                <w:highlight w:val="none"/>
              </w:rPr>
              <w:t>）</w:t>
            </w:r>
          </w:p>
        </w:tc>
        <w:tc>
          <w:tcPr>
            <w:tcW w:w="992" w:type="dxa"/>
            <w:noWrap/>
            <w:vAlign w:val="center"/>
          </w:tcPr>
          <w:p>
            <w:pPr>
              <w:jc w:val="center"/>
              <w:rPr>
                <w:rFonts w:ascii="宋体" w:hAnsi="宋体"/>
                <w:b/>
                <w:szCs w:val="22"/>
                <w:highlight w:val="none"/>
              </w:rPr>
            </w:pPr>
            <w:r>
              <w:rPr>
                <w:rFonts w:hint="eastAsia" w:ascii="宋体" w:hAnsi="宋体"/>
                <w:b/>
                <w:szCs w:val="22"/>
                <w:highlight w:val="none"/>
              </w:rPr>
              <w:t>数量</w:t>
            </w:r>
          </w:p>
        </w:tc>
        <w:tc>
          <w:tcPr>
            <w:tcW w:w="1047" w:type="dxa"/>
            <w:noWrap/>
            <w:vAlign w:val="center"/>
          </w:tcPr>
          <w:p>
            <w:pPr>
              <w:jc w:val="center"/>
              <w:rPr>
                <w:rFonts w:ascii="宋体" w:hAnsi="宋体"/>
                <w:b/>
                <w:szCs w:val="22"/>
                <w:highlight w:val="none"/>
              </w:rPr>
            </w:pPr>
            <w:r>
              <w:rPr>
                <w:rFonts w:hint="eastAsia" w:ascii="宋体" w:hAnsi="宋体"/>
                <w:b/>
                <w:szCs w:val="22"/>
                <w:highlight w:val="none"/>
              </w:rPr>
              <w:t>单位</w:t>
            </w:r>
          </w:p>
        </w:tc>
        <w:tc>
          <w:tcPr>
            <w:tcW w:w="1271" w:type="dxa"/>
            <w:vAlign w:val="center"/>
          </w:tcPr>
          <w:p>
            <w:pPr>
              <w:jc w:val="center"/>
              <w:rPr>
                <w:rFonts w:ascii="宋体" w:hAnsi="宋体"/>
                <w:b/>
                <w:szCs w:val="22"/>
                <w:highlight w:val="none"/>
              </w:rPr>
            </w:pPr>
            <w:r>
              <w:rPr>
                <w:rFonts w:hint="eastAsia" w:ascii="宋体" w:hAnsi="宋体"/>
                <w:b/>
                <w:szCs w:val="22"/>
                <w:highlight w:val="none"/>
              </w:rPr>
              <w:t>合计（元</w:t>
            </w:r>
            <w:r>
              <w:rPr>
                <w:rFonts w:ascii="宋体" w:hAnsi="宋体"/>
                <w:b/>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09" w:type="dxa"/>
            <w:vMerge w:val="restart"/>
            <w:vAlign w:val="center"/>
          </w:tcPr>
          <w:p>
            <w:pPr>
              <w:jc w:val="center"/>
              <w:rPr>
                <w:rFonts w:ascii="宋体" w:hAnsi="宋体"/>
                <w:szCs w:val="22"/>
                <w:highlight w:val="none"/>
              </w:rPr>
            </w:pPr>
            <w:r>
              <w:rPr>
                <w:rFonts w:hint="eastAsia" w:ascii="宋体" w:hAnsi="宋体"/>
                <w:szCs w:val="22"/>
                <w:highlight w:val="none"/>
              </w:rPr>
              <w:t>1</w:t>
            </w:r>
          </w:p>
        </w:tc>
        <w:tc>
          <w:tcPr>
            <w:tcW w:w="1134" w:type="dxa"/>
            <w:vMerge w:val="restart"/>
            <w:noWrap/>
            <w:vAlign w:val="center"/>
          </w:tcPr>
          <w:p>
            <w:pPr>
              <w:jc w:val="center"/>
              <w:rPr>
                <w:rFonts w:ascii="宋体" w:hAnsi="宋体"/>
                <w:szCs w:val="22"/>
                <w:highlight w:val="none"/>
              </w:rPr>
            </w:pPr>
            <w:r>
              <w:rPr>
                <w:rFonts w:hint="eastAsia" w:ascii="宋体" w:hAnsi="宋体"/>
                <w:szCs w:val="22"/>
                <w:highlight w:val="none"/>
              </w:rPr>
              <w:t>双人课桌</w:t>
            </w:r>
          </w:p>
        </w:tc>
        <w:tc>
          <w:tcPr>
            <w:tcW w:w="1233" w:type="dxa"/>
            <w:vAlign w:val="center"/>
          </w:tcPr>
          <w:p>
            <w:pPr>
              <w:jc w:val="center"/>
              <w:rPr>
                <w:rFonts w:ascii="宋体" w:hAnsi="宋体"/>
                <w:szCs w:val="22"/>
                <w:highlight w:val="none"/>
              </w:rPr>
            </w:pPr>
          </w:p>
        </w:tc>
        <w:tc>
          <w:tcPr>
            <w:tcW w:w="2127" w:type="dxa"/>
            <w:vAlign w:val="center"/>
          </w:tcPr>
          <w:p>
            <w:pPr>
              <w:jc w:val="center"/>
              <w:rPr>
                <w:rFonts w:ascii="宋体" w:hAnsi="宋体"/>
                <w:szCs w:val="22"/>
                <w:highlight w:val="none"/>
              </w:rPr>
            </w:pPr>
            <w:r>
              <w:rPr>
                <w:rFonts w:hint="eastAsia" w:ascii="宋体" w:hAnsi="宋体"/>
                <w:szCs w:val="22"/>
                <w:highlight w:val="none"/>
              </w:rPr>
              <w:t>1400*500*750mm</w:t>
            </w:r>
          </w:p>
          <w:p>
            <w:pPr>
              <w:jc w:val="center"/>
              <w:rPr>
                <w:rFonts w:ascii="宋体" w:hAnsi="宋体"/>
                <w:szCs w:val="22"/>
                <w:highlight w:val="none"/>
              </w:rPr>
            </w:pPr>
            <w:r>
              <w:rPr>
                <w:rFonts w:hint="eastAsia" w:ascii="Calibri" w:hAnsi="Calibri"/>
                <w:szCs w:val="21"/>
                <w:highlight w:val="none"/>
              </w:rPr>
              <w:t>(塑胶脚套</w:t>
            </w:r>
            <w:r>
              <w:rPr>
                <w:rFonts w:hint="eastAsia" w:ascii="宋体" w:hAnsi="宋体"/>
                <w:szCs w:val="21"/>
                <w:highlight w:val="none"/>
              </w:rPr>
              <w:t>型和</w:t>
            </w:r>
            <w:r>
              <w:rPr>
                <w:rFonts w:hint="eastAsia" w:ascii="Calibri" w:hAnsi="Calibri"/>
                <w:szCs w:val="21"/>
                <w:highlight w:val="none"/>
              </w:rPr>
              <w:t>万向轮</w:t>
            </w:r>
            <w:r>
              <w:rPr>
                <w:rFonts w:hint="eastAsia" w:ascii="宋体" w:hAnsi="宋体"/>
                <w:szCs w:val="21"/>
                <w:highlight w:val="none"/>
              </w:rPr>
              <w:t>型同一报价）</w:t>
            </w:r>
          </w:p>
        </w:tc>
        <w:tc>
          <w:tcPr>
            <w:tcW w:w="1460" w:type="dxa"/>
            <w:vAlign w:val="center"/>
          </w:tcPr>
          <w:p>
            <w:pPr>
              <w:jc w:val="center"/>
              <w:rPr>
                <w:rFonts w:ascii="宋体" w:hAnsi="宋体"/>
                <w:szCs w:val="22"/>
                <w:highlight w:val="none"/>
              </w:rPr>
            </w:pPr>
          </w:p>
        </w:tc>
        <w:tc>
          <w:tcPr>
            <w:tcW w:w="992" w:type="dxa"/>
            <w:noWrap/>
            <w:vAlign w:val="center"/>
          </w:tcPr>
          <w:p>
            <w:pPr>
              <w:jc w:val="center"/>
              <w:rPr>
                <w:rFonts w:ascii="宋体" w:hAnsi="宋体"/>
                <w:szCs w:val="22"/>
                <w:highlight w:val="none"/>
              </w:rPr>
            </w:pPr>
            <w:r>
              <w:rPr>
                <w:rFonts w:hint="eastAsia" w:ascii="宋体" w:hAnsi="宋体"/>
                <w:szCs w:val="22"/>
                <w:highlight w:val="none"/>
              </w:rPr>
              <w:t>500</w:t>
            </w:r>
          </w:p>
        </w:tc>
        <w:tc>
          <w:tcPr>
            <w:tcW w:w="1047" w:type="dxa"/>
            <w:noWrap/>
            <w:vAlign w:val="center"/>
          </w:tcPr>
          <w:p>
            <w:pPr>
              <w:jc w:val="center"/>
              <w:rPr>
                <w:rFonts w:ascii="宋体" w:hAnsi="宋体"/>
                <w:szCs w:val="22"/>
                <w:highlight w:val="none"/>
              </w:rPr>
            </w:pPr>
            <w:r>
              <w:rPr>
                <w:rFonts w:hint="eastAsia" w:ascii="宋体" w:hAnsi="宋体"/>
                <w:szCs w:val="22"/>
                <w:highlight w:val="none"/>
              </w:rPr>
              <w:t>张</w:t>
            </w:r>
          </w:p>
        </w:tc>
        <w:tc>
          <w:tcPr>
            <w:tcW w:w="1271" w:type="dxa"/>
            <w:vAlign w:val="center"/>
          </w:tcPr>
          <w:p>
            <w:pPr>
              <w:jc w:val="center"/>
              <w:rPr>
                <w:rFonts w:ascii="宋体" w:hAnsi="宋体"/>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09" w:type="dxa"/>
            <w:vMerge w:val="continue"/>
            <w:vAlign w:val="center"/>
          </w:tcPr>
          <w:p>
            <w:pPr>
              <w:jc w:val="center"/>
              <w:rPr>
                <w:rFonts w:ascii="宋体" w:hAnsi="宋体"/>
                <w:szCs w:val="22"/>
                <w:highlight w:val="none"/>
              </w:rPr>
            </w:pPr>
          </w:p>
        </w:tc>
        <w:tc>
          <w:tcPr>
            <w:tcW w:w="1134" w:type="dxa"/>
            <w:vMerge w:val="continue"/>
            <w:vAlign w:val="center"/>
          </w:tcPr>
          <w:p>
            <w:pPr>
              <w:jc w:val="center"/>
              <w:rPr>
                <w:rFonts w:ascii="宋体" w:hAnsi="宋体"/>
                <w:szCs w:val="22"/>
                <w:highlight w:val="none"/>
              </w:rPr>
            </w:pPr>
          </w:p>
        </w:tc>
        <w:tc>
          <w:tcPr>
            <w:tcW w:w="1233" w:type="dxa"/>
            <w:vAlign w:val="center"/>
          </w:tcPr>
          <w:p>
            <w:pPr>
              <w:jc w:val="center"/>
              <w:rPr>
                <w:rFonts w:ascii="宋体" w:hAnsi="宋体"/>
                <w:szCs w:val="22"/>
                <w:highlight w:val="none"/>
              </w:rPr>
            </w:pPr>
          </w:p>
        </w:tc>
        <w:tc>
          <w:tcPr>
            <w:tcW w:w="2127" w:type="dxa"/>
            <w:vAlign w:val="center"/>
          </w:tcPr>
          <w:p>
            <w:pPr>
              <w:jc w:val="center"/>
              <w:rPr>
                <w:rFonts w:ascii="宋体" w:hAnsi="宋体"/>
                <w:szCs w:val="22"/>
                <w:highlight w:val="none"/>
              </w:rPr>
            </w:pPr>
            <w:r>
              <w:rPr>
                <w:rFonts w:hint="eastAsia" w:ascii="宋体" w:hAnsi="宋体"/>
                <w:szCs w:val="22"/>
                <w:highlight w:val="none"/>
              </w:rPr>
              <w:t>1300*400*750mm</w:t>
            </w:r>
            <w:r>
              <w:rPr>
                <w:rFonts w:ascii="宋体" w:hAnsi="宋体"/>
                <w:szCs w:val="22"/>
                <w:highlight w:val="none"/>
              </w:rPr>
              <w:br w:type="textWrapping"/>
            </w:r>
            <w:r>
              <w:rPr>
                <w:rFonts w:hint="eastAsia" w:ascii="Calibri" w:hAnsi="Calibri"/>
                <w:szCs w:val="21"/>
                <w:highlight w:val="none"/>
              </w:rPr>
              <w:t>(万向轮</w:t>
            </w:r>
            <w:r>
              <w:rPr>
                <w:rFonts w:hint="eastAsia" w:ascii="宋体" w:hAnsi="宋体"/>
                <w:szCs w:val="21"/>
                <w:highlight w:val="none"/>
              </w:rPr>
              <w:t>型）</w:t>
            </w:r>
          </w:p>
        </w:tc>
        <w:tc>
          <w:tcPr>
            <w:tcW w:w="1460" w:type="dxa"/>
            <w:vAlign w:val="center"/>
          </w:tcPr>
          <w:p>
            <w:pPr>
              <w:jc w:val="center"/>
              <w:rPr>
                <w:rFonts w:ascii="宋体" w:hAnsi="宋体"/>
                <w:szCs w:val="22"/>
                <w:highlight w:val="none"/>
              </w:rPr>
            </w:pPr>
          </w:p>
        </w:tc>
        <w:tc>
          <w:tcPr>
            <w:tcW w:w="992" w:type="dxa"/>
            <w:noWrap/>
            <w:vAlign w:val="center"/>
          </w:tcPr>
          <w:p>
            <w:pPr>
              <w:jc w:val="center"/>
              <w:rPr>
                <w:rFonts w:ascii="宋体" w:hAnsi="宋体"/>
                <w:szCs w:val="22"/>
                <w:highlight w:val="none"/>
              </w:rPr>
            </w:pPr>
            <w:r>
              <w:rPr>
                <w:rFonts w:hint="eastAsia" w:ascii="宋体" w:hAnsi="宋体"/>
                <w:szCs w:val="22"/>
                <w:highlight w:val="none"/>
              </w:rPr>
              <w:t>300</w:t>
            </w:r>
          </w:p>
        </w:tc>
        <w:tc>
          <w:tcPr>
            <w:tcW w:w="1047" w:type="dxa"/>
            <w:noWrap/>
            <w:vAlign w:val="center"/>
          </w:tcPr>
          <w:p>
            <w:pPr>
              <w:jc w:val="center"/>
              <w:rPr>
                <w:rFonts w:ascii="宋体" w:hAnsi="宋体"/>
                <w:szCs w:val="22"/>
                <w:highlight w:val="none"/>
              </w:rPr>
            </w:pPr>
            <w:r>
              <w:rPr>
                <w:rFonts w:hint="eastAsia" w:ascii="宋体" w:hAnsi="宋体"/>
                <w:szCs w:val="22"/>
                <w:highlight w:val="none"/>
              </w:rPr>
              <w:t>张</w:t>
            </w:r>
          </w:p>
        </w:tc>
        <w:tc>
          <w:tcPr>
            <w:tcW w:w="1271" w:type="dxa"/>
            <w:vAlign w:val="center"/>
          </w:tcPr>
          <w:p>
            <w:pPr>
              <w:jc w:val="center"/>
              <w:rPr>
                <w:rFonts w:ascii="宋体" w:hAnsi="宋体"/>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709" w:type="dxa"/>
            <w:vAlign w:val="center"/>
          </w:tcPr>
          <w:p>
            <w:pPr>
              <w:jc w:val="center"/>
              <w:rPr>
                <w:rFonts w:ascii="宋体" w:hAnsi="宋体"/>
                <w:szCs w:val="22"/>
                <w:highlight w:val="none"/>
              </w:rPr>
            </w:pPr>
            <w:r>
              <w:rPr>
                <w:rFonts w:hint="eastAsia" w:ascii="宋体" w:hAnsi="宋体"/>
                <w:szCs w:val="22"/>
                <w:highlight w:val="none"/>
              </w:rPr>
              <w:t>2</w:t>
            </w:r>
          </w:p>
        </w:tc>
        <w:tc>
          <w:tcPr>
            <w:tcW w:w="1134" w:type="dxa"/>
            <w:vAlign w:val="center"/>
          </w:tcPr>
          <w:p>
            <w:pPr>
              <w:jc w:val="center"/>
              <w:rPr>
                <w:rFonts w:ascii="宋体" w:hAnsi="宋体"/>
                <w:szCs w:val="22"/>
                <w:highlight w:val="none"/>
              </w:rPr>
            </w:pPr>
            <w:r>
              <w:rPr>
                <w:rFonts w:hint="eastAsia" w:ascii="宋体" w:hAnsi="宋体"/>
                <w:szCs w:val="22"/>
                <w:highlight w:val="none"/>
              </w:rPr>
              <w:t>椅子</w:t>
            </w:r>
          </w:p>
        </w:tc>
        <w:tc>
          <w:tcPr>
            <w:tcW w:w="1233" w:type="dxa"/>
            <w:vAlign w:val="center"/>
          </w:tcPr>
          <w:p>
            <w:pPr>
              <w:jc w:val="center"/>
              <w:rPr>
                <w:rFonts w:ascii="宋体" w:hAnsi="宋体"/>
                <w:szCs w:val="22"/>
                <w:highlight w:val="none"/>
              </w:rPr>
            </w:pPr>
          </w:p>
        </w:tc>
        <w:tc>
          <w:tcPr>
            <w:tcW w:w="2127" w:type="dxa"/>
            <w:noWrap/>
            <w:vAlign w:val="center"/>
          </w:tcPr>
          <w:p>
            <w:pPr>
              <w:jc w:val="center"/>
              <w:rPr>
                <w:rFonts w:ascii="宋体" w:hAnsi="宋体"/>
                <w:szCs w:val="22"/>
                <w:highlight w:val="none"/>
              </w:rPr>
            </w:pPr>
            <w:r>
              <w:rPr>
                <w:rFonts w:hint="eastAsia" w:ascii="宋体" w:hAnsi="宋体"/>
                <w:szCs w:val="22"/>
                <w:highlight w:val="none"/>
              </w:rPr>
              <w:t>常规</w:t>
            </w:r>
          </w:p>
        </w:tc>
        <w:tc>
          <w:tcPr>
            <w:tcW w:w="1460" w:type="dxa"/>
            <w:vAlign w:val="center"/>
          </w:tcPr>
          <w:p>
            <w:pPr>
              <w:jc w:val="center"/>
              <w:rPr>
                <w:rFonts w:ascii="宋体" w:hAnsi="宋体"/>
                <w:szCs w:val="22"/>
                <w:highlight w:val="none"/>
              </w:rPr>
            </w:pPr>
          </w:p>
        </w:tc>
        <w:tc>
          <w:tcPr>
            <w:tcW w:w="992" w:type="dxa"/>
            <w:noWrap/>
            <w:vAlign w:val="center"/>
          </w:tcPr>
          <w:p>
            <w:pPr>
              <w:jc w:val="center"/>
              <w:rPr>
                <w:rFonts w:ascii="宋体" w:hAnsi="宋体"/>
                <w:szCs w:val="22"/>
                <w:highlight w:val="none"/>
              </w:rPr>
            </w:pPr>
            <w:r>
              <w:rPr>
                <w:rFonts w:ascii="宋体" w:hAnsi="宋体"/>
                <w:szCs w:val="22"/>
                <w:highlight w:val="none"/>
              </w:rPr>
              <w:t>16</w:t>
            </w:r>
            <w:r>
              <w:rPr>
                <w:rFonts w:hint="eastAsia" w:ascii="宋体" w:hAnsi="宋体"/>
                <w:szCs w:val="22"/>
                <w:highlight w:val="none"/>
              </w:rPr>
              <w:t>00</w:t>
            </w:r>
          </w:p>
        </w:tc>
        <w:tc>
          <w:tcPr>
            <w:tcW w:w="1047" w:type="dxa"/>
            <w:noWrap/>
            <w:vAlign w:val="center"/>
          </w:tcPr>
          <w:p>
            <w:pPr>
              <w:jc w:val="center"/>
              <w:rPr>
                <w:rFonts w:ascii="宋体" w:hAnsi="宋体"/>
                <w:szCs w:val="22"/>
                <w:highlight w:val="none"/>
              </w:rPr>
            </w:pPr>
            <w:r>
              <w:rPr>
                <w:rFonts w:hint="eastAsia" w:ascii="宋体" w:hAnsi="宋体"/>
                <w:szCs w:val="22"/>
                <w:highlight w:val="none"/>
              </w:rPr>
              <w:t>张</w:t>
            </w:r>
          </w:p>
        </w:tc>
        <w:tc>
          <w:tcPr>
            <w:tcW w:w="1271" w:type="dxa"/>
            <w:vAlign w:val="center"/>
          </w:tcPr>
          <w:p>
            <w:pPr>
              <w:jc w:val="center"/>
              <w:rPr>
                <w:rFonts w:ascii="宋体" w:hAnsi="宋体"/>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843" w:type="dxa"/>
            <w:gridSpan w:val="2"/>
            <w:noWrap/>
            <w:vAlign w:val="center"/>
          </w:tcPr>
          <w:p>
            <w:pPr>
              <w:jc w:val="center"/>
              <w:rPr>
                <w:rFonts w:ascii="宋体" w:hAnsi="宋体"/>
                <w:b/>
                <w:szCs w:val="22"/>
                <w:highlight w:val="none"/>
              </w:rPr>
            </w:pPr>
            <w:r>
              <w:rPr>
                <w:rFonts w:hint="eastAsia" w:ascii="宋体" w:hAnsi="宋体"/>
                <w:b/>
                <w:szCs w:val="22"/>
                <w:highlight w:val="none"/>
              </w:rPr>
              <w:t>合计</w:t>
            </w:r>
          </w:p>
        </w:tc>
        <w:tc>
          <w:tcPr>
            <w:tcW w:w="1233" w:type="dxa"/>
            <w:vAlign w:val="center"/>
          </w:tcPr>
          <w:p>
            <w:pPr>
              <w:jc w:val="center"/>
              <w:rPr>
                <w:rFonts w:ascii="宋体" w:hAnsi="宋体"/>
                <w:szCs w:val="22"/>
                <w:highlight w:val="none"/>
              </w:rPr>
            </w:pPr>
          </w:p>
        </w:tc>
        <w:tc>
          <w:tcPr>
            <w:tcW w:w="6897" w:type="dxa"/>
            <w:gridSpan w:val="5"/>
            <w:noWrap/>
            <w:vAlign w:val="center"/>
          </w:tcPr>
          <w:p>
            <w:pPr>
              <w:jc w:val="center"/>
              <w:rPr>
                <w:rFonts w:ascii="宋体" w:hAnsi="宋体"/>
                <w:szCs w:val="22"/>
                <w:highlight w:val="none"/>
              </w:rPr>
            </w:pPr>
          </w:p>
        </w:tc>
      </w:tr>
    </w:tbl>
    <w:p>
      <w:pPr>
        <w:spacing w:line="360" w:lineRule="auto"/>
        <w:jc w:val="center"/>
        <w:rPr>
          <w:rFonts w:ascii="宋体" w:hAnsi="宋体"/>
          <w:sz w:val="28"/>
          <w:szCs w:val="28"/>
          <w:highlight w:val="none"/>
        </w:rPr>
      </w:pPr>
    </w:p>
    <w:p>
      <w:pPr>
        <w:spacing w:line="360" w:lineRule="auto"/>
        <w:jc w:val="right"/>
        <w:rPr>
          <w:rFonts w:ascii="宋体" w:hAnsi="宋体"/>
          <w:sz w:val="28"/>
          <w:szCs w:val="28"/>
          <w:highlight w:val="none"/>
        </w:rPr>
      </w:pPr>
      <w:r>
        <w:rPr>
          <w:rFonts w:hint="eastAsia" w:ascii="宋体" w:hAnsi="宋体"/>
          <w:sz w:val="28"/>
          <w:szCs w:val="28"/>
          <w:highlight w:val="none"/>
        </w:rPr>
        <w:t>合计：_______________________ 元</w:t>
      </w:r>
    </w:p>
    <w:p>
      <w:pPr>
        <w:adjustRightInd w:val="0"/>
        <w:snapToGrid w:val="0"/>
        <w:spacing w:line="520" w:lineRule="exact"/>
        <w:rPr>
          <w:rFonts w:ascii="宋体" w:hAnsi="宋体"/>
          <w:sz w:val="28"/>
          <w:szCs w:val="28"/>
          <w:highlight w:val="none"/>
        </w:rPr>
      </w:pPr>
      <w:r>
        <w:rPr>
          <w:rFonts w:hint="eastAsia" w:ascii="宋体" w:hAnsi="宋体"/>
          <w:sz w:val="28"/>
          <w:szCs w:val="28"/>
          <w:highlight w:val="none"/>
        </w:rPr>
        <w:t>注：数量暂定，据实结算。</w:t>
      </w:r>
    </w:p>
    <w:p>
      <w:pPr>
        <w:adjustRightInd w:val="0"/>
        <w:snapToGrid w:val="0"/>
        <w:spacing w:line="520" w:lineRule="exact"/>
        <w:rPr>
          <w:rFonts w:ascii="宋体" w:hAnsi="宋体"/>
          <w:sz w:val="28"/>
          <w:szCs w:val="28"/>
          <w:highlight w:val="none"/>
        </w:rPr>
      </w:pPr>
    </w:p>
    <w:p>
      <w:pPr>
        <w:adjustRightInd w:val="0"/>
        <w:snapToGrid w:val="0"/>
        <w:spacing w:line="520" w:lineRule="exact"/>
        <w:rPr>
          <w:rFonts w:ascii="宋体" w:hAnsi="宋体"/>
          <w:sz w:val="28"/>
          <w:szCs w:val="28"/>
          <w:highlight w:val="none"/>
        </w:rPr>
      </w:pPr>
      <w:r>
        <w:rPr>
          <w:rFonts w:hint="eastAsia" w:ascii="宋体" w:hAnsi="宋体"/>
          <w:sz w:val="28"/>
          <w:szCs w:val="28"/>
          <w:highlight w:val="none"/>
        </w:rPr>
        <w:t>投标单位名称（盖章）：    单位负责人或授权人签名（盖章）：</w:t>
      </w:r>
    </w:p>
    <w:p>
      <w:pPr>
        <w:adjustRightInd w:val="0"/>
        <w:snapToGrid w:val="0"/>
        <w:spacing w:line="520" w:lineRule="exact"/>
        <w:rPr>
          <w:rFonts w:ascii="宋体" w:hAnsi="宋体"/>
          <w:sz w:val="28"/>
          <w:szCs w:val="28"/>
          <w:highlight w:val="none"/>
        </w:rPr>
      </w:pPr>
      <w:r>
        <w:rPr>
          <w:rFonts w:hint="eastAsia" w:ascii="宋体" w:hAnsi="宋体"/>
          <w:sz w:val="28"/>
          <w:szCs w:val="28"/>
          <w:highlight w:val="none"/>
        </w:rPr>
        <w:t>联系人：联系电话：</w:t>
      </w:r>
    </w:p>
    <w:p>
      <w:pPr>
        <w:adjustRightInd w:val="0"/>
        <w:snapToGrid w:val="0"/>
        <w:spacing w:line="520" w:lineRule="exact"/>
        <w:ind w:firstLine="6440" w:firstLineChars="2300"/>
        <w:rPr>
          <w:rFonts w:ascii="宋体" w:hAnsi="宋体"/>
          <w:sz w:val="28"/>
          <w:szCs w:val="28"/>
          <w:highlight w:val="none"/>
        </w:rPr>
      </w:pPr>
      <w:r>
        <w:rPr>
          <w:rFonts w:hint="eastAsia" w:ascii="宋体" w:hAnsi="宋体"/>
          <w:sz w:val="28"/>
          <w:szCs w:val="28"/>
          <w:highlight w:val="none"/>
        </w:rPr>
        <w:t xml:space="preserve">  年  月  日</w:t>
      </w:r>
    </w:p>
    <w:p>
      <w:pPr>
        <w:widowControl/>
        <w:jc w:val="left"/>
        <w:rPr>
          <w:rFonts w:ascii="宋体" w:hAnsi="宋体"/>
          <w:b/>
          <w:sz w:val="28"/>
          <w:szCs w:val="28"/>
          <w:highlight w:val="none"/>
        </w:rPr>
      </w:pPr>
    </w:p>
    <w:p>
      <w:pPr>
        <w:widowControl/>
        <w:jc w:val="left"/>
        <w:rPr>
          <w:rFonts w:ascii="宋体" w:hAnsi="宋体"/>
          <w:b/>
          <w:sz w:val="28"/>
          <w:szCs w:val="28"/>
          <w:highlight w:val="none"/>
        </w:rPr>
      </w:pPr>
    </w:p>
    <w:p>
      <w:pPr>
        <w:jc w:val="left"/>
        <w:rPr>
          <w:b/>
          <w:sz w:val="28"/>
          <w:szCs w:val="28"/>
          <w:highlight w:val="none"/>
        </w:rPr>
      </w:pPr>
    </w:p>
    <w:p>
      <w:pPr>
        <w:jc w:val="left"/>
        <w:rPr>
          <w:b/>
          <w:sz w:val="28"/>
          <w:szCs w:val="28"/>
          <w:highlight w:val="none"/>
        </w:rPr>
      </w:pPr>
    </w:p>
    <w:p>
      <w:pPr>
        <w:jc w:val="left"/>
        <w:rPr>
          <w:b/>
          <w:sz w:val="28"/>
          <w:szCs w:val="28"/>
          <w:highlight w:val="none"/>
        </w:rPr>
      </w:pPr>
    </w:p>
    <w:p>
      <w:pPr>
        <w:jc w:val="left"/>
        <w:rPr>
          <w:b/>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520" w:lineRule="exact"/>
        <w:jc w:val="left"/>
        <w:rPr>
          <w:rFonts w:ascii="宋体" w:hAnsi="宋体" w:cs="仿宋"/>
          <w:b/>
          <w:bCs/>
          <w:sz w:val="28"/>
          <w:szCs w:val="28"/>
          <w:highlight w:val="none"/>
        </w:rPr>
      </w:pPr>
      <w:r>
        <w:rPr>
          <w:rFonts w:hint="eastAsia" w:ascii="宋体" w:hAnsi="宋体" w:cs="仿宋"/>
          <w:b/>
          <w:bCs/>
          <w:sz w:val="28"/>
          <w:szCs w:val="28"/>
          <w:highlight w:val="none"/>
        </w:rPr>
        <w:t>附件4：</w:t>
      </w:r>
    </w:p>
    <w:p>
      <w:pPr>
        <w:adjustRightInd w:val="0"/>
        <w:snapToGrid w:val="0"/>
        <w:spacing w:line="520" w:lineRule="exact"/>
        <w:jc w:val="center"/>
        <w:rPr>
          <w:rFonts w:ascii="宋体" w:hAnsi="宋体"/>
          <w:sz w:val="36"/>
          <w:szCs w:val="36"/>
          <w:highlight w:val="none"/>
        </w:rPr>
      </w:pPr>
    </w:p>
    <w:p>
      <w:pPr>
        <w:adjustRightInd w:val="0"/>
        <w:snapToGrid w:val="0"/>
        <w:spacing w:line="520" w:lineRule="exact"/>
        <w:jc w:val="center"/>
        <w:rPr>
          <w:rFonts w:ascii="宋体" w:hAnsi="宋体"/>
          <w:sz w:val="36"/>
          <w:szCs w:val="36"/>
          <w:highlight w:val="none"/>
        </w:rPr>
      </w:pPr>
      <w:r>
        <w:rPr>
          <w:rFonts w:hint="eastAsia" w:ascii="宋体" w:hAnsi="宋体"/>
          <w:sz w:val="36"/>
          <w:szCs w:val="36"/>
          <w:highlight w:val="none"/>
        </w:rPr>
        <w:t>技术响应情况表</w:t>
      </w:r>
    </w:p>
    <w:tbl>
      <w:tblPr>
        <w:tblStyle w:val="17"/>
        <w:tblW w:w="8509" w:type="dxa"/>
        <w:jc w:val="center"/>
        <w:tblLayout w:type="fixed"/>
        <w:tblCellMar>
          <w:top w:w="0" w:type="dxa"/>
          <w:left w:w="108" w:type="dxa"/>
          <w:bottom w:w="0" w:type="dxa"/>
          <w:right w:w="108" w:type="dxa"/>
        </w:tblCellMar>
      </w:tblPr>
      <w:tblGrid>
        <w:gridCol w:w="484"/>
        <w:gridCol w:w="1025"/>
        <w:gridCol w:w="1701"/>
        <w:gridCol w:w="3567"/>
        <w:gridCol w:w="1732"/>
      </w:tblGrid>
      <w:tr>
        <w:tblPrEx>
          <w:tblCellMar>
            <w:top w:w="0" w:type="dxa"/>
            <w:left w:w="108" w:type="dxa"/>
            <w:bottom w:w="0" w:type="dxa"/>
            <w:right w:w="108" w:type="dxa"/>
          </w:tblCellMar>
        </w:tblPrEx>
        <w:trPr>
          <w:cantSplit/>
          <w:trHeight w:val="499" w:hRule="atLeast"/>
          <w:tblHeader/>
          <w:jc w:val="center"/>
        </w:trPr>
        <w:tc>
          <w:tcPr>
            <w:tcW w:w="4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 w:val="24"/>
                <w:highlight w:val="none"/>
              </w:rPr>
            </w:pPr>
            <w:r>
              <w:rPr>
                <w:rFonts w:hint="eastAsia" w:ascii="宋体" w:hAnsi="宋体" w:cs="宋体"/>
                <w:bCs/>
                <w:kern w:val="0"/>
                <w:sz w:val="24"/>
                <w:highlight w:val="none"/>
              </w:rPr>
              <w:t>序号</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kern w:val="0"/>
                <w:sz w:val="24"/>
                <w:highlight w:val="none"/>
              </w:rPr>
            </w:pPr>
            <w:r>
              <w:rPr>
                <w:rFonts w:hint="eastAsia" w:ascii="宋体" w:hAnsi="宋体" w:cs="宋体"/>
                <w:bCs/>
                <w:kern w:val="0"/>
                <w:sz w:val="24"/>
                <w:highlight w:val="none"/>
              </w:rPr>
              <w:t>分项</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sz w:val="24"/>
                <w:highlight w:val="none"/>
              </w:rPr>
            </w:pPr>
            <w:r>
              <w:rPr>
                <w:rFonts w:hint="eastAsia" w:ascii="宋体" w:hAnsi="宋体" w:cs="宋体"/>
                <w:bCs/>
                <w:kern w:val="0"/>
                <w:sz w:val="24"/>
                <w:highlight w:val="none"/>
              </w:rPr>
              <w:t>规格</w:t>
            </w:r>
          </w:p>
          <w:p>
            <w:pPr>
              <w:widowControl/>
              <w:jc w:val="center"/>
              <w:rPr>
                <w:rFonts w:ascii="宋体" w:hAnsi="宋体" w:cs="宋体"/>
                <w:bCs/>
                <w:kern w:val="0"/>
                <w:sz w:val="24"/>
                <w:highlight w:val="none"/>
              </w:rPr>
            </w:pPr>
            <w:r>
              <w:rPr>
                <w:rFonts w:hint="eastAsia" w:ascii="宋体" w:hAnsi="宋体" w:cs="宋体"/>
                <w:bCs/>
                <w:kern w:val="0"/>
                <w:sz w:val="24"/>
                <w:highlight w:val="none"/>
              </w:rPr>
              <w:t>（单位mm）</w:t>
            </w:r>
          </w:p>
        </w:tc>
        <w:tc>
          <w:tcPr>
            <w:tcW w:w="3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sz w:val="24"/>
                <w:highlight w:val="none"/>
              </w:rPr>
            </w:pPr>
            <w:r>
              <w:rPr>
                <w:rFonts w:hint="eastAsia" w:ascii="宋体" w:hAnsi="宋体" w:cs="宋体"/>
                <w:bCs/>
                <w:kern w:val="0"/>
                <w:sz w:val="24"/>
                <w:highlight w:val="none"/>
              </w:rPr>
              <w:t>材质要求</w:t>
            </w:r>
          </w:p>
        </w:tc>
        <w:tc>
          <w:tcPr>
            <w:tcW w:w="173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kern w:val="0"/>
                <w:sz w:val="24"/>
                <w:highlight w:val="none"/>
              </w:rPr>
            </w:pPr>
            <w:r>
              <w:rPr>
                <w:rFonts w:hint="eastAsia" w:ascii="宋体" w:hAnsi="宋体" w:cs="宋体"/>
                <w:bCs/>
                <w:kern w:val="0"/>
                <w:sz w:val="24"/>
                <w:highlight w:val="none"/>
              </w:rPr>
              <w:t>技术响应情况</w:t>
            </w:r>
          </w:p>
        </w:tc>
      </w:tr>
      <w:tr>
        <w:tblPrEx>
          <w:tblCellMar>
            <w:top w:w="0" w:type="dxa"/>
            <w:left w:w="108" w:type="dxa"/>
            <w:bottom w:w="0" w:type="dxa"/>
            <w:right w:w="108" w:type="dxa"/>
          </w:tblCellMar>
        </w:tblPrEx>
        <w:trPr>
          <w:cantSplit/>
          <w:trHeight w:val="567" w:hRule="atLeast"/>
          <w:jc w:val="center"/>
        </w:trPr>
        <w:tc>
          <w:tcPr>
            <w:tcW w:w="4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10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3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highlight w:val="none"/>
              </w:rPr>
            </w:pPr>
          </w:p>
        </w:tc>
        <w:tc>
          <w:tcPr>
            <w:tcW w:w="17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none"/>
              </w:rPr>
            </w:pPr>
          </w:p>
        </w:tc>
      </w:tr>
      <w:tr>
        <w:tblPrEx>
          <w:tblCellMar>
            <w:top w:w="0" w:type="dxa"/>
            <w:left w:w="108" w:type="dxa"/>
            <w:bottom w:w="0" w:type="dxa"/>
            <w:right w:w="108" w:type="dxa"/>
          </w:tblCellMar>
        </w:tblPrEx>
        <w:trPr>
          <w:cantSplit/>
          <w:trHeight w:val="567" w:hRule="atLeast"/>
          <w:jc w:val="center"/>
        </w:trPr>
        <w:tc>
          <w:tcPr>
            <w:tcW w:w="4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10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3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highlight w:val="none"/>
              </w:rPr>
            </w:pPr>
          </w:p>
        </w:tc>
        <w:tc>
          <w:tcPr>
            <w:tcW w:w="173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highlight w:val="none"/>
              </w:rPr>
            </w:pPr>
          </w:p>
        </w:tc>
      </w:tr>
      <w:tr>
        <w:tblPrEx>
          <w:tblCellMar>
            <w:top w:w="0" w:type="dxa"/>
            <w:left w:w="108" w:type="dxa"/>
            <w:bottom w:w="0" w:type="dxa"/>
            <w:right w:w="108" w:type="dxa"/>
          </w:tblCellMar>
        </w:tblPrEx>
        <w:trPr>
          <w:cantSplit/>
          <w:trHeight w:val="567" w:hRule="atLeast"/>
          <w:jc w:val="center"/>
        </w:trPr>
        <w:tc>
          <w:tcPr>
            <w:tcW w:w="4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10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3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highlight w:val="none"/>
              </w:rPr>
            </w:pPr>
          </w:p>
        </w:tc>
        <w:tc>
          <w:tcPr>
            <w:tcW w:w="173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highlight w:val="none"/>
              </w:rPr>
            </w:pPr>
          </w:p>
        </w:tc>
      </w:tr>
      <w:tr>
        <w:tblPrEx>
          <w:tblCellMar>
            <w:top w:w="0" w:type="dxa"/>
            <w:left w:w="108" w:type="dxa"/>
            <w:bottom w:w="0" w:type="dxa"/>
            <w:right w:w="108" w:type="dxa"/>
          </w:tblCellMar>
        </w:tblPrEx>
        <w:trPr>
          <w:cantSplit/>
          <w:trHeight w:val="567" w:hRule="atLeast"/>
          <w:jc w:val="center"/>
        </w:trPr>
        <w:tc>
          <w:tcPr>
            <w:tcW w:w="4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4</w:t>
            </w:r>
          </w:p>
        </w:tc>
        <w:tc>
          <w:tcPr>
            <w:tcW w:w="10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3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highlight w:val="none"/>
              </w:rPr>
            </w:pPr>
          </w:p>
        </w:tc>
        <w:tc>
          <w:tcPr>
            <w:tcW w:w="17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none"/>
              </w:rPr>
            </w:pPr>
          </w:p>
        </w:tc>
      </w:tr>
      <w:tr>
        <w:tblPrEx>
          <w:tblCellMar>
            <w:top w:w="0" w:type="dxa"/>
            <w:left w:w="108" w:type="dxa"/>
            <w:bottom w:w="0" w:type="dxa"/>
            <w:right w:w="108" w:type="dxa"/>
          </w:tblCellMar>
        </w:tblPrEx>
        <w:trPr>
          <w:cantSplit/>
          <w:trHeight w:val="567" w:hRule="atLeast"/>
          <w:jc w:val="center"/>
        </w:trPr>
        <w:tc>
          <w:tcPr>
            <w:tcW w:w="4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5</w:t>
            </w:r>
          </w:p>
        </w:tc>
        <w:tc>
          <w:tcPr>
            <w:tcW w:w="10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3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highlight w:val="none"/>
              </w:rPr>
            </w:pPr>
          </w:p>
        </w:tc>
        <w:tc>
          <w:tcPr>
            <w:tcW w:w="17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none"/>
              </w:rPr>
            </w:pPr>
          </w:p>
        </w:tc>
      </w:tr>
      <w:tr>
        <w:tblPrEx>
          <w:tblCellMar>
            <w:top w:w="0" w:type="dxa"/>
            <w:left w:w="108" w:type="dxa"/>
            <w:bottom w:w="0" w:type="dxa"/>
            <w:right w:w="108" w:type="dxa"/>
          </w:tblCellMar>
        </w:tblPrEx>
        <w:trPr>
          <w:cantSplit/>
          <w:trHeight w:val="567" w:hRule="atLeast"/>
          <w:jc w:val="center"/>
        </w:trPr>
        <w:tc>
          <w:tcPr>
            <w:tcW w:w="4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6</w:t>
            </w:r>
          </w:p>
        </w:tc>
        <w:tc>
          <w:tcPr>
            <w:tcW w:w="10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3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highlight w:val="none"/>
              </w:rPr>
            </w:pPr>
          </w:p>
        </w:tc>
        <w:tc>
          <w:tcPr>
            <w:tcW w:w="17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none"/>
              </w:rPr>
            </w:pPr>
          </w:p>
        </w:tc>
      </w:tr>
      <w:tr>
        <w:tblPrEx>
          <w:tblCellMar>
            <w:top w:w="0" w:type="dxa"/>
            <w:left w:w="108" w:type="dxa"/>
            <w:bottom w:w="0" w:type="dxa"/>
            <w:right w:w="108" w:type="dxa"/>
          </w:tblCellMar>
        </w:tblPrEx>
        <w:trPr>
          <w:cantSplit/>
          <w:trHeight w:val="567" w:hRule="atLeast"/>
          <w:jc w:val="center"/>
        </w:trPr>
        <w:tc>
          <w:tcPr>
            <w:tcW w:w="4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7</w:t>
            </w:r>
          </w:p>
        </w:tc>
        <w:tc>
          <w:tcPr>
            <w:tcW w:w="10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3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highlight w:val="none"/>
              </w:rPr>
            </w:pPr>
          </w:p>
        </w:tc>
        <w:tc>
          <w:tcPr>
            <w:tcW w:w="17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none"/>
              </w:rPr>
            </w:pPr>
          </w:p>
        </w:tc>
      </w:tr>
      <w:tr>
        <w:tblPrEx>
          <w:tblCellMar>
            <w:top w:w="0" w:type="dxa"/>
            <w:left w:w="108" w:type="dxa"/>
            <w:bottom w:w="0" w:type="dxa"/>
            <w:right w:w="108" w:type="dxa"/>
          </w:tblCellMar>
        </w:tblPrEx>
        <w:trPr>
          <w:cantSplit/>
          <w:trHeight w:val="567" w:hRule="atLeast"/>
          <w:jc w:val="center"/>
        </w:trPr>
        <w:tc>
          <w:tcPr>
            <w:tcW w:w="4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ascii="宋体" w:hAnsi="宋体" w:cs="宋体"/>
                <w:kern w:val="0"/>
                <w:sz w:val="24"/>
                <w:highlight w:val="none"/>
              </w:rPr>
              <w:t>8</w:t>
            </w:r>
          </w:p>
        </w:tc>
        <w:tc>
          <w:tcPr>
            <w:tcW w:w="10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35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highlight w:val="none"/>
              </w:rPr>
            </w:pPr>
          </w:p>
        </w:tc>
        <w:tc>
          <w:tcPr>
            <w:tcW w:w="17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none"/>
              </w:rPr>
            </w:pPr>
          </w:p>
        </w:tc>
      </w:tr>
      <w:tr>
        <w:tblPrEx>
          <w:tblCellMar>
            <w:top w:w="0" w:type="dxa"/>
            <w:left w:w="108" w:type="dxa"/>
            <w:bottom w:w="0" w:type="dxa"/>
            <w:right w:w="108" w:type="dxa"/>
          </w:tblCellMar>
        </w:tblPrEx>
        <w:trPr>
          <w:cantSplit/>
          <w:trHeight w:val="567" w:hRule="atLeast"/>
          <w:jc w:val="center"/>
        </w:trPr>
        <w:tc>
          <w:tcPr>
            <w:tcW w:w="4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9</w:t>
            </w:r>
          </w:p>
        </w:tc>
        <w:tc>
          <w:tcPr>
            <w:tcW w:w="10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3567" w:type="dxa"/>
            <w:tcBorders>
              <w:top w:val="nil"/>
              <w:left w:val="nil"/>
              <w:bottom w:val="nil"/>
              <w:right w:val="single" w:color="auto" w:sz="4" w:space="0"/>
            </w:tcBorders>
            <w:shd w:val="clear" w:color="000000" w:fill="FFFFFF"/>
            <w:vAlign w:val="center"/>
          </w:tcPr>
          <w:p>
            <w:pPr>
              <w:widowControl/>
              <w:jc w:val="left"/>
              <w:rPr>
                <w:rFonts w:ascii="宋体" w:hAnsi="宋体" w:cs="宋体"/>
                <w:kern w:val="0"/>
                <w:sz w:val="24"/>
                <w:highlight w:val="none"/>
              </w:rPr>
            </w:pPr>
          </w:p>
        </w:tc>
        <w:tc>
          <w:tcPr>
            <w:tcW w:w="17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none"/>
              </w:rPr>
            </w:pPr>
          </w:p>
        </w:tc>
      </w:tr>
      <w:tr>
        <w:tblPrEx>
          <w:tblCellMar>
            <w:top w:w="0" w:type="dxa"/>
            <w:left w:w="108" w:type="dxa"/>
            <w:bottom w:w="0" w:type="dxa"/>
            <w:right w:w="108" w:type="dxa"/>
          </w:tblCellMar>
        </w:tblPrEx>
        <w:trPr>
          <w:cantSplit/>
          <w:trHeight w:val="567" w:hRule="atLeast"/>
          <w:jc w:val="center"/>
        </w:trPr>
        <w:tc>
          <w:tcPr>
            <w:tcW w:w="48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10</w:t>
            </w:r>
          </w:p>
        </w:tc>
        <w:tc>
          <w:tcPr>
            <w:tcW w:w="10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p>
        </w:tc>
        <w:tc>
          <w:tcPr>
            <w:tcW w:w="35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highlight w:val="none"/>
              </w:rPr>
            </w:pPr>
          </w:p>
        </w:tc>
        <w:tc>
          <w:tcPr>
            <w:tcW w:w="1732" w:type="dxa"/>
            <w:tcBorders>
              <w:top w:val="nil"/>
              <w:left w:val="nil"/>
              <w:bottom w:val="single" w:color="auto" w:sz="4" w:space="0"/>
              <w:right w:val="single" w:color="auto" w:sz="4" w:space="0"/>
            </w:tcBorders>
            <w:vAlign w:val="center"/>
          </w:tcPr>
          <w:p>
            <w:pPr>
              <w:widowControl/>
              <w:jc w:val="center"/>
              <w:rPr>
                <w:rFonts w:ascii="宋体" w:hAnsi="宋体" w:cs="宋体"/>
                <w:kern w:val="0"/>
                <w:sz w:val="24"/>
                <w:highlight w:val="none"/>
              </w:rPr>
            </w:pPr>
          </w:p>
        </w:tc>
      </w:tr>
    </w:tbl>
    <w:p>
      <w:pPr>
        <w:adjustRightInd w:val="0"/>
        <w:snapToGrid w:val="0"/>
        <w:spacing w:line="520" w:lineRule="exact"/>
        <w:rPr>
          <w:rFonts w:ascii="宋体" w:hAnsi="宋体"/>
          <w:sz w:val="28"/>
          <w:szCs w:val="28"/>
          <w:highlight w:val="none"/>
        </w:rPr>
      </w:pPr>
      <w:r>
        <w:rPr>
          <w:rFonts w:hint="eastAsia" w:ascii="宋体" w:hAnsi="宋体"/>
          <w:sz w:val="28"/>
          <w:szCs w:val="28"/>
          <w:highlight w:val="none"/>
        </w:rPr>
        <w:t>注：1、技术响应情况表允许正向偏离，不允许负向偏离；如有负向偏离，投标为无效标。</w:t>
      </w:r>
    </w:p>
    <w:p>
      <w:pPr>
        <w:adjustRightInd w:val="0"/>
        <w:snapToGrid w:val="0"/>
        <w:spacing w:line="520" w:lineRule="exact"/>
        <w:ind w:firstLine="560" w:firstLineChars="200"/>
        <w:rPr>
          <w:rFonts w:ascii="宋体" w:hAnsi="宋体"/>
          <w:sz w:val="28"/>
          <w:szCs w:val="28"/>
          <w:highlight w:val="none"/>
        </w:rPr>
      </w:pPr>
      <w:r>
        <w:rPr>
          <w:rFonts w:ascii="宋体" w:hAnsi="宋体"/>
          <w:sz w:val="28"/>
          <w:szCs w:val="28"/>
          <w:highlight w:val="none"/>
        </w:rPr>
        <w:t>2</w:t>
      </w:r>
      <w:r>
        <w:rPr>
          <w:rFonts w:hint="eastAsia" w:ascii="宋体" w:hAnsi="宋体"/>
          <w:sz w:val="28"/>
          <w:szCs w:val="28"/>
          <w:highlight w:val="none"/>
        </w:rPr>
        <w:t>、投标单位须在响应情况栏如实填写技术响应情况，</w:t>
      </w:r>
      <w:r>
        <w:rPr>
          <w:rFonts w:hint="eastAsia" w:ascii="宋体" w:hAnsi="宋体"/>
          <w:b/>
          <w:sz w:val="28"/>
          <w:szCs w:val="28"/>
          <w:highlight w:val="none"/>
          <w:u w:val="single"/>
        </w:rPr>
        <w:t>完全符合请标注“完全响应”，如有正向偏离，请详细标明正向偏离的具体内容，如有负向偏离，请详细标明负向偏离的具体内容</w:t>
      </w:r>
      <w:r>
        <w:rPr>
          <w:rFonts w:hint="eastAsia" w:ascii="宋体" w:hAnsi="宋体"/>
          <w:sz w:val="28"/>
          <w:szCs w:val="28"/>
          <w:highlight w:val="none"/>
        </w:rPr>
        <w:t>。</w:t>
      </w:r>
    </w:p>
    <w:p>
      <w:pPr>
        <w:adjustRightInd w:val="0"/>
        <w:snapToGrid w:val="0"/>
        <w:spacing w:line="520" w:lineRule="exact"/>
        <w:jc w:val="center"/>
        <w:rPr>
          <w:rFonts w:ascii="宋体" w:hAnsi="宋体"/>
          <w:sz w:val="28"/>
          <w:szCs w:val="28"/>
          <w:highlight w:val="none"/>
        </w:rPr>
      </w:pPr>
    </w:p>
    <w:p>
      <w:pPr>
        <w:adjustRightInd w:val="0"/>
        <w:snapToGrid w:val="0"/>
        <w:spacing w:line="520" w:lineRule="exact"/>
        <w:ind w:firstLine="3920" w:firstLineChars="1400"/>
        <w:rPr>
          <w:rFonts w:ascii="宋体" w:hAnsi="宋体"/>
          <w:sz w:val="28"/>
          <w:szCs w:val="28"/>
          <w:highlight w:val="none"/>
        </w:rPr>
      </w:pPr>
      <w:r>
        <w:rPr>
          <w:rFonts w:hint="eastAsia" w:ascii="宋体" w:hAnsi="宋体"/>
          <w:sz w:val="28"/>
          <w:szCs w:val="28"/>
          <w:highlight w:val="none"/>
        </w:rPr>
        <w:t>法定代表人或授权代表签字：</w:t>
      </w:r>
    </w:p>
    <w:p>
      <w:pPr>
        <w:adjustRightInd w:val="0"/>
        <w:snapToGrid w:val="0"/>
        <w:spacing w:line="520" w:lineRule="exact"/>
        <w:ind w:firstLine="5040" w:firstLineChars="1800"/>
        <w:rPr>
          <w:rFonts w:ascii="宋体" w:hAnsi="宋体"/>
          <w:sz w:val="24"/>
          <w:highlight w:val="none"/>
        </w:rPr>
      </w:pPr>
      <w:r>
        <w:rPr>
          <w:rFonts w:hint="eastAsia" w:ascii="宋体" w:hAnsi="宋体"/>
          <w:sz w:val="28"/>
          <w:szCs w:val="28"/>
          <w:highlight w:val="none"/>
        </w:rPr>
        <w:t>时间：年月日</w:t>
      </w:r>
    </w:p>
    <w:p>
      <w:pPr>
        <w:widowControl/>
        <w:jc w:val="left"/>
        <w:rPr>
          <w:rFonts w:ascii="宋体" w:hAnsi="宋体"/>
          <w:b/>
          <w:sz w:val="28"/>
          <w:szCs w:val="28"/>
          <w:highlight w:val="none"/>
        </w:rPr>
      </w:pPr>
      <w:r>
        <w:rPr>
          <w:rFonts w:ascii="宋体" w:hAnsi="宋体"/>
          <w:b/>
          <w:sz w:val="28"/>
          <w:szCs w:val="28"/>
          <w:highlight w:val="none"/>
        </w:rPr>
        <w:br w:type="page"/>
      </w: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附件5：</w:t>
      </w:r>
    </w:p>
    <w:p>
      <w:pPr>
        <w:adjustRightInd w:val="0"/>
        <w:snapToGrid w:val="0"/>
        <w:spacing w:line="520" w:lineRule="exact"/>
        <w:jc w:val="center"/>
        <w:rPr>
          <w:rFonts w:ascii="宋体" w:hAnsi="宋体"/>
          <w:b/>
          <w:sz w:val="32"/>
          <w:szCs w:val="32"/>
          <w:highlight w:val="none"/>
        </w:rPr>
      </w:pPr>
      <w:r>
        <w:rPr>
          <w:rFonts w:hint="eastAsia" w:ascii="宋体" w:hAnsi="宋体"/>
          <w:b/>
          <w:sz w:val="32"/>
          <w:szCs w:val="32"/>
          <w:highlight w:val="none"/>
        </w:rPr>
        <w:t>产品质量承诺书格式</w:t>
      </w:r>
    </w:p>
    <w:p>
      <w:pPr>
        <w:adjustRightInd w:val="0"/>
        <w:snapToGrid w:val="0"/>
        <w:spacing w:line="520" w:lineRule="exact"/>
        <w:rPr>
          <w:rFonts w:ascii="宋体" w:hAnsi="宋体"/>
          <w:sz w:val="32"/>
          <w:szCs w:val="32"/>
          <w:highlight w:val="none"/>
        </w:rPr>
      </w:pPr>
    </w:p>
    <w:p>
      <w:pPr>
        <w:adjustRightInd w:val="0"/>
        <w:snapToGrid w:val="0"/>
        <w:spacing w:line="520" w:lineRule="exact"/>
        <w:rPr>
          <w:rFonts w:ascii="宋体" w:hAnsi="宋体"/>
          <w:sz w:val="24"/>
          <w:highlight w:val="none"/>
        </w:rPr>
      </w:pPr>
      <w:r>
        <w:rPr>
          <w:rFonts w:hint="eastAsia" w:ascii="宋体" w:hAnsi="宋体"/>
          <w:sz w:val="24"/>
          <w:highlight w:val="none"/>
        </w:rPr>
        <w:t>投标人全称（加盖公章）：</w:t>
      </w:r>
    </w:p>
    <w:tbl>
      <w:tblPr>
        <w:tblStyle w:val="17"/>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251"/>
        <w:gridCol w:w="3402"/>
        <w:gridCol w:w="123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976" w:type="dxa"/>
            <w:vAlign w:val="center"/>
          </w:tcPr>
          <w:p>
            <w:pPr>
              <w:adjustRightInd w:val="0"/>
              <w:snapToGrid w:val="0"/>
              <w:spacing w:line="520" w:lineRule="exact"/>
              <w:jc w:val="center"/>
              <w:rPr>
                <w:rFonts w:ascii="宋体" w:hAnsi="宋体"/>
                <w:sz w:val="28"/>
                <w:szCs w:val="28"/>
                <w:highlight w:val="none"/>
              </w:rPr>
            </w:pPr>
            <w:r>
              <w:rPr>
                <w:rFonts w:hint="eastAsia" w:ascii="宋体" w:hAnsi="宋体"/>
                <w:sz w:val="28"/>
                <w:szCs w:val="28"/>
                <w:highlight w:val="none"/>
              </w:rPr>
              <w:t>承诺项目</w:t>
            </w:r>
          </w:p>
        </w:tc>
        <w:tc>
          <w:tcPr>
            <w:tcW w:w="7269" w:type="dxa"/>
            <w:gridSpan w:val="4"/>
            <w:vAlign w:val="center"/>
          </w:tcPr>
          <w:p>
            <w:pPr>
              <w:adjustRightInd w:val="0"/>
              <w:snapToGrid w:val="0"/>
              <w:spacing w:line="520" w:lineRule="exact"/>
              <w:jc w:val="center"/>
              <w:rPr>
                <w:rFonts w:ascii="宋体" w:hAnsi="宋体"/>
                <w:sz w:val="28"/>
                <w:szCs w:val="28"/>
                <w:highlight w:val="none"/>
              </w:rPr>
            </w:pPr>
            <w:r>
              <w:rPr>
                <w:rFonts w:hint="eastAsia" w:ascii="宋体" w:hAnsi="宋体"/>
                <w:sz w:val="28"/>
                <w:szCs w:val="28"/>
                <w:highlight w:val="none"/>
              </w:rPr>
              <w:t>承诺内容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976" w:type="dxa"/>
            <w:vAlign w:val="center"/>
          </w:tcPr>
          <w:p>
            <w:pPr>
              <w:adjustRightInd w:val="0"/>
              <w:snapToGrid w:val="0"/>
              <w:spacing w:line="520" w:lineRule="exact"/>
              <w:jc w:val="center"/>
              <w:rPr>
                <w:rFonts w:ascii="宋体" w:hAnsi="宋体" w:cs="宋体"/>
                <w:b/>
                <w:bCs/>
                <w:sz w:val="24"/>
                <w:highlight w:val="none"/>
              </w:rPr>
            </w:pPr>
          </w:p>
        </w:tc>
        <w:tc>
          <w:tcPr>
            <w:tcW w:w="7269" w:type="dxa"/>
            <w:gridSpan w:val="4"/>
            <w:vAlign w:val="center"/>
          </w:tcPr>
          <w:p>
            <w:pPr>
              <w:adjustRightInd w:val="0"/>
              <w:snapToGrid w:val="0"/>
              <w:spacing w:line="520" w:lineRule="exact"/>
              <w:jc w:val="cente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976" w:type="dxa"/>
            <w:vAlign w:val="center"/>
          </w:tcPr>
          <w:p>
            <w:pPr>
              <w:adjustRightInd w:val="0"/>
              <w:snapToGrid w:val="0"/>
              <w:spacing w:line="520" w:lineRule="exact"/>
              <w:jc w:val="center"/>
              <w:rPr>
                <w:rFonts w:ascii="宋体" w:hAnsi="宋体" w:cs="宋体"/>
                <w:b/>
                <w:bCs/>
                <w:sz w:val="24"/>
                <w:highlight w:val="none"/>
              </w:rPr>
            </w:pPr>
          </w:p>
        </w:tc>
        <w:tc>
          <w:tcPr>
            <w:tcW w:w="7269" w:type="dxa"/>
            <w:gridSpan w:val="4"/>
            <w:vAlign w:val="center"/>
          </w:tcPr>
          <w:p>
            <w:pPr>
              <w:adjustRightInd w:val="0"/>
              <w:snapToGrid w:val="0"/>
              <w:spacing w:line="520" w:lineRule="exact"/>
              <w:jc w:val="cente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976" w:type="dxa"/>
            <w:vAlign w:val="center"/>
          </w:tcPr>
          <w:p>
            <w:pPr>
              <w:adjustRightInd w:val="0"/>
              <w:snapToGrid w:val="0"/>
              <w:spacing w:line="520" w:lineRule="exact"/>
              <w:jc w:val="center"/>
              <w:rPr>
                <w:rFonts w:ascii="宋体" w:hAnsi="宋体"/>
                <w:b/>
                <w:sz w:val="24"/>
                <w:highlight w:val="none"/>
              </w:rPr>
            </w:pPr>
            <w:r>
              <w:rPr>
                <w:rFonts w:hint="eastAsia" w:ascii="宋体" w:hAnsi="宋体" w:cs="宋体"/>
                <w:b/>
                <w:bCs/>
                <w:sz w:val="24"/>
                <w:highlight w:val="none"/>
              </w:rPr>
              <w:t>名称</w:t>
            </w:r>
          </w:p>
        </w:tc>
        <w:tc>
          <w:tcPr>
            <w:tcW w:w="1251" w:type="dxa"/>
            <w:vAlign w:val="center"/>
          </w:tcPr>
          <w:p>
            <w:pPr>
              <w:adjustRightInd w:val="0"/>
              <w:snapToGrid w:val="0"/>
              <w:spacing w:line="520" w:lineRule="exact"/>
              <w:jc w:val="center"/>
              <w:rPr>
                <w:rFonts w:ascii="宋体" w:hAnsi="宋体"/>
                <w:b/>
                <w:sz w:val="24"/>
                <w:highlight w:val="none"/>
              </w:rPr>
            </w:pPr>
            <w:r>
              <w:rPr>
                <w:rFonts w:hint="eastAsia" w:ascii="宋体" w:hAnsi="宋体"/>
                <w:b/>
                <w:sz w:val="24"/>
                <w:highlight w:val="none"/>
              </w:rPr>
              <w:t>品牌</w:t>
            </w:r>
          </w:p>
        </w:tc>
        <w:tc>
          <w:tcPr>
            <w:tcW w:w="3402" w:type="dxa"/>
            <w:vAlign w:val="center"/>
          </w:tcPr>
          <w:p>
            <w:pPr>
              <w:adjustRightInd w:val="0"/>
              <w:snapToGrid w:val="0"/>
              <w:spacing w:line="520" w:lineRule="exact"/>
              <w:jc w:val="center"/>
              <w:rPr>
                <w:rFonts w:ascii="宋体" w:hAnsi="宋体"/>
                <w:b/>
                <w:sz w:val="24"/>
                <w:highlight w:val="none"/>
              </w:rPr>
            </w:pPr>
            <w:r>
              <w:rPr>
                <w:rFonts w:hint="eastAsia" w:ascii="宋体" w:hAnsi="宋体"/>
                <w:b/>
                <w:sz w:val="24"/>
                <w:highlight w:val="none"/>
              </w:rPr>
              <w:t>型号、规格、图样</w:t>
            </w:r>
          </w:p>
        </w:tc>
        <w:tc>
          <w:tcPr>
            <w:tcW w:w="1233" w:type="dxa"/>
            <w:vAlign w:val="center"/>
          </w:tcPr>
          <w:p>
            <w:pPr>
              <w:adjustRightInd w:val="0"/>
              <w:snapToGrid w:val="0"/>
              <w:spacing w:line="520" w:lineRule="exact"/>
              <w:jc w:val="center"/>
              <w:rPr>
                <w:rFonts w:ascii="宋体" w:hAnsi="宋体"/>
                <w:b/>
                <w:sz w:val="24"/>
                <w:highlight w:val="none"/>
              </w:rPr>
            </w:pPr>
            <w:r>
              <w:rPr>
                <w:rFonts w:hint="eastAsia" w:ascii="宋体" w:hAnsi="宋体"/>
                <w:b/>
                <w:sz w:val="24"/>
                <w:highlight w:val="none"/>
              </w:rPr>
              <w:t>产地</w:t>
            </w:r>
          </w:p>
        </w:tc>
        <w:tc>
          <w:tcPr>
            <w:tcW w:w="1383" w:type="dxa"/>
            <w:vAlign w:val="center"/>
          </w:tcPr>
          <w:p>
            <w:pPr>
              <w:adjustRightInd w:val="0"/>
              <w:snapToGrid w:val="0"/>
              <w:spacing w:line="520" w:lineRule="exact"/>
              <w:jc w:val="center"/>
              <w:rPr>
                <w:rFonts w:ascii="宋体" w:hAnsi="宋体"/>
                <w:b/>
                <w:sz w:val="24"/>
                <w:highlight w:val="none"/>
              </w:rPr>
            </w:pPr>
            <w:r>
              <w:rPr>
                <w:rFonts w:hint="eastAsia" w:ascii="宋体" w:hAnsi="宋体"/>
                <w:b/>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976" w:type="dxa"/>
            <w:vAlign w:val="center"/>
          </w:tcPr>
          <w:p>
            <w:pPr>
              <w:adjustRightInd w:val="0"/>
              <w:snapToGrid w:val="0"/>
              <w:spacing w:line="520" w:lineRule="exact"/>
              <w:jc w:val="center"/>
              <w:rPr>
                <w:rFonts w:ascii="宋体" w:hAnsi="宋体" w:cs="宋体"/>
                <w:b/>
                <w:bCs/>
                <w:sz w:val="24"/>
                <w:highlight w:val="none"/>
              </w:rPr>
            </w:pPr>
          </w:p>
        </w:tc>
        <w:tc>
          <w:tcPr>
            <w:tcW w:w="1251" w:type="dxa"/>
            <w:vAlign w:val="center"/>
          </w:tcPr>
          <w:p>
            <w:pPr>
              <w:adjustRightInd w:val="0"/>
              <w:snapToGrid w:val="0"/>
              <w:spacing w:line="520" w:lineRule="exact"/>
              <w:jc w:val="center"/>
              <w:rPr>
                <w:rFonts w:ascii="宋体" w:hAnsi="宋体"/>
                <w:b/>
                <w:sz w:val="24"/>
                <w:highlight w:val="none"/>
              </w:rPr>
            </w:pPr>
          </w:p>
        </w:tc>
        <w:tc>
          <w:tcPr>
            <w:tcW w:w="3402" w:type="dxa"/>
            <w:vAlign w:val="center"/>
          </w:tcPr>
          <w:p>
            <w:pPr>
              <w:adjustRightInd w:val="0"/>
              <w:snapToGrid w:val="0"/>
              <w:spacing w:line="520" w:lineRule="exact"/>
              <w:jc w:val="center"/>
              <w:rPr>
                <w:rFonts w:ascii="宋体" w:hAnsi="宋体"/>
                <w:b/>
                <w:sz w:val="24"/>
                <w:highlight w:val="none"/>
              </w:rPr>
            </w:pPr>
          </w:p>
        </w:tc>
        <w:tc>
          <w:tcPr>
            <w:tcW w:w="1233" w:type="dxa"/>
            <w:vAlign w:val="center"/>
          </w:tcPr>
          <w:p>
            <w:pPr>
              <w:adjustRightInd w:val="0"/>
              <w:snapToGrid w:val="0"/>
              <w:spacing w:line="520" w:lineRule="exact"/>
              <w:jc w:val="center"/>
              <w:rPr>
                <w:rFonts w:ascii="宋体" w:hAnsi="宋体"/>
                <w:b/>
                <w:sz w:val="24"/>
                <w:highlight w:val="none"/>
              </w:rPr>
            </w:pPr>
          </w:p>
        </w:tc>
        <w:tc>
          <w:tcPr>
            <w:tcW w:w="1383" w:type="dxa"/>
            <w:vAlign w:val="center"/>
          </w:tcPr>
          <w:p>
            <w:pPr>
              <w:adjustRightInd w:val="0"/>
              <w:snapToGrid w:val="0"/>
              <w:spacing w:line="520" w:lineRule="exact"/>
              <w:jc w:val="cente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976" w:type="dxa"/>
            <w:vAlign w:val="center"/>
          </w:tcPr>
          <w:p>
            <w:pPr>
              <w:adjustRightInd w:val="0"/>
              <w:snapToGrid w:val="0"/>
              <w:spacing w:line="520" w:lineRule="exact"/>
              <w:jc w:val="center"/>
              <w:rPr>
                <w:rFonts w:ascii="宋体" w:hAnsi="宋体" w:cs="宋体"/>
                <w:b/>
                <w:bCs/>
                <w:sz w:val="24"/>
                <w:highlight w:val="none"/>
              </w:rPr>
            </w:pPr>
          </w:p>
        </w:tc>
        <w:tc>
          <w:tcPr>
            <w:tcW w:w="1251" w:type="dxa"/>
            <w:vAlign w:val="center"/>
          </w:tcPr>
          <w:p>
            <w:pPr>
              <w:adjustRightInd w:val="0"/>
              <w:snapToGrid w:val="0"/>
              <w:spacing w:line="520" w:lineRule="exact"/>
              <w:jc w:val="center"/>
              <w:rPr>
                <w:rFonts w:ascii="宋体" w:hAnsi="宋体"/>
                <w:b/>
                <w:sz w:val="24"/>
                <w:highlight w:val="none"/>
              </w:rPr>
            </w:pPr>
          </w:p>
        </w:tc>
        <w:tc>
          <w:tcPr>
            <w:tcW w:w="3402" w:type="dxa"/>
            <w:vAlign w:val="center"/>
          </w:tcPr>
          <w:p>
            <w:pPr>
              <w:adjustRightInd w:val="0"/>
              <w:snapToGrid w:val="0"/>
              <w:spacing w:line="520" w:lineRule="exact"/>
              <w:jc w:val="center"/>
              <w:rPr>
                <w:rFonts w:ascii="宋体" w:hAnsi="宋体"/>
                <w:b/>
                <w:sz w:val="24"/>
                <w:highlight w:val="none"/>
              </w:rPr>
            </w:pPr>
          </w:p>
        </w:tc>
        <w:tc>
          <w:tcPr>
            <w:tcW w:w="1233" w:type="dxa"/>
            <w:vAlign w:val="center"/>
          </w:tcPr>
          <w:p>
            <w:pPr>
              <w:adjustRightInd w:val="0"/>
              <w:snapToGrid w:val="0"/>
              <w:spacing w:line="520" w:lineRule="exact"/>
              <w:jc w:val="center"/>
              <w:rPr>
                <w:rFonts w:ascii="宋体" w:hAnsi="宋体"/>
                <w:b/>
                <w:sz w:val="24"/>
                <w:highlight w:val="none"/>
              </w:rPr>
            </w:pPr>
          </w:p>
        </w:tc>
        <w:tc>
          <w:tcPr>
            <w:tcW w:w="1383" w:type="dxa"/>
            <w:vAlign w:val="center"/>
          </w:tcPr>
          <w:p>
            <w:pPr>
              <w:adjustRightInd w:val="0"/>
              <w:snapToGrid w:val="0"/>
              <w:spacing w:line="520" w:lineRule="exact"/>
              <w:jc w:val="cente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976" w:type="dxa"/>
          </w:tcPr>
          <w:p>
            <w:pPr>
              <w:adjustRightInd w:val="0"/>
              <w:snapToGrid w:val="0"/>
              <w:spacing w:line="520" w:lineRule="exact"/>
              <w:rPr>
                <w:rFonts w:ascii="宋体" w:hAnsi="宋体"/>
                <w:b/>
                <w:sz w:val="24"/>
                <w:highlight w:val="none"/>
              </w:rPr>
            </w:pPr>
          </w:p>
        </w:tc>
        <w:tc>
          <w:tcPr>
            <w:tcW w:w="1251" w:type="dxa"/>
          </w:tcPr>
          <w:p>
            <w:pPr>
              <w:adjustRightInd w:val="0"/>
              <w:snapToGrid w:val="0"/>
              <w:spacing w:line="520" w:lineRule="exact"/>
              <w:rPr>
                <w:rFonts w:ascii="宋体" w:hAnsi="宋体"/>
                <w:b/>
                <w:sz w:val="24"/>
                <w:highlight w:val="none"/>
              </w:rPr>
            </w:pPr>
          </w:p>
        </w:tc>
        <w:tc>
          <w:tcPr>
            <w:tcW w:w="3402" w:type="dxa"/>
          </w:tcPr>
          <w:p>
            <w:pPr>
              <w:adjustRightInd w:val="0"/>
              <w:snapToGrid w:val="0"/>
              <w:spacing w:line="520" w:lineRule="exact"/>
              <w:rPr>
                <w:rFonts w:ascii="宋体" w:hAnsi="宋体"/>
                <w:b/>
                <w:sz w:val="24"/>
                <w:highlight w:val="none"/>
              </w:rPr>
            </w:pPr>
          </w:p>
        </w:tc>
        <w:tc>
          <w:tcPr>
            <w:tcW w:w="1233" w:type="dxa"/>
          </w:tcPr>
          <w:p>
            <w:pPr>
              <w:adjustRightInd w:val="0"/>
              <w:snapToGrid w:val="0"/>
              <w:spacing w:line="520" w:lineRule="exact"/>
              <w:jc w:val="center"/>
              <w:rPr>
                <w:rFonts w:ascii="宋体" w:hAnsi="宋体"/>
                <w:b/>
                <w:sz w:val="24"/>
                <w:highlight w:val="none"/>
              </w:rPr>
            </w:pPr>
          </w:p>
        </w:tc>
        <w:tc>
          <w:tcPr>
            <w:tcW w:w="1383" w:type="dxa"/>
          </w:tcPr>
          <w:p>
            <w:pPr>
              <w:adjustRightInd w:val="0"/>
              <w:snapToGrid w:val="0"/>
              <w:spacing w:line="520" w:lineRule="exact"/>
              <w:jc w:val="center"/>
              <w:rPr>
                <w:rFonts w:ascii="宋体" w:hAnsi="宋体"/>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976" w:type="dxa"/>
          </w:tcPr>
          <w:p>
            <w:pPr>
              <w:adjustRightInd w:val="0"/>
              <w:snapToGrid w:val="0"/>
              <w:spacing w:line="520" w:lineRule="exact"/>
              <w:rPr>
                <w:rFonts w:ascii="宋体" w:hAnsi="宋体"/>
                <w:b/>
                <w:sz w:val="24"/>
                <w:highlight w:val="none"/>
              </w:rPr>
            </w:pPr>
          </w:p>
        </w:tc>
        <w:tc>
          <w:tcPr>
            <w:tcW w:w="1251" w:type="dxa"/>
          </w:tcPr>
          <w:p>
            <w:pPr>
              <w:adjustRightInd w:val="0"/>
              <w:snapToGrid w:val="0"/>
              <w:spacing w:line="520" w:lineRule="exact"/>
              <w:rPr>
                <w:rFonts w:ascii="宋体" w:hAnsi="宋体"/>
                <w:b/>
                <w:sz w:val="24"/>
                <w:highlight w:val="none"/>
              </w:rPr>
            </w:pPr>
          </w:p>
        </w:tc>
        <w:tc>
          <w:tcPr>
            <w:tcW w:w="3402" w:type="dxa"/>
          </w:tcPr>
          <w:p>
            <w:pPr>
              <w:adjustRightInd w:val="0"/>
              <w:snapToGrid w:val="0"/>
              <w:spacing w:line="520" w:lineRule="exact"/>
              <w:rPr>
                <w:rFonts w:ascii="宋体" w:hAnsi="宋体"/>
                <w:b/>
                <w:sz w:val="24"/>
                <w:highlight w:val="none"/>
              </w:rPr>
            </w:pPr>
          </w:p>
        </w:tc>
        <w:tc>
          <w:tcPr>
            <w:tcW w:w="1233" w:type="dxa"/>
          </w:tcPr>
          <w:p>
            <w:pPr>
              <w:adjustRightInd w:val="0"/>
              <w:snapToGrid w:val="0"/>
              <w:spacing w:line="520" w:lineRule="exact"/>
              <w:jc w:val="center"/>
              <w:rPr>
                <w:rFonts w:ascii="宋体" w:hAnsi="宋体"/>
                <w:b/>
                <w:sz w:val="24"/>
                <w:highlight w:val="none"/>
              </w:rPr>
            </w:pPr>
          </w:p>
        </w:tc>
        <w:tc>
          <w:tcPr>
            <w:tcW w:w="1383" w:type="dxa"/>
          </w:tcPr>
          <w:p>
            <w:pPr>
              <w:adjustRightInd w:val="0"/>
              <w:snapToGrid w:val="0"/>
              <w:spacing w:line="520" w:lineRule="exact"/>
              <w:jc w:val="center"/>
              <w:rPr>
                <w:rFonts w:ascii="宋体" w:hAnsi="宋体"/>
                <w:b/>
                <w:sz w:val="24"/>
                <w:highlight w:val="none"/>
              </w:rPr>
            </w:pPr>
          </w:p>
        </w:tc>
      </w:tr>
    </w:tbl>
    <w:p>
      <w:pPr>
        <w:adjustRightInd w:val="0"/>
        <w:snapToGrid w:val="0"/>
        <w:spacing w:line="520" w:lineRule="exact"/>
        <w:rPr>
          <w:rFonts w:ascii="宋体" w:hAnsi="宋体"/>
          <w:sz w:val="28"/>
          <w:szCs w:val="28"/>
          <w:highlight w:val="none"/>
        </w:rPr>
      </w:pPr>
      <w:r>
        <w:rPr>
          <w:rFonts w:hint="eastAsia" w:ascii="宋体" w:hAnsi="宋体"/>
          <w:sz w:val="28"/>
          <w:szCs w:val="28"/>
          <w:highlight w:val="none"/>
        </w:rPr>
        <w:t>注：</w:t>
      </w:r>
      <w:r>
        <w:rPr>
          <w:rFonts w:hint="eastAsia" w:ascii="宋体" w:hAnsi="宋体"/>
          <w:b/>
          <w:sz w:val="28"/>
          <w:szCs w:val="28"/>
          <w:highlight w:val="none"/>
          <w:u w:val="single"/>
        </w:rPr>
        <w:t>需随本承诺书附所投标所有项目的结构图</w:t>
      </w:r>
      <w:r>
        <w:rPr>
          <w:rFonts w:hint="eastAsia" w:ascii="宋体" w:hAnsi="宋体"/>
          <w:sz w:val="28"/>
          <w:szCs w:val="28"/>
          <w:highlight w:val="none"/>
        </w:rPr>
        <w:t>。</w:t>
      </w:r>
    </w:p>
    <w:p>
      <w:pPr>
        <w:adjustRightInd w:val="0"/>
        <w:snapToGrid w:val="0"/>
        <w:spacing w:line="520" w:lineRule="exact"/>
        <w:ind w:firstLine="4480" w:firstLineChars="1600"/>
        <w:rPr>
          <w:rFonts w:ascii="宋体" w:hAnsi="宋体"/>
          <w:sz w:val="28"/>
          <w:szCs w:val="28"/>
          <w:highlight w:val="none"/>
        </w:rPr>
      </w:pPr>
    </w:p>
    <w:p>
      <w:pPr>
        <w:adjustRightInd w:val="0"/>
        <w:snapToGrid w:val="0"/>
        <w:spacing w:line="520" w:lineRule="exact"/>
        <w:ind w:firstLine="4480" w:firstLineChars="1600"/>
        <w:rPr>
          <w:rFonts w:ascii="宋体" w:hAnsi="宋体"/>
          <w:sz w:val="28"/>
          <w:szCs w:val="28"/>
          <w:highlight w:val="none"/>
        </w:rPr>
      </w:pPr>
      <w:r>
        <w:rPr>
          <w:rFonts w:hint="eastAsia" w:ascii="宋体" w:hAnsi="宋体"/>
          <w:sz w:val="28"/>
          <w:szCs w:val="28"/>
          <w:highlight w:val="none"/>
        </w:rPr>
        <w:t>法定代表人或授权代表签字：</w:t>
      </w:r>
    </w:p>
    <w:p>
      <w:pPr>
        <w:adjustRightInd w:val="0"/>
        <w:snapToGrid w:val="0"/>
        <w:spacing w:line="520" w:lineRule="exact"/>
        <w:ind w:firstLine="5040" w:firstLineChars="1800"/>
        <w:rPr>
          <w:rFonts w:ascii="宋体" w:hAnsi="宋体"/>
          <w:bCs/>
          <w:sz w:val="28"/>
          <w:szCs w:val="28"/>
          <w:highlight w:val="none"/>
        </w:rPr>
      </w:pPr>
      <w:r>
        <w:rPr>
          <w:rFonts w:hint="eastAsia" w:ascii="宋体" w:hAnsi="宋体"/>
          <w:sz w:val="28"/>
          <w:szCs w:val="28"/>
          <w:highlight w:val="none"/>
        </w:rPr>
        <w:t>时 间：  年  月  日</w:t>
      </w: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附件6.评标办法</w:t>
      </w:r>
    </w:p>
    <w:p>
      <w:pPr>
        <w:spacing w:after="312" w:afterLines="100" w:line="360" w:lineRule="auto"/>
        <w:jc w:val="center"/>
        <w:rPr>
          <w:rFonts w:ascii="黑体" w:hAnsi="黑体" w:eastAsia="黑体"/>
          <w:snapToGrid w:val="0"/>
          <w:sz w:val="32"/>
          <w:szCs w:val="32"/>
          <w:highlight w:val="none"/>
        </w:rPr>
      </w:pPr>
      <w:r>
        <w:rPr>
          <w:rFonts w:hint="eastAsia" w:ascii="黑体" w:hAnsi="黑体" w:eastAsia="黑体"/>
          <w:bCs/>
          <w:sz w:val="32"/>
          <w:szCs w:val="32"/>
          <w:highlight w:val="none"/>
        </w:rPr>
        <w:t xml:space="preserve">评 标 </w:t>
      </w:r>
      <w:r>
        <w:rPr>
          <w:rFonts w:hint="eastAsia" w:ascii="黑体" w:hAnsi="黑体" w:eastAsia="黑体"/>
          <w:snapToGrid w:val="0"/>
          <w:sz w:val="32"/>
          <w:szCs w:val="32"/>
          <w:highlight w:val="none"/>
        </w:rPr>
        <w:t>办 法</w:t>
      </w:r>
    </w:p>
    <w:p>
      <w:pPr>
        <w:adjustRightInd w:val="0"/>
        <w:snapToGrid w:val="0"/>
        <w:spacing w:line="360" w:lineRule="auto"/>
        <w:ind w:firstLine="560" w:firstLineChars="200"/>
        <w:rPr>
          <w:rFonts w:ascii="宋体" w:hAnsi="宋体"/>
          <w:bCs/>
          <w:sz w:val="28"/>
          <w:szCs w:val="28"/>
          <w:highlight w:val="none"/>
        </w:rPr>
      </w:pPr>
      <w:r>
        <w:rPr>
          <w:rFonts w:hint="eastAsia" w:ascii="宋体" w:hAnsi="宋体"/>
          <w:bCs/>
          <w:sz w:val="28"/>
          <w:szCs w:val="28"/>
          <w:highlight w:val="none"/>
        </w:rPr>
        <w:t>本项目采用综合打分法确定中标候选人。评标委员会将按下列评分具体办法和标准进行打分，总分值为100分。评分方法如下:</w:t>
      </w:r>
    </w:p>
    <w:p>
      <w:pPr>
        <w:tabs>
          <w:tab w:val="left" w:pos="8200"/>
        </w:tabs>
        <w:adjustRightInd w:val="0"/>
        <w:snapToGrid w:val="0"/>
        <w:spacing w:line="360" w:lineRule="auto"/>
        <w:ind w:firstLine="562" w:firstLineChars="200"/>
        <w:rPr>
          <w:rFonts w:ascii="宋体" w:hAnsi="宋体"/>
          <w:b/>
          <w:sz w:val="28"/>
          <w:szCs w:val="28"/>
          <w:highlight w:val="none"/>
        </w:rPr>
      </w:pPr>
      <w:r>
        <w:rPr>
          <w:rFonts w:hint="eastAsia" w:ascii="宋体" w:hAnsi="宋体"/>
          <w:b/>
          <w:sz w:val="28"/>
          <w:szCs w:val="28"/>
          <w:highlight w:val="none"/>
        </w:rPr>
        <w:t>1.投标报价分值: 4</w:t>
      </w:r>
      <w:r>
        <w:rPr>
          <w:rFonts w:ascii="宋体" w:hAnsi="宋体"/>
          <w:b/>
          <w:sz w:val="28"/>
          <w:szCs w:val="28"/>
          <w:highlight w:val="none"/>
        </w:rPr>
        <w:t>8</w:t>
      </w:r>
      <w:r>
        <w:rPr>
          <w:rFonts w:hint="eastAsia" w:ascii="宋体" w:hAnsi="宋体"/>
          <w:b/>
          <w:sz w:val="28"/>
          <w:szCs w:val="28"/>
          <w:highlight w:val="none"/>
        </w:rPr>
        <w:t>分</w:t>
      </w:r>
    </w:p>
    <w:p>
      <w:pPr>
        <w:tabs>
          <w:tab w:val="left" w:pos="8200"/>
        </w:tabs>
        <w:adjustRightInd w:val="0"/>
        <w:snapToGrid w:val="0"/>
        <w:spacing w:line="360" w:lineRule="auto"/>
        <w:ind w:firstLine="560" w:firstLineChars="200"/>
        <w:rPr>
          <w:rFonts w:ascii="宋体" w:hAnsi="宋体"/>
          <w:b/>
          <w:sz w:val="28"/>
          <w:szCs w:val="28"/>
          <w:highlight w:val="none"/>
        </w:rPr>
      </w:pPr>
      <w:r>
        <w:rPr>
          <w:rFonts w:hint="eastAsia" w:ascii="宋体" w:hAnsi="宋体"/>
          <w:sz w:val="28"/>
          <w:szCs w:val="28"/>
          <w:highlight w:val="none"/>
        </w:rPr>
        <w:t>价格分采用低价优先法计算，即满足招标文件要求且报价最低的供应商报价为评标基准价，其价格分为满分4</w:t>
      </w:r>
      <w:r>
        <w:rPr>
          <w:rFonts w:ascii="宋体" w:hAnsi="宋体"/>
          <w:sz w:val="28"/>
          <w:szCs w:val="28"/>
          <w:highlight w:val="none"/>
        </w:rPr>
        <w:t>8</w:t>
      </w:r>
      <w:r>
        <w:rPr>
          <w:rFonts w:hint="eastAsia" w:ascii="宋体" w:hAnsi="宋体"/>
          <w:sz w:val="28"/>
          <w:szCs w:val="28"/>
          <w:highlight w:val="none"/>
        </w:rPr>
        <w:t>分，其它投标人的价格分统一按照以下公式计算：投标报价得分=（评标基准价/该投标人的投标报价）×4</w:t>
      </w:r>
      <w:r>
        <w:rPr>
          <w:rFonts w:ascii="宋体" w:hAnsi="宋体"/>
          <w:sz w:val="28"/>
          <w:szCs w:val="28"/>
          <w:highlight w:val="none"/>
        </w:rPr>
        <w:t>8</w:t>
      </w:r>
      <w:r>
        <w:rPr>
          <w:rFonts w:hint="eastAsia" w:ascii="宋体" w:hAnsi="宋体"/>
          <w:sz w:val="28"/>
          <w:szCs w:val="28"/>
          <w:highlight w:val="none"/>
        </w:rPr>
        <w:t>分。分值保留小数点后1位。</w:t>
      </w:r>
    </w:p>
    <w:p>
      <w:pPr>
        <w:tabs>
          <w:tab w:val="left" w:pos="8200"/>
        </w:tabs>
        <w:adjustRightInd w:val="0"/>
        <w:snapToGrid w:val="0"/>
        <w:spacing w:line="360" w:lineRule="auto"/>
        <w:ind w:firstLine="562" w:firstLineChars="200"/>
        <w:rPr>
          <w:rFonts w:ascii="宋体" w:hAnsi="宋体"/>
          <w:b/>
          <w:sz w:val="28"/>
          <w:szCs w:val="28"/>
          <w:highlight w:val="none"/>
        </w:rPr>
      </w:pPr>
      <w:r>
        <w:rPr>
          <w:rFonts w:ascii="宋体" w:hAnsi="宋体"/>
          <w:b/>
          <w:sz w:val="28"/>
          <w:szCs w:val="28"/>
          <w:highlight w:val="none"/>
        </w:rPr>
        <w:t>2</w:t>
      </w:r>
      <w:r>
        <w:rPr>
          <w:rFonts w:hint="eastAsia" w:ascii="宋体" w:hAnsi="宋体"/>
          <w:b/>
          <w:sz w:val="28"/>
          <w:szCs w:val="28"/>
          <w:highlight w:val="none"/>
        </w:rPr>
        <w:t>.样品：</w:t>
      </w:r>
      <w:r>
        <w:rPr>
          <w:rFonts w:ascii="宋体" w:hAnsi="宋体"/>
          <w:b/>
          <w:sz w:val="28"/>
          <w:szCs w:val="28"/>
          <w:highlight w:val="none"/>
        </w:rPr>
        <w:t>20</w:t>
      </w:r>
      <w:r>
        <w:rPr>
          <w:rFonts w:hint="eastAsia" w:ascii="宋体" w:hAnsi="宋体"/>
          <w:b/>
          <w:sz w:val="28"/>
          <w:szCs w:val="28"/>
          <w:highlight w:val="none"/>
        </w:rPr>
        <w:t>分</w:t>
      </w:r>
    </w:p>
    <w:p>
      <w:pPr>
        <w:pStyle w:val="50"/>
        <w:snapToGrid w:val="0"/>
        <w:spacing w:before="0" w:after="0"/>
        <w:ind w:firstLine="560" w:firstLineChars="200"/>
        <w:rPr>
          <w:rFonts w:ascii="宋体" w:hAnsi="宋体"/>
          <w:kern w:val="2"/>
          <w:sz w:val="28"/>
          <w:szCs w:val="28"/>
          <w:highlight w:val="none"/>
        </w:rPr>
      </w:pPr>
      <w:r>
        <w:rPr>
          <w:rFonts w:hint="eastAsia" w:ascii="宋体" w:hAnsi="宋体"/>
          <w:kern w:val="2"/>
          <w:sz w:val="28"/>
          <w:szCs w:val="28"/>
          <w:highlight w:val="none"/>
        </w:rPr>
        <w:t>共四件样品，每件样品优于招标文件要求的得5分，符合招标文件要求得3分，不符合招标文件要求（有偏离）的得1分，未提供或提供不全的不得分。</w:t>
      </w:r>
    </w:p>
    <w:p>
      <w:pPr>
        <w:tabs>
          <w:tab w:val="left" w:pos="8200"/>
        </w:tabs>
        <w:adjustRightInd w:val="0"/>
        <w:snapToGrid w:val="0"/>
        <w:spacing w:line="360" w:lineRule="auto"/>
        <w:ind w:firstLine="562" w:firstLineChars="200"/>
        <w:rPr>
          <w:rFonts w:ascii="宋体" w:hAnsi="宋体"/>
          <w:b/>
          <w:sz w:val="28"/>
          <w:szCs w:val="28"/>
          <w:highlight w:val="none"/>
        </w:rPr>
      </w:pPr>
      <w:r>
        <w:rPr>
          <w:rFonts w:hint="eastAsia" w:ascii="宋体" w:hAnsi="宋体"/>
          <w:b/>
          <w:sz w:val="28"/>
          <w:szCs w:val="28"/>
          <w:highlight w:val="none"/>
        </w:rPr>
        <w:t>3.资质：16分</w:t>
      </w:r>
    </w:p>
    <w:p>
      <w:pPr>
        <w:pStyle w:val="50"/>
        <w:snapToGrid w:val="0"/>
        <w:spacing w:before="0" w:after="0"/>
        <w:ind w:firstLine="560" w:firstLineChars="200"/>
        <w:rPr>
          <w:rFonts w:ascii="宋体" w:hAnsi="宋体"/>
          <w:sz w:val="28"/>
          <w:szCs w:val="28"/>
          <w:highlight w:val="none"/>
        </w:rPr>
      </w:pPr>
      <w:r>
        <w:rPr>
          <w:rFonts w:hint="eastAsia" w:ascii="宋体" w:hAnsi="宋体"/>
          <w:kern w:val="2"/>
          <w:sz w:val="28"/>
          <w:szCs w:val="28"/>
          <w:highlight w:val="none"/>
        </w:rPr>
        <w:t>3.1投标人获得中国环境标志产品认证证书（认证范围含椅凳类）得2分（提供有效证书复印件）。</w:t>
      </w:r>
    </w:p>
    <w:p>
      <w:pPr>
        <w:tabs>
          <w:tab w:val="left" w:pos="8200"/>
        </w:tabs>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3.2投标人具有信用评级机构（如行政机关、银行、社会信用行政管理机构认定的评级机构等）颁发的信用等级证书的，等级为AAA的得2分，AA得1分（提供有效证书复印件）。</w:t>
      </w:r>
    </w:p>
    <w:p>
      <w:pPr>
        <w:tabs>
          <w:tab w:val="left" w:pos="8200"/>
        </w:tabs>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w:t>
      </w:r>
      <w:r>
        <w:rPr>
          <w:rFonts w:ascii="宋体" w:hAnsi="宋体"/>
          <w:sz w:val="28"/>
          <w:szCs w:val="28"/>
          <w:highlight w:val="none"/>
        </w:rPr>
        <w:t>.</w:t>
      </w:r>
      <w:r>
        <w:rPr>
          <w:rFonts w:hint="eastAsia" w:ascii="宋体" w:hAnsi="宋体"/>
          <w:sz w:val="28"/>
          <w:szCs w:val="28"/>
          <w:highlight w:val="none"/>
        </w:rPr>
        <w:t>3投标人具有中国质量认证中心颁布的中国环保产品认证（认证范围包含课桌椅），并在有效期内的得2分（提供有效证书复印件）。</w:t>
      </w:r>
    </w:p>
    <w:p>
      <w:pPr>
        <w:tabs>
          <w:tab w:val="left" w:pos="8200"/>
        </w:tabs>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3.4投标人具有国家标准《商品售后服务评价体系》售后服务认证证书，并在有效期之内的，五星级得3分，四星级得2分，三星级以下的得1分（提供有效证书复印件）。</w:t>
      </w:r>
    </w:p>
    <w:p>
      <w:pPr>
        <w:tabs>
          <w:tab w:val="left" w:pos="8200"/>
        </w:tabs>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3.5投标人具有生产本批货物的主要相应设备：电脑裁板锯、封边机、焊接机器人、喷塑设备、切管机、除锈设备。每提供一种设备的购置发票得0.5分，最多得3分</w:t>
      </w:r>
      <w:r>
        <w:rPr>
          <w:rFonts w:hint="eastAsia" w:ascii="宋体" w:hAnsi="宋体" w:cs="宋体"/>
          <w:kern w:val="0"/>
          <w:sz w:val="28"/>
          <w:szCs w:val="28"/>
          <w:highlight w:val="none"/>
        </w:rPr>
        <w:t>（投标人提供设备发票复印件，发票需清晰可见相应内容）。</w:t>
      </w:r>
    </w:p>
    <w:p>
      <w:pPr>
        <w:tabs>
          <w:tab w:val="left" w:pos="8200"/>
        </w:tabs>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3.6提供自2018年以来课桌、课椅、实木颗粒刨花板、钢管（投标人的）的检测报告（带有CMA或CNAS标识的检验部门的委托检验合格报告复印件），每提供一份得1分，最高4分。</w:t>
      </w:r>
    </w:p>
    <w:p>
      <w:pPr>
        <w:tabs>
          <w:tab w:val="left" w:pos="8200"/>
        </w:tabs>
        <w:adjustRightInd w:val="0"/>
        <w:snapToGrid w:val="0"/>
        <w:spacing w:line="360" w:lineRule="auto"/>
        <w:ind w:firstLine="562" w:firstLineChars="200"/>
        <w:rPr>
          <w:rFonts w:ascii="宋体" w:hAnsi="宋体"/>
          <w:b/>
          <w:sz w:val="28"/>
          <w:szCs w:val="28"/>
          <w:highlight w:val="none"/>
        </w:rPr>
      </w:pPr>
      <w:r>
        <w:rPr>
          <w:rFonts w:hint="eastAsia" w:ascii="宋体" w:hAnsi="宋体"/>
          <w:b/>
          <w:sz w:val="28"/>
          <w:szCs w:val="28"/>
          <w:highlight w:val="none"/>
        </w:rPr>
        <w:t>4.业绩：10分</w:t>
      </w:r>
    </w:p>
    <w:p>
      <w:pPr>
        <w:tabs>
          <w:tab w:val="left" w:pos="8200"/>
        </w:tabs>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4.1  提供自2017年以来能证明投标人具备履约供应能力的课桌椅合同，每提供一份得2分，最高10分。（须提供中标通知书、合同、验收报告复印件，</w:t>
      </w:r>
      <w:r>
        <w:rPr>
          <w:rFonts w:hint="eastAsia" w:ascii="宋体" w:hAnsi="宋体"/>
          <w:sz w:val="28"/>
          <w:szCs w:val="28"/>
          <w:highlight w:val="none"/>
          <w:lang w:val="en-US" w:eastAsia="zh-CN"/>
        </w:rPr>
        <w:t>三者缺一不可，</w:t>
      </w:r>
      <w:r>
        <w:rPr>
          <w:rFonts w:hint="eastAsia" w:ascii="宋体" w:hAnsi="宋体"/>
          <w:sz w:val="28"/>
          <w:szCs w:val="28"/>
          <w:highlight w:val="none"/>
        </w:rPr>
        <w:t>以合同签订时间为准）</w:t>
      </w:r>
    </w:p>
    <w:p>
      <w:pPr>
        <w:adjustRightInd w:val="0"/>
        <w:snapToGrid w:val="0"/>
        <w:spacing w:line="360" w:lineRule="auto"/>
        <w:ind w:firstLine="562" w:firstLineChars="200"/>
        <w:rPr>
          <w:rFonts w:ascii="宋体" w:hAnsi="宋体"/>
          <w:b/>
          <w:bCs/>
          <w:sz w:val="28"/>
          <w:szCs w:val="28"/>
          <w:highlight w:val="none"/>
        </w:rPr>
      </w:pPr>
      <w:r>
        <w:rPr>
          <w:rFonts w:hint="eastAsia" w:ascii="宋体" w:hAnsi="宋体"/>
          <w:b/>
          <w:bCs/>
          <w:sz w:val="28"/>
          <w:szCs w:val="28"/>
          <w:highlight w:val="none"/>
        </w:rPr>
        <w:t>5.项目实施、验收方案等（4分）</w:t>
      </w:r>
    </w:p>
    <w:p>
      <w:pPr>
        <w:tabs>
          <w:tab w:val="left" w:pos="8200"/>
        </w:tabs>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w:t>
      </w:r>
      <w:bookmarkStart w:id="12" w:name="_Hlk27471717"/>
      <w:r>
        <w:rPr>
          <w:rFonts w:hint="eastAsia" w:ascii="宋体" w:hAnsi="宋体"/>
          <w:sz w:val="28"/>
          <w:szCs w:val="28"/>
          <w:highlight w:val="none"/>
        </w:rPr>
        <w:t>1项目实施方案：</w:t>
      </w:r>
      <w:bookmarkEnd w:id="12"/>
      <w:r>
        <w:rPr>
          <w:rFonts w:hint="eastAsia" w:ascii="宋体" w:hAnsi="宋体"/>
          <w:sz w:val="28"/>
          <w:szCs w:val="28"/>
          <w:highlight w:val="none"/>
        </w:rPr>
        <w:t>投标人应根据招标文件要求提供具体详实的项目实施方案，方案优于招标文件要求的得2分，符合招标要求文件的得1分，不符合招标文件要求及未提供的不得分。（2分）</w:t>
      </w:r>
    </w:p>
    <w:p>
      <w:pPr>
        <w:tabs>
          <w:tab w:val="left" w:pos="8200"/>
        </w:tabs>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5.2项目验收方案：投标人应根据招标文件要求提供具体详实的项目验收方案，方案优于招标文件要求的得2分，符合招标要求文件的得1分，不符合招标文件要求及未提供的不得分。（2分）</w:t>
      </w:r>
    </w:p>
    <w:p>
      <w:pPr>
        <w:tabs>
          <w:tab w:val="left" w:pos="8200"/>
        </w:tabs>
        <w:adjustRightInd w:val="0"/>
        <w:snapToGrid w:val="0"/>
        <w:spacing w:line="360" w:lineRule="auto"/>
        <w:ind w:firstLine="562" w:firstLineChars="200"/>
        <w:rPr>
          <w:rFonts w:ascii="宋体" w:hAnsi="宋体"/>
          <w:b/>
          <w:bCs/>
          <w:sz w:val="28"/>
          <w:szCs w:val="28"/>
          <w:highlight w:val="none"/>
        </w:rPr>
      </w:pPr>
      <w:r>
        <w:rPr>
          <w:rFonts w:ascii="宋体" w:hAnsi="宋体"/>
          <w:b/>
          <w:bCs/>
          <w:sz w:val="28"/>
          <w:szCs w:val="28"/>
          <w:highlight w:val="none"/>
        </w:rPr>
        <w:t>6.投标文件总体评价分：2分</w:t>
      </w:r>
    </w:p>
    <w:p>
      <w:pPr>
        <w:tabs>
          <w:tab w:val="left" w:pos="8200"/>
        </w:tabs>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6.1文件内容完备，格式规范，封装整齐，目录、页码齐全，目录与页码能准确对应，满足招标文件要求得</w:t>
      </w:r>
      <w:r>
        <w:rPr>
          <w:rFonts w:ascii="宋体" w:hAnsi="宋体"/>
          <w:sz w:val="28"/>
          <w:szCs w:val="28"/>
          <w:highlight w:val="none"/>
        </w:rPr>
        <w:t>2</w:t>
      </w:r>
      <w:r>
        <w:rPr>
          <w:rFonts w:hint="eastAsia" w:ascii="宋体" w:hAnsi="宋体"/>
          <w:sz w:val="28"/>
          <w:szCs w:val="28"/>
          <w:highlight w:val="none"/>
        </w:rPr>
        <w:t>分，否则不得分。未经胶封（如文件夹或订书机等）此项不得分。</w:t>
      </w:r>
    </w:p>
    <w:p>
      <w:pPr>
        <w:tabs>
          <w:tab w:val="left" w:pos="8200"/>
        </w:tabs>
        <w:adjustRightInd w:val="0"/>
        <w:snapToGrid w:val="0"/>
        <w:spacing w:line="360" w:lineRule="auto"/>
        <w:ind w:firstLine="719" w:firstLineChars="257"/>
        <w:rPr>
          <w:rFonts w:ascii="宋体" w:hAnsi="宋体"/>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pStyle w:val="10"/>
        <w:adjustRightInd w:val="0"/>
        <w:snapToGrid w:val="0"/>
        <w:spacing w:before="120" w:after="120" w:line="360" w:lineRule="auto"/>
        <w:rPr>
          <w:rFonts w:cs="仿宋"/>
          <w:sz w:val="24"/>
          <w:highlight w:val="none"/>
        </w:rPr>
      </w:pP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mp;quo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24</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24</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A1A69"/>
    <w:multiLevelType w:val="singleLevel"/>
    <w:tmpl w:val="10BA1A69"/>
    <w:lvl w:ilvl="0" w:tentative="0">
      <w:start w:val="1"/>
      <w:numFmt w:val="decimal"/>
      <w:lvlText w:val="%1."/>
      <w:lvlJc w:val="left"/>
      <w:pPr>
        <w:tabs>
          <w:tab w:val="left" w:pos="312"/>
        </w:tabs>
      </w:pPr>
    </w:lvl>
  </w:abstractNum>
  <w:abstractNum w:abstractNumId="1">
    <w:nsid w:val="54F7EDF8"/>
    <w:multiLevelType w:val="singleLevel"/>
    <w:tmpl w:val="54F7EDF8"/>
    <w:lvl w:ilvl="0" w:tentative="0">
      <w:start w:val="1"/>
      <w:numFmt w:val="decimal"/>
      <w:suff w:val="space"/>
      <w:lvlText w:val="%1."/>
      <w:lvlJc w:val="left"/>
    </w:lvl>
  </w:abstractNum>
  <w:abstractNum w:abstractNumId="2">
    <w:nsid w:val="592945B1"/>
    <w:multiLevelType w:val="multilevel"/>
    <w:tmpl w:val="592945B1"/>
    <w:lvl w:ilvl="0" w:tentative="0">
      <w:start w:val="1"/>
      <w:numFmt w:val="decimal"/>
      <w:pStyle w:val="4"/>
      <w:lvlText w:val="%1."/>
      <w:lvlJc w:val="left"/>
      <w:pPr>
        <w:ind w:left="425" w:hanging="425"/>
      </w:pPr>
      <w:rPr>
        <w:rFonts w:hint="eastAsia" w:ascii="微软雅黑" w:hAnsi="微软雅黑" w:eastAsia="微软雅黑"/>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1458"/>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6691E"/>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A352A"/>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59AC"/>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0E4"/>
    <w:rsid w:val="004D73BD"/>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B1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3A90"/>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5B517B2"/>
    <w:rsid w:val="0666393D"/>
    <w:rsid w:val="07D33D16"/>
    <w:rsid w:val="07ED2EE8"/>
    <w:rsid w:val="08683D64"/>
    <w:rsid w:val="09637941"/>
    <w:rsid w:val="0BDF51D7"/>
    <w:rsid w:val="0C157637"/>
    <w:rsid w:val="0C3615C8"/>
    <w:rsid w:val="0C4861BD"/>
    <w:rsid w:val="0D873213"/>
    <w:rsid w:val="0D9425DE"/>
    <w:rsid w:val="0D99361C"/>
    <w:rsid w:val="0E6E4BE5"/>
    <w:rsid w:val="0EB044F1"/>
    <w:rsid w:val="107D340A"/>
    <w:rsid w:val="10EB4170"/>
    <w:rsid w:val="10F05838"/>
    <w:rsid w:val="113C24CA"/>
    <w:rsid w:val="119D0D41"/>
    <w:rsid w:val="12162C3B"/>
    <w:rsid w:val="130F1D58"/>
    <w:rsid w:val="13852EBD"/>
    <w:rsid w:val="146723C1"/>
    <w:rsid w:val="14896182"/>
    <w:rsid w:val="14CD1E55"/>
    <w:rsid w:val="155010AB"/>
    <w:rsid w:val="15572C10"/>
    <w:rsid w:val="1584594C"/>
    <w:rsid w:val="15907301"/>
    <w:rsid w:val="15A90346"/>
    <w:rsid w:val="15B24E31"/>
    <w:rsid w:val="16AA09BD"/>
    <w:rsid w:val="17833DE3"/>
    <w:rsid w:val="19F12BF0"/>
    <w:rsid w:val="1C121D57"/>
    <w:rsid w:val="1C4537D5"/>
    <w:rsid w:val="1C4A137C"/>
    <w:rsid w:val="1E4162DF"/>
    <w:rsid w:val="1E561745"/>
    <w:rsid w:val="1F11313D"/>
    <w:rsid w:val="1F6E6D51"/>
    <w:rsid w:val="1F956998"/>
    <w:rsid w:val="20676169"/>
    <w:rsid w:val="20DC5C02"/>
    <w:rsid w:val="20FE711F"/>
    <w:rsid w:val="21A70E96"/>
    <w:rsid w:val="225E4DAF"/>
    <w:rsid w:val="22891E2D"/>
    <w:rsid w:val="22D33607"/>
    <w:rsid w:val="23FD2509"/>
    <w:rsid w:val="243943F8"/>
    <w:rsid w:val="24BA01FD"/>
    <w:rsid w:val="24E05430"/>
    <w:rsid w:val="267A7579"/>
    <w:rsid w:val="27961F1E"/>
    <w:rsid w:val="27AD7C03"/>
    <w:rsid w:val="28C46277"/>
    <w:rsid w:val="29062B05"/>
    <w:rsid w:val="29127A38"/>
    <w:rsid w:val="29D11364"/>
    <w:rsid w:val="29D90109"/>
    <w:rsid w:val="2AB43BC5"/>
    <w:rsid w:val="2B556F15"/>
    <w:rsid w:val="2B7F4BC3"/>
    <w:rsid w:val="2C5D45F7"/>
    <w:rsid w:val="2CE81BAF"/>
    <w:rsid w:val="2DAC05D8"/>
    <w:rsid w:val="2E621F2F"/>
    <w:rsid w:val="2E726843"/>
    <w:rsid w:val="2EDC02FF"/>
    <w:rsid w:val="31292116"/>
    <w:rsid w:val="3172033E"/>
    <w:rsid w:val="3227588C"/>
    <w:rsid w:val="325F6558"/>
    <w:rsid w:val="331653E5"/>
    <w:rsid w:val="350C0A4E"/>
    <w:rsid w:val="351529A9"/>
    <w:rsid w:val="351E1DBE"/>
    <w:rsid w:val="355A74E9"/>
    <w:rsid w:val="35FD1F7A"/>
    <w:rsid w:val="366D672C"/>
    <w:rsid w:val="36D93145"/>
    <w:rsid w:val="36E3150F"/>
    <w:rsid w:val="38341A06"/>
    <w:rsid w:val="384A4707"/>
    <w:rsid w:val="385D644E"/>
    <w:rsid w:val="389602AD"/>
    <w:rsid w:val="38F33167"/>
    <w:rsid w:val="3969444A"/>
    <w:rsid w:val="39C83C69"/>
    <w:rsid w:val="39CE5E1D"/>
    <w:rsid w:val="39F51107"/>
    <w:rsid w:val="3A9701E9"/>
    <w:rsid w:val="3C003247"/>
    <w:rsid w:val="3C8E6F2D"/>
    <w:rsid w:val="3D6145DC"/>
    <w:rsid w:val="3E267A6A"/>
    <w:rsid w:val="3EDB4EA4"/>
    <w:rsid w:val="3FC31914"/>
    <w:rsid w:val="414A37BB"/>
    <w:rsid w:val="41785182"/>
    <w:rsid w:val="42643A73"/>
    <w:rsid w:val="42AA1012"/>
    <w:rsid w:val="42B04CF7"/>
    <w:rsid w:val="43FB66E3"/>
    <w:rsid w:val="44DC7F4B"/>
    <w:rsid w:val="45651876"/>
    <w:rsid w:val="469021C5"/>
    <w:rsid w:val="46AA377D"/>
    <w:rsid w:val="48D87E3D"/>
    <w:rsid w:val="49363676"/>
    <w:rsid w:val="4A4B48E3"/>
    <w:rsid w:val="4B5137BF"/>
    <w:rsid w:val="4DA86B45"/>
    <w:rsid w:val="4E67783D"/>
    <w:rsid w:val="4F8C08BA"/>
    <w:rsid w:val="4FAF38AA"/>
    <w:rsid w:val="51497070"/>
    <w:rsid w:val="51E025FE"/>
    <w:rsid w:val="525759F4"/>
    <w:rsid w:val="52F9631E"/>
    <w:rsid w:val="52FD675A"/>
    <w:rsid w:val="532B7AD5"/>
    <w:rsid w:val="538E0522"/>
    <w:rsid w:val="53C90DC3"/>
    <w:rsid w:val="53D80FA7"/>
    <w:rsid w:val="5473349C"/>
    <w:rsid w:val="54B6223B"/>
    <w:rsid w:val="54E15A0F"/>
    <w:rsid w:val="55344B23"/>
    <w:rsid w:val="556F5C83"/>
    <w:rsid w:val="56732DC5"/>
    <w:rsid w:val="56C21B98"/>
    <w:rsid w:val="57360F05"/>
    <w:rsid w:val="581F495D"/>
    <w:rsid w:val="58484116"/>
    <w:rsid w:val="58DA78C0"/>
    <w:rsid w:val="58E017CC"/>
    <w:rsid w:val="5AC859BF"/>
    <w:rsid w:val="5C0F2072"/>
    <w:rsid w:val="5CFC1D50"/>
    <w:rsid w:val="5D9F7C2F"/>
    <w:rsid w:val="5E6C25B6"/>
    <w:rsid w:val="5E84123F"/>
    <w:rsid w:val="607E0927"/>
    <w:rsid w:val="619D5BCC"/>
    <w:rsid w:val="6233128F"/>
    <w:rsid w:val="62635DDC"/>
    <w:rsid w:val="62F6346B"/>
    <w:rsid w:val="62FE3555"/>
    <w:rsid w:val="63D7368B"/>
    <w:rsid w:val="654B5A6F"/>
    <w:rsid w:val="665A104A"/>
    <w:rsid w:val="682B4204"/>
    <w:rsid w:val="68321EAC"/>
    <w:rsid w:val="688A1515"/>
    <w:rsid w:val="68A603CF"/>
    <w:rsid w:val="69E27B06"/>
    <w:rsid w:val="6A0F3694"/>
    <w:rsid w:val="6A5C1E75"/>
    <w:rsid w:val="6A80266B"/>
    <w:rsid w:val="6AB72FC5"/>
    <w:rsid w:val="6AB76CFB"/>
    <w:rsid w:val="6BC1702A"/>
    <w:rsid w:val="6BCB77F6"/>
    <w:rsid w:val="6C282248"/>
    <w:rsid w:val="6CBD55AC"/>
    <w:rsid w:val="6DE636A7"/>
    <w:rsid w:val="6DE86594"/>
    <w:rsid w:val="71CA5F12"/>
    <w:rsid w:val="734449AE"/>
    <w:rsid w:val="73711235"/>
    <w:rsid w:val="753E278B"/>
    <w:rsid w:val="75BE6EB5"/>
    <w:rsid w:val="76955859"/>
    <w:rsid w:val="7815375E"/>
    <w:rsid w:val="78BC7868"/>
    <w:rsid w:val="7AE40810"/>
    <w:rsid w:val="7BBB6C68"/>
    <w:rsid w:val="7C574749"/>
    <w:rsid w:val="7C815F95"/>
    <w:rsid w:val="7C8E2CF6"/>
    <w:rsid w:val="7C967B8B"/>
    <w:rsid w:val="7CD015B7"/>
    <w:rsid w:val="7E8E66AB"/>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9"/>
    <w:pPr>
      <w:keepNext/>
      <w:keepLines/>
      <w:spacing w:before="340" w:after="330" w:line="578" w:lineRule="auto"/>
      <w:outlineLvl w:val="0"/>
    </w:pPr>
    <w:rPr>
      <w:b/>
      <w:kern w:val="44"/>
      <w:sz w:val="44"/>
      <w:szCs w:val="20"/>
    </w:rPr>
  </w:style>
  <w:style w:type="paragraph" w:styleId="4">
    <w:name w:val="heading 2"/>
    <w:basedOn w:val="1"/>
    <w:next w:val="1"/>
    <w:unhideWhenUsed/>
    <w:qFormat/>
    <w:uiPriority w:val="9"/>
    <w:pPr>
      <w:keepNext/>
      <w:keepLines/>
      <w:numPr>
        <w:ilvl w:val="0"/>
        <w:numId w:val="1"/>
      </w:numPr>
      <w:spacing w:before="120" w:after="120" w:line="360" w:lineRule="auto"/>
      <w:ind w:firstLine="0"/>
      <w:outlineLvl w:val="1"/>
    </w:pPr>
    <w:rPr>
      <w:rFonts w:ascii="Calibri Light" w:hAnsi="Calibri Light" w:eastAsia="微软雅黑"/>
      <w:b/>
      <w:bCs/>
      <w:sz w:val="28"/>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locked/>
    <w:uiPriority w:val="99"/>
    <w:pPr>
      <w:ind w:firstLine="420" w:firstLineChars="200"/>
    </w:pPr>
  </w:style>
  <w:style w:type="paragraph" w:styleId="5">
    <w:name w:val="annotation text"/>
    <w:basedOn w:val="1"/>
    <w:link w:val="23"/>
    <w:qFormat/>
    <w:uiPriority w:val="99"/>
    <w:pPr>
      <w:jc w:val="left"/>
    </w:pPr>
    <w:rPr>
      <w:sz w:val="24"/>
      <w:szCs w:val="20"/>
    </w:rPr>
  </w:style>
  <w:style w:type="paragraph" w:styleId="6">
    <w:name w:val="Body Text"/>
    <w:basedOn w:val="1"/>
    <w:link w:val="42"/>
    <w:unhideWhenUsed/>
    <w:qFormat/>
    <w:locked/>
    <w:uiPriority w:val="99"/>
    <w:pPr>
      <w:spacing w:after="120"/>
    </w:pPr>
  </w:style>
  <w:style w:type="paragraph" w:styleId="7">
    <w:name w:val="Body Text Indent"/>
    <w:basedOn w:val="1"/>
    <w:link w:val="24"/>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5"/>
    <w:qFormat/>
    <w:uiPriority w:val="0"/>
    <w:rPr>
      <w:rFonts w:ascii="宋体" w:hAnsi="Courier New"/>
      <w:szCs w:val="20"/>
    </w:rPr>
  </w:style>
  <w:style w:type="paragraph" w:styleId="11">
    <w:name w:val="Date"/>
    <w:basedOn w:val="1"/>
    <w:next w:val="1"/>
    <w:link w:val="26"/>
    <w:qFormat/>
    <w:uiPriority w:val="99"/>
    <w:pPr>
      <w:ind w:left="100" w:leftChars="2500"/>
    </w:pPr>
    <w:rPr>
      <w:sz w:val="24"/>
      <w:szCs w:val="20"/>
    </w:rPr>
  </w:style>
  <w:style w:type="paragraph" w:styleId="12">
    <w:name w:val="Balloon Text"/>
    <w:basedOn w:val="1"/>
    <w:link w:val="27"/>
    <w:semiHidden/>
    <w:qFormat/>
    <w:uiPriority w:val="99"/>
    <w:rPr>
      <w:kern w:val="0"/>
      <w:sz w:val="2"/>
      <w:szCs w:val="20"/>
    </w:rPr>
  </w:style>
  <w:style w:type="paragraph" w:styleId="13">
    <w:name w:val="footer"/>
    <w:basedOn w:val="1"/>
    <w:link w:val="28"/>
    <w:qFormat/>
    <w:uiPriority w:val="99"/>
    <w:pPr>
      <w:tabs>
        <w:tab w:val="center" w:pos="4153"/>
        <w:tab w:val="right" w:pos="8306"/>
      </w:tabs>
      <w:snapToGrid w:val="0"/>
      <w:jc w:val="left"/>
    </w:pPr>
    <w:rPr>
      <w:kern w:val="0"/>
      <w:sz w:val="18"/>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0"/>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qFormat/>
    <w:uiPriority w:val="99"/>
    <w:rPr>
      <w:rFonts w:cs="Times New Roman"/>
      <w:color w:val="0563C1"/>
      <w:u w:val="single"/>
    </w:rPr>
  </w:style>
  <w:style w:type="character" w:styleId="21">
    <w:name w:val="annotation reference"/>
    <w:basedOn w:val="19"/>
    <w:qFormat/>
    <w:uiPriority w:val="99"/>
    <w:rPr>
      <w:rFonts w:cs="Times New Roman"/>
      <w:sz w:val="21"/>
    </w:rPr>
  </w:style>
  <w:style w:type="character" w:customStyle="1" w:styleId="22">
    <w:name w:val="标题 1 字符"/>
    <w:link w:val="3"/>
    <w:qFormat/>
    <w:locked/>
    <w:uiPriority w:val="99"/>
    <w:rPr>
      <w:rFonts w:cs="Times New Roman"/>
      <w:b/>
      <w:kern w:val="44"/>
      <w:sz w:val="44"/>
    </w:rPr>
  </w:style>
  <w:style w:type="character" w:customStyle="1" w:styleId="23">
    <w:name w:val="批注文字 字符"/>
    <w:link w:val="5"/>
    <w:qFormat/>
    <w:locked/>
    <w:uiPriority w:val="99"/>
    <w:rPr>
      <w:rFonts w:cs="Times New Roman"/>
      <w:kern w:val="2"/>
      <w:sz w:val="24"/>
    </w:rPr>
  </w:style>
  <w:style w:type="character" w:customStyle="1" w:styleId="24">
    <w:name w:val="正文文本缩进 字符"/>
    <w:link w:val="7"/>
    <w:qFormat/>
    <w:locked/>
    <w:uiPriority w:val="99"/>
    <w:rPr>
      <w:rFonts w:ascii="等线" w:eastAsia="等线" w:cs="Times New Roman"/>
      <w:kern w:val="2"/>
      <w:sz w:val="22"/>
    </w:rPr>
  </w:style>
  <w:style w:type="character" w:customStyle="1" w:styleId="25">
    <w:name w:val="纯文本 字符"/>
    <w:link w:val="10"/>
    <w:qFormat/>
    <w:locked/>
    <w:uiPriority w:val="0"/>
    <w:rPr>
      <w:rFonts w:ascii="宋体" w:hAnsi="Courier New" w:cs="Times New Roman"/>
      <w:kern w:val="2"/>
      <w:sz w:val="21"/>
    </w:rPr>
  </w:style>
  <w:style w:type="character" w:customStyle="1" w:styleId="26">
    <w:name w:val="日期 字符"/>
    <w:link w:val="11"/>
    <w:qFormat/>
    <w:locked/>
    <w:uiPriority w:val="99"/>
    <w:rPr>
      <w:rFonts w:cs="Times New Roman"/>
      <w:kern w:val="2"/>
      <w:sz w:val="24"/>
    </w:rPr>
  </w:style>
  <w:style w:type="character" w:customStyle="1" w:styleId="27">
    <w:name w:val="批注框文本 字符"/>
    <w:link w:val="12"/>
    <w:semiHidden/>
    <w:qFormat/>
    <w:locked/>
    <w:uiPriority w:val="99"/>
    <w:rPr>
      <w:rFonts w:cs="Times New Roman"/>
      <w:sz w:val="2"/>
    </w:rPr>
  </w:style>
  <w:style w:type="character" w:customStyle="1" w:styleId="28">
    <w:name w:val="页脚 字符"/>
    <w:link w:val="13"/>
    <w:semiHidden/>
    <w:qFormat/>
    <w:locked/>
    <w:uiPriority w:val="99"/>
    <w:rPr>
      <w:rFonts w:cs="Times New Roman"/>
      <w:sz w:val="18"/>
      <w:szCs w:val="18"/>
    </w:rPr>
  </w:style>
  <w:style w:type="character" w:customStyle="1" w:styleId="29">
    <w:name w:val="页眉 字符"/>
    <w:link w:val="14"/>
    <w:qFormat/>
    <w:locked/>
    <w:uiPriority w:val="99"/>
    <w:rPr>
      <w:rFonts w:cs="Times New Roman"/>
      <w:kern w:val="2"/>
      <w:sz w:val="18"/>
    </w:rPr>
  </w:style>
  <w:style w:type="character" w:customStyle="1" w:styleId="30">
    <w:name w:val="批注主题 字符"/>
    <w:link w:val="16"/>
    <w:qFormat/>
    <w:locked/>
    <w:uiPriority w:val="99"/>
    <w:rPr>
      <w:rFonts w:cs="Times New Roman"/>
      <w:b/>
      <w:kern w:val="2"/>
      <w:sz w:val="24"/>
    </w:rPr>
  </w:style>
  <w:style w:type="paragraph" w:customStyle="1" w:styleId="31">
    <w:name w:val="Char"/>
    <w:basedOn w:val="1"/>
    <w:qFormat/>
    <w:uiPriority w:val="99"/>
    <w:pPr>
      <w:tabs>
        <w:tab w:val="left" w:pos="360"/>
      </w:tabs>
    </w:pPr>
    <w:rPr>
      <w:sz w:val="24"/>
    </w:rPr>
  </w:style>
  <w:style w:type="character" w:customStyle="1" w:styleId="32">
    <w:name w:val="列出段落 字符"/>
    <w:link w:val="33"/>
    <w:qFormat/>
    <w:locked/>
    <w:uiPriority w:val="0"/>
  </w:style>
  <w:style w:type="paragraph" w:styleId="33">
    <w:name w:val="List Paragraph"/>
    <w:basedOn w:val="1"/>
    <w:link w:val="32"/>
    <w:qFormat/>
    <w:uiPriority w:val="34"/>
    <w:pPr>
      <w:widowControl/>
      <w:ind w:firstLine="420" w:firstLineChars="200"/>
      <w:jc w:val="left"/>
    </w:pPr>
    <w:rPr>
      <w:kern w:val="0"/>
      <w:sz w:val="20"/>
      <w:szCs w:val="20"/>
    </w:rPr>
  </w:style>
  <w:style w:type="table" w:customStyle="1" w:styleId="34">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laceholder Text"/>
    <w:semiHidden/>
    <w:qFormat/>
    <w:uiPriority w:val="99"/>
    <w:rPr>
      <w:rFonts w:cs="Times New Roman"/>
      <w:color w:val="808080"/>
    </w:rPr>
  </w:style>
  <w:style w:type="paragraph" w:customStyle="1" w:styleId="36">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7">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8">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列出段落2"/>
    <w:basedOn w:val="1"/>
    <w:qFormat/>
    <w:uiPriority w:val="99"/>
    <w:pPr>
      <w:ind w:firstLine="420" w:firstLineChars="200"/>
    </w:pPr>
    <w:rPr>
      <w:rFonts w:ascii="Calibri" w:hAnsi="Calibri"/>
      <w:szCs w:val="22"/>
    </w:rPr>
  </w:style>
  <w:style w:type="character" w:customStyle="1" w:styleId="40">
    <w:name w:val="标题 2 Char Char Char"/>
    <w:qFormat/>
    <w:uiPriority w:val="99"/>
    <w:rPr>
      <w:rFonts w:ascii="Arial" w:hAnsi="Arial" w:eastAsia="黑体"/>
      <w:b/>
      <w:kern w:val="2"/>
      <w:sz w:val="32"/>
      <w:lang w:val="en-US" w:eastAsia="zh-CN"/>
    </w:rPr>
  </w:style>
  <w:style w:type="paragraph" w:customStyle="1" w:styleId="41">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2">
    <w:name w:val="正文文本 字符"/>
    <w:link w:val="6"/>
    <w:qFormat/>
    <w:uiPriority w:val="99"/>
    <w:rPr>
      <w:kern w:val="2"/>
      <w:sz w:val="21"/>
      <w:szCs w:val="24"/>
    </w:rPr>
  </w:style>
  <w:style w:type="paragraph" w:customStyle="1" w:styleId="43">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4">
    <w:name w:val="正文2"/>
    <w:basedOn w:val="1"/>
    <w:qFormat/>
    <w:uiPriority w:val="0"/>
    <w:pPr>
      <w:spacing w:before="156" w:line="360" w:lineRule="auto"/>
      <w:ind w:firstLine="510" w:firstLineChars="200"/>
    </w:pPr>
    <w:rPr>
      <w:sz w:val="24"/>
    </w:rPr>
  </w:style>
  <w:style w:type="paragraph" w:customStyle="1" w:styleId="45">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6">
    <w:name w:val="A9"/>
    <w:qFormat/>
    <w:uiPriority w:val="0"/>
    <w:rPr>
      <w:rFonts w:cs="PSFEIH+StoneSans"/>
      <w:color w:val="262424"/>
      <w:sz w:val="20"/>
      <w:szCs w:val="20"/>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8">
    <w:name w:val="A14"/>
    <w:qFormat/>
    <w:uiPriority w:val="99"/>
    <w:rPr>
      <w:rFonts w:cs="Open Sans Light"/>
      <w:color w:val="FFFFFF"/>
      <w:sz w:val="13"/>
      <w:szCs w:val="13"/>
    </w:rPr>
  </w:style>
  <w:style w:type="paragraph" w:customStyle="1" w:styleId="49">
    <w:name w:val="表格文字"/>
    <w:basedOn w:val="1"/>
    <w:next w:val="6"/>
    <w:qFormat/>
    <w:uiPriority w:val="0"/>
    <w:rPr>
      <w:sz w:val="24"/>
    </w:rPr>
  </w:style>
  <w:style w:type="paragraph" w:customStyle="1" w:styleId="5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0C365F-F8C9-4E56-BFBB-51172B5BD24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2082</Words>
  <Characters>11868</Characters>
  <Lines>98</Lines>
  <Paragraphs>27</Paragraphs>
  <TotalTime>15</TotalTime>
  <ScaleCrop>false</ScaleCrop>
  <LinksUpToDate>false</LinksUpToDate>
  <CharactersWithSpaces>13923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2020-07-03T04:49:00Z</dcterms:created>
  <dc:creator>微软用户</dc:creator>
  <cp:lastModifiedBy>nxdlu</cp:lastModifiedBy>
  <cp:lastPrinted>2019-11-22T01:53:00Z</cp:lastPrinted>
  <dcterms:modified xsi:type="dcterms:W3CDTF">2020-07-10T08:53:58Z</dcterms:modified>
  <dc:title>淮海工学院A8-10号楼学生宿舍家具招标书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