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0" w:name="OLE_LINK2"/>
      <w:bookmarkStart w:id="1" w:name="OLE_LINK1"/>
      <w:r>
        <w:rPr>
          <w:b/>
          <w:color w:val="auto"/>
          <w:sz w:val="44"/>
          <w:szCs w:val="44"/>
          <w:highlight w:val="none"/>
        </w:rPr>
        <w:t>南京信息工程大学</w:t>
      </w:r>
      <w:bookmarkEnd w:id="0"/>
      <w:bookmarkEnd w:id="1"/>
      <w:r>
        <w:rPr>
          <w:rFonts w:hint="eastAsia"/>
          <w:b/>
          <w:color w:val="auto"/>
          <w:sz w:val="44"/>
          <w:szCs w:val="44"/>
          <w:highlight w:val="none"/>
        </w:rPr>
        <w:t>环境科学与工程学院大气模式高性能计算存储服务器设备</w:t>
      </w:r>
      <w:r>
        <w:rPr>
          <w:b/>
          <w:color w:val="auto"/>
          <w:sz w:val="44"/>
          <w:szCs w:val="44"/>
          <w:highlight w:val="none"/>
        </w:rPr>
        <w:t>采购项目招标文件</w:t>
      </w:r>
    </w:p>
    <w:p>
      <w:pPr>
        <w:pStyle w:val="2"/>
        <w:ind w:left="1470" w:right="1470"/>
        <w:rPr>
          <w:color w:val="auto"/>
          <w:highlight w:val="none"/>
        </w:rPr>
      </w:pPr>
    </w:p>
    <w:p>
      <w:pPr>
        <w:adjustRightInd w:val="0"/>
        <w:snapToGrid w:val="0"/>
        <w:spacing w:line="360" w:lineRule="auto"/>
        <w:jc w:val="center"/>
        <w:rPr>
          <w:rFonts w:ascii="宋体" w:cs="仿宋"/>
          <w:color w:val="auto"/>
          <w:sz w:val="28"/>
          <w:szCs w:val="28"/>
          <w:highlight w:val="none"/>
        </w:rPr>
      </w:pPr>
      <w:r>
        <w:rPr>
          <w:rFonts w:hint="eastAsia" w:ascii="宋体" w:hAnsi="宋体" w:cs="仿宋"/>
          <w:color w:val="auto"/>
          <w:sz w:val="28"/>
          <w:szCs w:val="28"/>
          <w:highlight w:val="none"/>
        </w:rPr>
        <w:t>（招标编号：</w:t>
      </w:r>
      <w:r>
        <w:rPr>
          <w:rFonts w:ascii="宋体" w:hAnsi="宋体" w:cs="仿宋"/>
          <w:color w:val="auto"/>
          <w:sz w:val="28"/>
          <w:szCs w:val="28"/>
          <w:highlight w:val="none"/>
          <w:u w:val="single"/>
        </w:rPr>
        <w:t>SBC20</w:t>
      </w:r>
      <w:r>
        <w:rPr>
          <w:rFonts w:hint="eastAsia" w:ascii="宋体" w:hAnsi="宋体" w:cs="仿宋"/>
          <w:color w:val="auto"/>
          <w:sz w:val="28"/>
          <w:szCs w:val="28"/>
          <w:highlight w:val="none"/>
          <w:u w:val="single"/>
        </w:rPr>
        <w:t>20</w:t>
      </w:r>
      <w:r>
        <w:rPr>
          <w:rFonts w:hint="eastAsia" w:ascii="宋体" w:hAnsi="宋体" w:cs="仿宋"/>
          <w:color w:val="auto"/>
          <w:sz w:val="28"/>
          <w:szCs w:val="28"/>
          <w:highlight w:val="none"/>
          <w:u w:val="single"/>
          <w:lang w:val="en-US" w:eastAsia="zh-CN"/>
        </w:rPr>
        <w:t>018</w:t>
      </w:r>
      <w:r>
        <w:rPr>
          <w:rFonts w:hint="eastAsia" w:ascii="宋体" w:hAnsi="宋体" w:cs="仿宋"/>
          <w:color w:val="auto"/>
          <w:sz w:val="28"/>
          <w:szCs w:val="28"/>
          <w:highlight w:val="none"/>
        </w:rPr>
        <w:t>）</w:t>
      </w: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w:t>
      </w:r>
      <w:r>
        <w:rPr>
          <w:rFonts w:hint="eastAsia" w:ascii="宋体" w:hAnsi="宋体" w:cs="仿宋"/>
          <w:color w:val="auto"/>
          <w:sz w:val="28"/>
          <w:szCs w:val="28"/>
          <w:highlight w:val="none"/>
          <w:u w:val="single"/>
          <w:lang w:val="en-US" w:eastAsia="zh-CN"/>
        </w:rPr>
        <w:t>5</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28</w:t>
      </w:r>
      <w:r>
        <w:rPr>
          <w:rFonts w:hint="eastAsia" w:ascii="宋体" w:hAnsi="宋体" w:cs="仿宋"/>
          <w:color w:val="auto"/>
          <w:sz w:val="28"/>
          <w:szCs w:val="28"/>
          <w:highlight w:val="none"/>
          <w:u w:val="single"/>
        </w:rPr>
        <w:t>日</w:t>
      </w:r>
      <w:r>
        <w:rPr>
          <w:rFonts w:ascii="宋体" w:hAnsi="宋体" w:cs="仿宋"/>
          <w:color w:val="auto"/>
          <w:sz w:val="28"/>
          <w:szCs w:val="28"/>
          <w:highlight w:val="none"/>
          <w:u w:val="single"/>
        </w:rPr>
        <w:t>1</w:t>
      </w:r>
      <w:r>
        <w:rPr>
          <w:rFonts w:hint="eastAsia" w:ascii="宋体" w:cs="仿宋"/>
          <w:color w:val="auto"/>
          <w:sz w:val="28"/>
          <w:szCs w:val="28"/>
          <w:highlight w:val="none"/>
          <w:u w:val="single"/>
          <w:lang w:val="en-US" w:eastAsia="zh-CN"/>
        </w:rPr>
        <w:t>4</w:t>
      </w:r>
      <w:bookmarkStart w:id="12" w:name="_GoBack"/>
      <w:bookmarkEnd w:id="12"/>
      <w:r>
        <w:rPr>
          <w:rFonts w:hint="eastAsia" w:ascii="宋体" w:hAnsi="宋体" w:cs="仿宋"/>
          <w:color w:val="auto"/>
          <w:sz w:val="28"/>
          <w:szCs w:val="28"/>
          <w:highlight w:val="none"/>
          <w:u w:val="single"/>
        </w:rPr>
        <w:t>：</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w:t>
      </w:r>
      <w:r>
        <w:rPr>
          <w:rFonts w:hint="eastAsia" w:ascii="宋体" w:hAnsi="宋体" w:cs="仿宋"/>
          <w:color w:val="auto"/>
          <w:sz w:val="28"/>
          <w:szCs w:val="28"/>
          <w:highlight w:val="none"/>
          <w:u w:val="single"/>
        </w:rPr>
        <w:t>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hint="eastAsia" w:eastAsia="宋体"/>
          <w:color w:val="auto"/>
          <w:sz w:val="24"/>
          <w:highlight w:val="none"/>
          <w:lang w:val="en-US" w:eastAsia="zh-CN"/>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科研工作需要，受校实验室与设备管理处委托，就</w:t>
      </w:r>
      <w:r>
        <w:rPr>
          <w:rFonts w:hint="eastAsia" w:ascii="宋体" w:hAnsi="宋体"/>
          <w:color w:val="auto"/>
          <w:kern w:val="2"/>
          <w:sz w:val="28"/>
          <w:szCs w:val="28"/>
          <w:highlight w:val="none"/>
          <w:lang w:val="en-US" w:eastAsia="zh-CN"/>
        </w:rPr>
        <w:t>环境科学与工程学院</w:t>
      </w:r>
      <w:r>
        <w:rPr>
          <w:rFonts w:hint="eastAsia"/>
          <w:color w:val="auto"/>
          <w:sz w:val="28"/>
          <w:szCs w:val="28"/>
          <w:highlight w:val="none"/>
        </w:rPr>
        <w:t>大气模式高性能计算存储服务器</w:t>
      </w:r>
      <w:r>
        <w:rPr>
          <w:rFonts w:hint="eastAsia" w:ascii="宋体" w:hAnsi="宋体" w:cs="宋体"/>
          <w:color w:val="auto"/>
          <w:kern w:val="0"/>
          <w:sz w:val="28"/>
          <w:szCs w:val="28"/>
          <w:highlight w:val="none"/>
        </w:rPr>
        <w:t>设备</w:t>
      </w:r>
      <w:r>
        <w:rPr>
          <w:rFonts w:ascii="宋体" w:hAnsi="宋体"/>
          <w:color w:val="auto"/>
          <w:sz w:val="28"/>
          <w:szCs w:val="28"/>
          <w:highlight w:val="none"/>
        </w:rPr>
        <w:t>采购项目进行公开招标，欢迎符合条件的供应商报名投标，现将有关情况说明如下：</w:t>
      </w:r>
    </w:p>
    <w:p>
      <w:pPr>
        <w:pStyle w:val="33"/>
        <w:spacing w:line="360" w:lineRule="auto"/>
        <w:ind w:firstLine="0" w:firstLineChars="0"/>
        <w:jc w:val="center"/>
        <w:rPr>
          <w:rFonts w:eastAsia="黑体"/>
          <w:color w:val="auto"/>
          <w:sz w:val="28"/>
          <w:szCs w:val="28"/>
          <w:highlight w:val="none"/>
        </w:rPr>
      </w:pPr>
      <w:r>
        <w:rPr>
          <w:rFonts w:eastAsia="黑体"/>
          <w:color w:val="auto"/>
          <w:sz w:val="28"/>
          <w:szCs w:val="28"/>
          <w:highlight w:val="none"/>
        </w:rPr>
        <w:t>一、招标项目名称及简要说明</w:t>
      </w:r>
    </w:p>
    <w:p>
      <w:pPr>
        <w:pStyle w:val="48"/>
        <w:spacing w:line="360" w:lineRule="auto"/>
        <w:ind w:firstLine="560"/>
        <w:rPr>
          <w:rFonts w:hint="eastAsia" w:ascii="宋体" w:hAnsi="宋体"/>
          <w:color w:val="auto"/>
          <w:sz w:val="28"/>
          <w:szCs w:val="28"/>
          <w:highlight w:val="none"/>
        </w:rPr>
      </w:pPr>
      <w:r>
        <w:rPr>
          <w:rFonts w:ascii="宋体" w:hAnsi="宋体"/>
          <w:color w:val="auto"/>
          <w:kern w:val="2"/>
          <w:sz w:val="28"/>
          <w:szCs w:val="28"/>
          <w:highlight w:val="none"/>
        </w:rPr>
        <w:t>1.项目名称：南京信息工程大学</w:t>
      </w:r>
      <w:r>
        <w:rPr>
          <w:rFonts w:hint="eastAsia" w:ascii="宋体" w:hAnsi="宋体"/>
          <w:color w:val="auto"/>
          <w:kern w:val="2"/>
          <w:sz w:val="28"/>
          <w:szCs w:val="28"/>
          <w:highlight w:val="none"/>
          <w:lang w:val="en-US" w:eastAsia="zh-CN"/>
        </w:rPr>
        <w:t>环境科学与工程学院</w:t>
      </w:r>
      <w:r>
        <w:rPr>
          <w:rFonts w:hint="eastAsia"/>
          <w:color w:val="auto"/>
          <w:sz w:val="28"/>
          <w:szCs w:val="28"/>
          <w:highlight w:val="none"/>
        </w:rPr>
        <w:t>大气模式高性能计算存储服务器</w:t>
      </w:r>
      <w:r>
        <w:rPr>
          <w:rFonts w:hint="eastAsia" w:ascii="宋体" w:hAnsi="宋体" w:cs="宋体"/>
          <w:color w:val="auto"/>
          <w:sz w:val="28"/>
          <w:szCs w:val="28"/>
          <w:highlight w:val="none"/>
        </w:rPr>
        <w:t>设备采购</w:t>
      </w:r>
      <w:r>
        <w:rPr>
          <w:rFonts w:hint="eastAsia" w:ascii="宋体" w:hAnsi="宋体" w:cs="宋体"/>
          <w:color w:val="auto"/>
          <w:sz w:val="28"/>
          <w:szCs w:val="28"/>
          <w:highlight w:val="none"/>
          <w:lang w:val="en-US" w:eastAsia="zh-CN"/>
        </w:rPr>
        <w:t>项目</w:t>
      </w:r>
      <w:r>
        <w:rPr>
          <w:rFonts w:hint="eastAsia" w:ascii="宋体" w:hAnsi="宋体"/>
          <w:color w:val="auto"/>
          <w:sz w:val="28"/>
          <w:szCs w:val="28"/>
          <w:highlight w:val="none"/>
        </w:rPr>
        <w:t>。</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2.项目简要说明：</w:t>
      </w:r>
      <w:r>
        <w:rPr>
          <w:rFonts w:ascii="宋体" w:hAnsi="宋体"/>
          <w:color w:val="auto"/>
          <w:sz w:val="28"/>
          <w:szCs w:val="28"/>
          <w:highlight w:val="none"/>
        </w:rPr>
        <w:t>本次招标购置的设备主要用于学校</w:t>
      </w:r>
      <w:r>
        <w:rPr>
          <w:rFonts w:hint="eastAsia" w:ascii="宋体" w:hAnsi="宋体"/>
          <w:color w:val="auto"/>
          <w:sz w:val="28"/>
          <w:szCs w:val="28"/>
          <w:highlight w:val="none"/>
        </w:rPr>
        <w:t>环境科学与工程</w:t>
      </w:r>
      <w:r>
        <w:rPr>
          <w:rFonts w:hint="eastAsia" w:ascii="宋体" w:hAnsi="宋体" w:cs="宋体"/>
          <w:color w:val="auto"/>
          <w:sz w:val="28"/>
          <w:szCs w:val="28"/>
          <w:highlight w:val="none"/>
        </w:rPr>
        <w:t>学院学院</w:t>
      </w:r>
      <w:r>
        <w:rPr>
          <w:rFonts w:hint="eastAsia" w:ascii="宋体" w:hAnsi="宋体"/>
          <w:color w:val="auto"/>
          <w:sz w:val="28"/>
          <w:szCs w:val="28"/>
          <w:highlight w:val="none"/>
        </w:rPr>
        <w:t>相关实验</w:t>
      </w:r>
      <w:r>
        <w:rPr>
          <w:rFonts w:ascii="宋体" w:hAnsi="宋体"/>
          <w:color w:val="auto"/>
          <w:sz w:val="28"/>
          <w:szCs w:val="28"/>
          <w:highlight w:val="none"/>
        </w:rPr>
        <w:t>研究。主要采购内容有：</w:t>
      </w:r>
      <w:r>
        <w:rPr>
          <w:rFonts w:hint="eastAsia"/>
          <w:color w:val="auto"/>
          <w:sz w:val="28"/>
          <w:szCs w:val="28"/>
          <w:highlight w:val="none"/>
        </w:rPr>
        <w:t>大气模式高性能计算存储服务器</w:t>
      </w:r>
      <w:r>
        <w:rPr>
          <w:rFonts w:hint="eastAsia" w:ascii="宋体" w:hAnsi="宋体"/>
          <w:color w:val="auto"/>
          <w:sz w:val="28"/>
          <w:szCs w:val="28"/>
          <w:highlight w:val="none"/>
        </w:rPr>
        <w:t>，包括管理存储节点1套，计算节点6套，管理网络1套，计算网络1套，集群管理软件1套，操作系统、并行计算、编译等相关软件1套。</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2"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3" w:name="_Hlk9866054"/>
      <w:r>
        <w:rPr>
          <w:rFonts w:hint="eastAsia" w:ascii="宋体" w:hAnsi="宋体"/>
          <w:color w:val="auto"/>
          <w:sz w:val="28"/>
          <w:szCs w:val="28"/>
          <w:highlight w:val="none"/>
        </w:rPr>
        <w:t>.招标文件由我校采购人、项目归口管理部门和财务处联合起草；经学校相关职能部门会审通过形成正式招标文件。同时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招标过程接受学校纪委办监督检查。</w:t>
      </w:r>
    </w:p>
    <w:p>
      <w:pPr>
        <w:adjustRightInd w:val="0"/>
        <w:snapToGrid w:val="0"/>
        <w:spacing w:beforeLines="100"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：需提供参加本次投标活动前近六个月内（2019年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：提供参加本次投标活动前近六个月内（2019年</w:t>
      </w:r>
      <w:r>
        <w:rPr>
          <w:rFonts w:hint="eastAsia" w:ascii="宋体" w:hAnsi="宋体"/>
          <w:color w:val="auto"/>
          <w:sz w:val="28"/>
          <w:szCs w:val="28"/>
          <w:highlight w:val="none"/>
          <w:lang w:val="en-US" w:eastAsia="zh-CN"/>
        </w:rPr>
        <w:t>11</w:t>
      </w:r>
      <w:r>
        <w:rPr>
          <w:rFonts w:hint="eastAsia" w:ascii="宋体" w:hAnsi="宋体"/>
          <w:color w:val="auto"/>
          <w:sz w:val="28"/>
          <w:szCs w:val="28"/>
          <w:highlight w:val="non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w:t>
      </w:r>
      <w:r>
        <w:rPr>
          <w:rFonts w:hint="eastAsia" w:ascii="宋体" w:hAnsi="宋体" w:cs="宋体"/>
          <w:color w:val="auto"/>
          <w:sz w:val="28"/>
          <w:szCs w:val="28"/>
          <w:highlight w:val="none"/>
        </w:rPr>
        <w:t>日起</w:t>
      </w:r>
      <w:r>
        <w:rPr>
          <w:rFonts w:hint="eastAsia" w:ascii="宋体" w:hAnsi="宋体" w:cs="宋体"/>
          <w:color w:val="auto"/>
          <w:sz w:val="28"/>
          <w:szCs w:val="28"/>
          <w:highlight w:val="none"/>
          <w:lang w:val="en-US" w:eastAsia="zh-CN"/>
        </w:rPr>
        <w:t>45</w:t>
      </w:r>
      <w:r>
        <w:rPr>
          <w:rFonts w:hint="eastAsia" w:ascii="宋体" w:hAnsi="宋体" w:cs="宋体"/>
          <w:color w:val="auto"/>
          <w:sz w:val="28"/>
          <w:szCs w:val="28"/>
          <w:highlight w:val="none"/>
        </w:rPr>
        <w:t>天内</w:t>
      </w:r>
      <w:r>
        <w:rPr>
          <w:rFonts w:hint="eastAsia" w:ascii="宋体" w:hAnsi="宋体" w:cs="宋体"/>
          <w:color w:val="auto"/>
          <w:sz w:val="28"/>
          <w:szCs w:val="28"/>
          <w:highlight w:val="none"/>
        </w:rPr>
        <w:t>完成设备运输（含上、下力）、安装调试等，所有费用由供方承担，安装调试完毕后需方用户负责试用并签收。</w:t>
      </w:r>
    </w:p>
    <w:p>
      <w:pPr>
        <w:pStyle w:val="41"/>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w:t>
      </w:r>
      <w:r>
        <w:rPr>
          <w:rFonts w:hint="eastAsia"/>
          <w:color w:val="auto"/>
          <w:kern w:val="2"/>
          <w:sz w:val="28"/>
          <w:szCs w:val="28"/>
          <w:highlight w:val="none"/>
          <w:lang w:val="en-US" w:eastAsia="zh-CN"/>
        </w:rPr>
        <w:t>65</w:t>
      </w:r>
      <w:r>
        <w:rPr>
          <w:rFonts w:hint="eastAsia"/>
          <w:color w:val="auto"/>
          <w:kern w:val="2"/>
          <w:sz w:val="28"/>
          <w:szCs w:val="28"/>
          <w:highlight w:val="none"/>
        </w:rPr>
        <w:t>万元，本项目只接受人民币报价。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七、进口货物的外贸代理公司由投标人（中标人）自行选择，代理费由投标人与所选外贸公司协商确定并含在报价中。我校协助办理入关、免税等相关证明材料手续。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color w:val="auto"/>
          <w:sz w:val="28"/>
          <w:szCs w:val="28"/>
          <w:highlight w:val="none"/>
        </w:rPr>
      </w:pPr>
      <w:bookmarkStart w:id="4"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投标人根据我校招标公告向我校财务处招标科提出报名后，从我处取得正式招标文件（纸质或电子版），并按招标文件的要求认真编制投标文件。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我处收到标书后及时发短信告知）。</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b w:val="0"/>
          <w:bCs w:val="0"/>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w:t>
      </w:r>
      <w:r>
        <w:rPr>
          <w:rFonts w:hint="eastAsia" w:ascii="宋体" w:hAnsi="宋体" w:cs="宋体"/>
          <w:b w:val="0"/>
          <w:bCs w:val="0"/>
          <w:color w:val="auto"/>
          <w:sz w:val="28"/>
          <w:szCs w:val="28"/>
          <w:highlight w:val="none"/>
        </w:rPr>
        <w:t>明材料</w:t>
      </w:r>
      <w:r>
        <w:rPr>
          <w:rFonts w:hint="eastAsia"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提供合同复印件，原件备查</w:t>
      </w:r>
      <w:r>
        <w:rPr>
          <w:rFonts w:hint="eastAsia" w:ascii="宋体" w:hAnsi="宋体" w:cs="宋体"/>
          <w:b w:val="0"/>
          <w:bCs w:val="0"/>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color w:val="auto"/>
          <w:sz w:val="28"/>
          <w:szCs w:val="28"/>
          <w:highlight w:val="none"/>
        </w:rPr>
      </w:pPr>
      <w:bookmarkStart w:id="5" w:name="_Hlk9866206"/>
      <w:r>
        <w:rPr>
          <w:rFonts w:hint="eastAsia" w:ascii="黑体" w:hAnsi="黑体" w:eastAsia="黑体" w:cs="宋体"/>
          <w:color w:val="auto"/>
          <w:sz w:val="28"/>
          <w:szCs w:val="28"/>
          <w:highlight w:val="none"/>
        </w:rPr>
        <w:t>四、开标程序</w:t>
      </w:r>
    </w:p>
    <w:bookmarkEnd w:id="5"/>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lang w:val="en-US" w:eastAsia="zh-CN"/>
        </w:rPr>
        <w:t>18</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w:t>
      </w:r>
      <w:r>
        <w:rPr>
          <w:rFonts w:ascii="宋体" w:hAnsi="宋体" w:cs="宋体"/>
          <w:color w:val="auto"/>
          <w:sz w:val="28"/>
          <w:szCs w:val="28"/>
          <w:highlight w:val="none"/>
        </w:rPr>
        <w:t>5000</w:t>
      </w:r>
      <w:r>
        <w:rPr>
          <w:rFonts w:hint="eastAsia" w:ascii="宋体" w:hAnsi="宋体" w:cs="宋体"/>
          <w:color w:val="auto"/>
          <w:sz w:val="28"/>
          <w:szCs w:val="28"/>
          <w:highlight w:val="none"/>
        </w:rPr>
        <w:t>元履约保证金并前来我处领取的《中标通知书》（一式二份）。</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w:t>
      </w:r>
      <w:r>
        <w:rPr>
          <w:rFonts w:hint="eastAsia" w:ascii="宋体" w:hAnsi="宋体" w:cs="宋体"/>
          <w:color w:val="auto"/>
          <w:sz w:val="28"/>
          <w:szCs w:val="28"/>
          <w:highlight w:val="none"/>
        </w:rPr>
        <w:t>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）我处不接收现金或支付宝等方式交费。各投标人务必通过单位银行基本账户提前将资料费汇至我校以下账号：户名：南京信息工程大学；账号：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lang w:val="en-US" w:eastAsia="zh-CN"/>
        </w:rPr>
        <w:t>18</w:t>
      </w:r>
      <w:r>
        <w:rPr>
          <w:rFonts w:hint="eastAsia" w:ascii="宋体" w:hAnsi="宋体" w:cs="宋体"/>
          <w:b/>
          <w:color w:val="auto"/>
          <w:sz w:val="28"/>
          <w:szCs w:val="28"/>
          <w:highlight w:val="none"/>
        </w:rPr>
        <w:t>资料费”</w:t>
      </w:r>
      <w:r>
        <w:rPr>
          <w:rFonts w:hint="eastAsia" w:ascii="宋体" w:hAnsi="宋体" w:cs="宋体"/>
          <w:color w:val="auto"/>
          <w:sz w:val="28"/>
          <w:szCs w:val="28"/>
          <w:highlight w:val="none"/>
        </w:rPr>
        <w:t>字样，并尽量将投标单位的纳税识别号一并备注在转账留言栏中</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以便</w:t>
      </w:r>
      <w:r>
        <w:rPr>
          <w:rFonts w:hint="eastAsia" w:ascii="宋体" w:hAnsi="宋体" w:cs="宋体"/>
          <w:color w:val="auto"/>
          <w:sz w:val="28"/>
          <w:szCs w:val="28"/>
          <w:highlight w:val="none"/>
          <w:lang w:val="en-US" w:eastAsia="zh-CN"/>
        </w:rPr>
        <w:t>开</w:t>
      </w:r>
      <w:r>
        <w:rPr>
          <w:rFonts w:hint="eastAsia" w:ascii="宋体" w:hAnsi="宋体" w:cs="宋体"/>
          <w:color w:val="auto"/>
          <w:sz w:val="28"/>
          <w:szCs w:val="28"/>
          <w:highlight w:val="none"/>
        </w:rPr>
        <w:t>票和对账</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请各单位在报名时将</w:t>
      </w:r>
      <w:r>
        <w:rPr>
          <w:rFonts w:hint="eastAsia" w:ascii="宋体" w:hAnsi="宋体" w:cs="宋体"/>
          <w:color w:val="auto"/>
          <w:sz w:val="28"/>
          <w:szCs w:val="28"/>
          <w:highlight w:val="none"/>
        </w:rPr>
        <w:t>转账回单复印件务必放入《投标文件》中（无此证明，一律作为无效标处理）。</w:t>
      </w:r>
    </w:p>
    <w:p>
      <w:pPr>
        <w:spacing w:line="360" w:lineRule="auto"/>
        <w:ind w:firstLine="548" w:firstLineChars="196"/>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lang w:val="en-US" w:eastAsia="zh-CN"/>
        </w:rPr>
        <w:t>我校提供电子普通发票，招标科定期到财务处财务科对账（时间约半个月）。请投标单位在邮件报名时提供单位纳税人识别号，并确保联系人手机号及邮箱状态正常，以便接收电子发票信息。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ascii="宋体" w:hAnsi="宋体" w:cs="宋体"/>
          <w:color w:val="auto"/>
          <w:sz w:val="28"/>
          <w:szCs w:val="28"/>
          <w:highlight w:val="none"/>
          <w:u w:val="single"/>
        </w:rPr>
        <w:t>5000</w:t>
      </w:r>
      <w:r>
        <w:rPr>
          <w:rFonts w:hint="eastAsia" w:ascii="宋体" w:hAnsi="宋体" w:cs="宋体"/>
          <w:color w:val="auto"/>
          <w:sz w:val="28"/>
          <w:szCs w:val="28"/>
          <w:highlight w:val="none"/>
          <w:u w:val="single"/>
        </w:rPr>
        <w:t>元</w:t>
      </w:r>
      <w:r>
        <w:rPr>
          <w:rFonts w:hint="eastAsia" w:ascii="宋体" w:hAnsi="宋体" w:cs="宋体"/>
          <w:color w:val="auto"/>
          <w:sz w:val="28"/>
          <w:szCs w:val="28"/>
          <w:highlight w:val="none"/>
        </w:rPr>
        <w:t>整。</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color w:val="auto"/>
          <w:sz w:val="28"/>
          <w:szCs w:val="28"/>
          <w:highlight w:val="none"/>
        </w:rPr>
        <w:t>5000</w:t>
      </w:r>
      <w:r>
        <w:rPr>
          <w:rFonts w:hint="eastAsia" w:ascii="宋体" w:hAnsi="宋体" w:cs="宋体"/>
          <w:color w:val="auto"/>
          <w:sz w:val="28"/>
          <w:szCs w:val="28"/>
          <w:highlight w:val="none"/>
        </w:rPr>
        <w:t>元履约保证金交款账号同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）履约保证金交退咨询：财务处财务科（体育馆北面，南气宾馆东侧的大学生创业中心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号楼二楼财务大厅）。</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）如中标单位有下列情况之一，不予退还履约保证金，我处将其列入招投标诚信“黑名单”，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年内不得到我处从事任何投标活动。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Lines="100" w:afterLines="100" w:line="360" w:lineRule="auto"/>
        <w:jc w:val="center"/>
        <w:rPr>
          <w:rFonts w:ascii="黑体" w:hAnsi="黑体" w:eastAsia="黑体"/>
          <w:color w:val="auto"/>
          <w:sz w:val="28"/>
          <w:szCs w:val="28"/>
          <w:highlight w:val="none"/>
        </w:rPr>
      </w:pPr>
      <w:bookmarkStart w:id="6"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答疑时间：</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w:t>
      </w:r>
      <w:r>
        <w:rPr>
          <w:rFonts w:hint="eastAsia" w:ascii="宋体" w:hAnsi="宋体"/>
          <w:b/>
          <w:color w:val="auto"/>
          <w:sz w:val="28"/>
          <w:szCs w:val="28"/>
          <w:highlight w:val="none"/>
          <w:u w:val="single"/>
          <w:lang w:val="en-US" w:eastAsia="zh-CN"/>
        </w:rPr>
        <w:t>06</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03</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（因财务处招标科人手少，为减少所提问题的文字二次输入工作量，质疑函请勿以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，邮寄材料务必于投标截止时间前送达我处，请各投标单位自行安排邮寄时间，投标截止时间后，招标人不受理任何投标文件。（友情提醒：疫情期间快递耗时可能比平时长，请各投标单位予以充分考虑）。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（若后期有调整，将会将调整信息发送到各投标单位报名邮箱，请各投标单位在投标前密切关注报名邮箱）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（2）投标截止时间：2020年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17</w:t>
      </w:r>
      <w:r>
        <w:rPr>
          <w:rFonts w:hint="eastAsia" w:ascii="宋体" w:hAnsi="宋体"/>
          <w:color w:val="auto"/>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东苑大学生创业中心3号楼（体育馆北面三层小楼）210室</w:t>
      </w:r>
      <w:r>
        <w:rPr>
          <w:rFonts w:hint="eastAsia" w:ascii="宋体" w:hAnsi="宋体" w:cs="宋体"/>
          <w:color w:val="auto"/>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（1）开标、唱标：2020年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17</w:t>
      </w:r>
      <w:r>
        <w:rPr>
          <w:rFonts w:hint="eastAsia" w:ascii="宋体" w:hAnsi="宋体"/>
          <w:color w:val="auto"/>
          <w:sz w:val="28"/>
          <w:szCs w:val="28"/>
          <w:highlight w:val="none"/>
        </w:rPr>
        <w:t>日09：00；</w:t>
      </w:r>
      <w:r>
        <w:rPr>
          <w:rFonts w:hint="eastAsia" w:ascii="宋体" w:hAnsi="宋体"/>
          <w:color w:val="auto"/>
          <w:sz w:val="28"/>
          <w:szCs w:val="28"/>
          <w:highlight w:val="none"/>
        </w:rPr>
        <w:t>(不安排公开开标、唱标，由财务处招标科工作人员在我校纪委办监督见证下进行，开标、唱标工作全程视频监控并录像)。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6"/>
      <w:r>
        <w:rPr>
          <w:rFonts w:hint="eastAsia" w:ascii="宋体" w:hAnsi="宋体"/>
          <w:color w:val="auto"/>
          <w:sz w:val="28"/>
          <w:szCs w:val="28"/>
          <w:highlight w:val="none"/>
        </w:rPr>
        <w:t>用户单位联系电话：</w:t>
      </w:r>
      <w:r>
        <w:rPr>
          <w:rFonts w:hint="eastAsia" w:ascii="宋体" w:hAnsi="宋体"/>
          <w:color w:val="auto"/>
          <w:sz w:val="28"/>
          <w:szCs w:val="28"/>
          <w:highlight w:val="none"/>
          <w:lang w:val="en-US" w:eastAsia="zh-CN"/>
        </w:rPr>
        <w:t>18851903788</w:t>
      </w:r>
      <w:r>
        <w:rPr>
          <w:rFonts w:hint="eastAsia" w:ascii="宋体" w:hAnsi="宋体"/>
          <w:color w:val="auto"/>
          <w:sz w:val="28"/>
          <w:szCs w:val="28"/>
          <w:highlight w:val="none"/>
        </w:rPr>
        <w:t>，联系人：</w:t>
      </w:r>
      <w:r>
        <w:rPr>
          <w:rFonts w:hint="eastAsia" w:ascii="宋体" w:hAnsi="宋体"/>
          <w:color w:val="auto"/>
          <w:sz w:val="28"/>
          <w:szCs w:val="28"/>
          <w:highlight w:val="none"/>
          <w:lang w:val="en-US" w:eastAsia="zh-CN"/>
        </w:rPr>
        <w:t>谢</w:t>
      </w:r>
      <w:r>
        <w:rPr>
          <w:rFonts w:hint="eastAsia" w:ascii="宋体" w:hAnsi="宋体"/>
          <w:color w:val="auto"/>
          <w:sz w:val="28"/>
          <w:szCs w:val="28"/>
          <w:highlight w:val="none"/>
        </w:rPr>
        <w:t>老师。</w:t>
      </w:r>
    </w:p>
    <w:p>
      <w:pPr>
        <w:pStyle w:val="2"/>
        <w:ind w:left="0" w:leftChars="0" w:right="0" w:rightChars="0"/>
        <w:rPr>
          <w:rFonts w:ascii="宋体" w:hAnsi="宋体"/>
          <w:color w:val="auto"/>
          <w:sz w:val="28"/>
          <w:szCs w:val="28"/>
          <w:highlight w:val="none"/>
        </w:rPr>
      </w:pPr>
    </w:p>
    <w:p>
      <w:pPr>
        <w:tabs>
          <w:tab w:val="left" w:pos="1260"/>
        </w:tabs>
        <w:spacing w:line="360" w:lineRule="auto"/>
        <w:ind w:left="1959" w:leftChars="933" w:firstLine="2530" w:firstLineChars="900"/>
        <w:rPr>
          <w:rFonts w:ascii="宋体"/>
          <w:b/>
          <w:color w:val="auto"/>
          <w:sz w:val="28"/>
          <w:szCs w:val="28"/>
          <w:highlight w:val="none"/>
        </w:rPr>
      </w:pPr>
      <w:bookmarkStart w:id="8" w:name="_Hlk9866962"/>
      <w:r>
        <w:rPr>
          <w:rFonts w:hint="eastAsia" w:ascii="宋体" w:hAnsi="宋体"/>
          <w:b/>
          <w:color w:val="auto"/>
          <w:sz w:val="28"/>
          <w:szCs w:val="28"/>
          <w:highlight w:val="none"/>
        </w:rPr>
        <w:t>南京信息工程大学财务处</w:t>
      </w:r>
    </w:p>
    <w:p>
      <w:pPr>
        <w:pStyle w:val="9"/>
        <w:spacing w:line="360" w:lineRule="auto"/>
        <w:ind w:left="99" w:leftChars="47" w:firstLine="4919" w:firstLineChars="1750"/>
        <w:rPr>
          <w:rStyle w:val="40"/>
          <w:rFonts w:ascii="宋体" w:hAnsi="Times New Roman" w:eastAsia="宋体"/>
          <w:color w:val="auto"/>
          <w:sz w:val="28"/>
          <w:szCs w:val="28"/>
          <w:highlight w:val="none"/>
        </w:rPr>
      </w:pPr>
      <w:r>
        <w:rPr>
          <w:rStyle w:val="40"/>
          <w:rFonts w:ascii="宋体" w:hAnsi="宋体" w:eastAsia="宋体"/>
          <w:color w:val="auto"/>
          <w:sz w:val="28"/>
          <w:szCs w:val="28"/>
          <w:highlight w:val="none"/>
        </w:rPr>
        <w:t>20</w:t>
      </w:r>
      <w:r>
        <w:rPr>
          <w:rStyle w:val="40"/>
          <w:rFonts w:hint="eastAsia" w:ascii="宋体" w:hAnsi="宋体" w:eastAsia="宋体"/>
          <w:color w:val="auto"/>
          <w:sz w:val="28"/>
          <w:szCs w:val="28"/>
          <w:highlight w:val="none"/>
        </w:rPr>
        <w:t>20年0</w:t>
      </w:r>
      <w:r>
        <w:rPr>
          <w:rStyle w:val="40"/>
          <w:rFonts w:hint="eastAsia" w:ascii="宋体" w:hAnsi="宋体"/>
          <w:color w:val="auto"/>
          <w:sz w:val="28"/>
          <w:szCs w:val="28"/>
          <w:highlight w:val="none"/>
          <w:lang w:val="en-US"/>
        </w:rPr>
        <w:t>5</w:t>
      </w:r>
      <w:r>
        <w:rPr>
          <w:rStyle w:val="40"/>
          <w:rFonts w:hint="eastAsia" w:ascii="宋体" w:hAnsi="宋体" w:eastAsia="宋体"/>
          <w:color w:val="auto"/>
          <w:sz w:val="28"/>
          <w:szCs w:val="28"/>
          <w:highlight w:val="none"/>
        </w:rPr>
        <w:t>月</w:t>
      </w:r>
      <w:r>
        <w:rPr>
          <w:rStyle w:val="40"/>
          <w:rFonts w:hint="eastAsia" w:ascii="宋体" w:hAnsi="宋体"/>
          <w:color w:val="auto"/>
          <w:sz w:val="28"/>
          <w:szCs w:val="28"/>
          <w:highlight w:val="none"/>
          <w:lang w:val="en-US"/>
        </w:rPr>
        <w:t>28</w:t>
      </w:r>
      <w:r>
        <w:rPr>
          <w:rStyle w:val="40"/>
          <w:rFonts w:hint="eastAsia" w:ascii="宋体" w:hAnsi="宋体" w:eastAsia="宋体"/>
          <w:color w:val="auto"/>
          <w:sz w:val="28"/>
          <w:szCs w:val="28"/>
          <w:highlight w:val="none"/>
        </w:rPr>
        <w:t>日</w:t>
      </w:r>
    </w:p>
    <w:bookmarkEnd w:id="8"/>
    <w:p>
      <w:pPr>
        <w:pStyle w:val="8"/>
        <w:adjustRightInd w:val="0"/>
        <w:snapToGrid w:val="0"/>
        <w:spacing w:before="120" w:after="120" w:line="360" w:lineRule="auto"/>
        <w:rPr>
          <w:rFonts w:ascii="Times New Roman" w:hAnsi="Times New Roman"/>
          <w:color w:val="auto"/>
          <w:sz w:val="24"/>
          <w:szCs w:val="24"/>
          <w:highlight w:val="none"/>
        </w:rPr>
      </w:pPr>
      <w:r>
        <w:rPr>
          <w:rStyle w:val="40"/>
          <w:rFonts w:ascii="宋体" w:hAnsi="Times New Roman" w:eastAsia="宋体"/>
          <w:b w:val="0"/>
          <w:color w:val="auto"/>
          <w:sz w:val="28"/>
          <w:szCs w:val="28"/>
          <w:highlight w:val="none"/>
        </w:rPr>
        <w:br w:type="page"/>
      </w:r>
      <w:bookmarkStart w:id="9" w:name="_Toc462564147"/>
      <w:r>
        <w:rPr>
          <w:rFonts w:ascii="Times New Roman" w:hAnsi="Times New Roman"/>
          <w:color w:val="auto"/>
          <w:sz w:val="24"/>
          <w:szCs w:val="24"/>
          <w:highlight w:val="none"/>
        </w:rPr>
        <w:t>附件1：</w:t>
      </w:r>
    </w:p>
    <w:p>
      <w:pPr>
        <w:spacing w:line="360" w:lineRule="auto"/>
        <w:ind w:left="180"/>
        <w:jc w:val="center"/>
        <w:rPr>
          <w:rFonts w:hint="eastAsia" w:hAnsi="宋体"/>
          <w:b/>
          <w:color w:val="auto"/>
          <w:sz w:val="28"/>
          <w:szCs w:val="28"/>
          <w:highlight w:val="none"/>
        </w:rPr>
      </w:pPr>
      <w:r>
        <w:rPr>
          <w:rFonts w:hint="eastAsia" w:hAnsi="宋体"/>
          <w:b/>
          <w:color w:val="auto"/>
          <w:sz w:val="28"/>
          <w:szCs w:val="28"/>
          <w:highlight w:val="none"/>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513"/>
        <w:gridCol w:w="2554"/>
        <w:gridCol w:w="1425"/>
        <w:gridCol w:w="1425"/>
        <w:gridCol w:w="815"/>
        <w:gridCol w:w="3503"/>
      </w:tblGrid>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分包</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主要配置或技术参数</w:t>
            </w:r>
          </w:p>
        </w:tc>
      </w:tr>
      <w:tr>
        <w:tblPrEx>
          <w:tblCellMar>
            <w:top w:w="15" w:type="dxa"/>
            <w:left w:w="15" w:type="dxa"/>
            <w:bottom w:w="15" w:type="dxa"/>
            <w:right w:w="15" w:type="dxa"/>
          </w:tblCellMar>
        </w:tblPrEx>
        <w:tc>
          <w:tcPr>
            <w:tcW w:w="251" w:type="pct"/>
            <w:vMerge w:val="restart"/>
            <w:tcBorders>
              <w:top w:val="single" w:color="000000" w:sz="4" w:space="0"/>
              <w:left w:val="single" w:color="000000" w:sz="4" w:space="0"/>
              <w:right w:val="single" w:color="000000" w:sz="4" w:space="0"/>
            </w:tcBorders>
            <w:noWrap w:val="0"/>
            <w:vAlign w:val="center"/>
          </w:tcPr>
          <w:p>
            <w:pPr>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1</w:t>
            </w: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管理存储节点</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1" w:type="pct"/>
            <w:vMerge w:val="continue"/>
            <w:tcBorders>
              <w:left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24"/>
                <w:highlight w:val="none"/>
              </w:rPr>
            </w:pP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计算节点</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6</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1" w:type="pct"/>
            <w:vMerge w:val="continue"/>
            <w:tcBorders>
              <w:left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24"/>
                <w:highlight w:val="none"/>
              </w:rPr>
            </w:pP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管理网络</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1" w:type="pct"/>
            <w:vMerge w:val="continue"/>
            <w:tcBorders>
              <w:left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24"/>
                <w:highlight w:val="none"/>
              </w:rPr>
            </w:pP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计算网络</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1" w:type="pct"/>
            <w:vMerge w:val="continue"/>
            <w:tcBorders>
              <w:left w:val="single" w:color="000000" w:sz="4" w:space="0"/>
              <w:right w:val="single" w:color="000000" w:sz="4" w:space="0"/>
            </w:tcBorders>
            <w:noWrap w:val="0"/>
            <w:vAlign w:val="center"/>
          </w:tcPr>
          <w:p>
            <w:pPr>
              <w:jc w:val="center"/>
              <w:textAlignment w:val="center"/>
              <w:rPr>
                <w:rFonts w:hint="eastAsia" w:ascii="宋体" w:hAnsi="宋体" w:cs="宋体"/>
                <w:color w:val="auto"/>
                <w:kern w:val="0"/>
                <w:sz w:val="24"/>
                <w:highlight w:val="none"/>
              </w:rPr>
            </w:pP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集群管理软件</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详见表后内容</w:t>
            </w:r>
          </w:p>
        </w:tc>
      </w:tr>
      <w:tr>
        <w:tblPrEx>
          <w:tblCellMar>
            <w:top w:w="15" w:type="dxa"/>
            <w:left w:w="15" w:type="dxa"/>
            <w:bottom w:w="15" w:type="dxa"/>
            <w:right w:w="15" w:type="dxa"/>
          </w:tblCellMar>
        </w:tblPrEx>
        <w:tc>
          <w:tcPr>
            <w:tcW w:w="251" w:type="pct"/>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12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操纵系统、并行计算、编译等相关软件</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详见表后内容</w:t>
            </w:r>
          </w:p>
        </w:tc>
      </w:tr>
    </w:tbl>
    <w:p>
      <w:pPr>
        <w:rPr>
          <w:rFonts w:hint="eastAsia"/>
          <w:b/>
          <w:color w:val="auto"/>
          <w:highlight w:val="none"/>
        </w:rPr>
      </w:pPr>
    </w:p>
    <w:p>
      <w:pPr>
        <w:rPr>
          <w:rFonts w:hint="eastAsia"/>
          <w:b/>
          <w:color w:val="auto"/>
          <w:highlight w:val="none"/>
        </w:rPr>
      </w:pPr>
      <w:r>
        <w:rPr>
          <w:rFonts w:hint="eastAsia" w:ascii="宋体" w:hAnsi="宋体" w:cs="宋体"/>
          <w:b/>
          <w:color w:val="auto"/>
          <w:kern w:val="0"/>
          <w:sz w:val="24"/>
          <w:highlight w:val="none"/>
        </w:rPr>
        <w:t>主要配置或技术参数</w:t>
      </w:r>
      <w:r>
        <w:rPr>
          <w:rFonts w:hint="eastAsia"/>
          <w:b/>
          <w:color w:val="auto"/>
          <w:highlight w:val="none"/>
        </w:rPr>
        <w:t>：（标注“</w:t>
      </w:r>
      <w:r>
        <w:rPr>
          <w:rFonts w:hint="eastAsia" w:ascii="宋体" w:hAnsi="宋体" w:cs="宋体"/>
          <w:color w:val="auto"/>
          <w:kern w:val="0"/>
          <w:sz w:val="20"/>
          <w:szCs w:val="20"/>
          <w:highlight w:val="none"/>
        </w:rPr>
        <w:t>★</w:t>
      </w:r>
      <w:r>
        <w:rPr>
          <w:rFonts w:hint="eastAsia"/>
          <w:b/>
          <w:color w:val="auto"/>
          <w:highlight w:val="none"/>
        </w:rPr>
        <w:t>”指标为必须满足项，不满足按</w:t>
      </w:r>
      <w:r>
        <w:rPr>
          <w:rFonts w:hint="eastAsia"/>
          <w:b/>
          <w:color w:val="auto"/>
          <w:highlight w:val="none"/>
          <w:lang w:val="en-US" w:eastAsia="zh-CN"/>
        </w:rPr>
        <w:t>无效</w:t>
      </w:r>
      <w:r>
        <w:rPr>
          <w:rFonts w:hint="eastAsia"/>
          <w:b/>
          <w:color w:val="auto"/>
          <w:highlight w:val="none"/>
        </w:rPr>
        <w:t>标处理；标注“</w:t>
      </w:r>
      <w:r>
        <w:rPr>
          <w:bCs/>
          <w:color w:val="auto"/>
          <w:sz w:val="24"/>
          <w:highlight w:val="none"/>
        </w:rPr>
        <w:t>Δ</w:t>
      </w:r>
      <w:r>
        <w:rPr>
          <w:rFonts w:hint="eastAsia"/>
          <w:b/>
          <w:color w:val="auto"/>
          <w:highlight w:val="none"/>
        </w:rPr>
        <w:t>”指标为重要指标，不满足将额外扣分，具体见“评分办法”）</w:t>
      </w:r>
    </w:p>
    <w:p>
      <w:pPr>
        <w:snapToGrid w:val="0"/>
        <w:rPr>
          <w:b/>
          <w:color w:val="auto"/>
          <w:sz w:val="24"/>
          <w:highlight w:val="none"/>
        </w:rPr>
      </w:pPr>
      <w:r>
        <w:rPr>
          <w:rFonts w:hint="eastAsia"/>
          <w:b/>
          <w:color w:val="auto"/>
          <w:sz w:val="24"/>
          <w:highlight w:val="none"/>
        </w:rPr>
        <w:t>1、 管理存储节点</w:t>
      </w:r>
    </w:p>
    <w:p>
      <w:pPr>
        <w:snapToGrid w:val="0"/>
        <w:rPr>
          <w:rFonts w:hint="eastAsia"/>
          <w:bCs/>
          <w:color w:val="auto"/>
          <w:sz w:val="24"/>
          <w:highlight w:val="none"/>
        </w:rPr>
      </w:pPr>
      <w:r>
        <w:rPr>
          <w:bCs/>
          <w:color w:val="auto"/>
          <w:sz w:val="24"/>
          <w:highlight w:val="none"/>
        </w:rPr>
        <w:t>(1) Δ</w:t>
      </w:r>
      <w:r>
        <w:rPr>
          <w:bCs/>
          <w:color w:val="auto"/>
          <w:sz w:val="24"/>
          <w:highlight w:val="none"/>
        </w:rPr>
        <w:t>规格：</w:t>
      </w:r>
      <w:r>
        <w:rPr>
          <w:rFonts w:eastAsia="Times New Roman"/>
          <w:bCs/>
          <w:color w:val="auto"/>
          <w:sz w:val="24"/>
          <w:highlight w:val="none"/>
        </w:rPr>
        <w:t>≤ 4U</w:t>
      </w:r>
      <w:r>
        <w:rPr>
          <w:bCs/>
          <w:color w:val="auto"/>
          <w:sz w:val="24"/>
          <w:highlight w:val="none"/>
        </w:rPr>
        <w:t>机架式服务器</w:t>
      </w:r>
      <w:r>
        <w:rPr>
          <w:rFonts w:hint="eastAsia"/>
          <w:bCs/>
          <w:color w:val="auto"/>
          <w:sz w:val="24"/>
          <w:highlight w:val="none"/>
        </w:rPr>
        <w:t>，知名品牌，非O</w:t>
      </w:r>
      <w:r>
        <w:rPr>
          <w:bCs/>
          <w:color w:val="auto"/>
          <w:sz w:val="24"/>
          <w:highlight w:val="none"/>
        </w:rPr>
        <w:t>EM</w:t>
      </w:r>
      <w:r>
        <w:rPr>
          <w:rFonts w:hint="eastAsia"/>
          <w:bCs/>
          <w:color w:val="auto"/>
          <w:sz w:val="24"/>
          <w:highlight w:val="none"/>
        </w:rPr>
        <w:t>; 采用最新X</w:t>
      </w:r>
      <w:r>
        <w:rPr>
          <w:bCs/>
          <w:color w:val="auto"/>
          <w:sz w:val="24"/>
          <w:highlight w:val="none"/>
        </w:rPr>
        <w:t>86</w:t>
      </w:r>
      <w:r>
        <w:rPr>
          <w:rFonts w:hint="eastAsia"/>
          <w:bCs/>
          <w:color w:val="auto"/>
          <w:sz w:val="24"/>
          <w:highlight w:val="none"/>
        </w:rPr>
        <w:t>架构，8通道内存支持</w:t>
      </w:r>
      <w:r>
        <w:rPr>
          <w:bCs/>
          <w:color w:val="auto"/>
          <w:sz w:val="24"/>
          <w:highlight w:val="none"/>
        </w:rPr>
        <w:t>;</w:t>
      </w:r>
    </w:p>
    <w:p>
      <w:pPr>
        <w:snapToGrid w:val="0"/>
        <w:rPr>
          <w:bCs/>
          <w:color w:val="auto"/>
          <w:sz w:val="24"/>
          <w:highlight w:val="none"/>
        </w:rPr>
      </w:pPr>
      <w:r>
        <w:rPr>
          <w:bCs/>
          <w:color w:val="auto"/>
          <w:sz w:val="24"/>
          <w:highlight w:val="none"/>
        </w:rPr>
        <w:t xml:space="preserve">(2) </w:t>
      </w:r>
      <w:r>
        <w:rPr>
          <w:rFonts w:hint="eastAsia" w:ascii="宋体" w:hAnsi="宋体" w:cs="宋体"/>
          <w:color w:val="auto"/>
          <w:szCs w:val="21"/>
          <w:highlight w:val="none"/>
        </w:rPr>
        <w:t>★</w:t>
      </w:r>
      <w:r>
        <w:rPr>
          <w:rFonts w:hint="eastAsia"/>
          <w:bCs/>
          <w:color w:val="auto"/>
          <w:sz w:val="24"/>
          <w:highlight w:val="none"/>
        </w:rPr>
        <w:t>处理器:</w:t>
      </w:r>
      <w:r>
        <w:rPr>
          <w:bCs/>
          <w:color w:val="auto"/>
          <w:sz w:val="24"/>
          <w:highlight w:val="none"/>
        </w:rPr>
        <w:t xml:space="preserve"> ≥ 2</w:t>
      </w:r>
      <w:r>
        <w:rPr>
          <w:rFonts w:hint="eastAsia"/>
          <w:bCs/>
          <w:color w:val="auto"/>
          <w:sz w:val="24"/>
          <w:highlight w:val="none"/>
        </w:rPr>
        <w:t>颗A</w:t>
      </w:r>
      <w:r>
        <w:rPr>
          <w:bCs/>
          <w:color w:val="auto"/>
          <w:sz w:val="24"/>
          <w:highlight w:val="none"/>
        </w:rPr>
        <w:t>MD 7452 2.35 GH</w:t>
      </w:r>
      <w:r>
        <w:rPr>
          <w:rFonts w:hint="eastAsia"/>
          <w:bCs/>
          <w:color w:val="auto"/>
          <w:sz w:val="24"/>
          <w:highlight w:val="none"/>
        </w:rPr>
        <w:t>z</w:t>
      </w:r>
      <w:r>
        <w:rPr>
          <w:bCs/>
          <w:color w:val="auto"/>
          <w:sz w:val="24"/>
          <w:highlight w:val="none"/>
        </w:rPr>
        <w:t xml:space="preserve"> CPU </w:t>
      </w:r>
      <w:r>
        <w:rPr>
          <w:rFonts w:hint="eastAsia"/>
          <w:bCs/>
          <w:color w:val="auto"/>
          <w:sz w:val="24"/>
          <w:highlight w:val="none"/>
        </w:rPr>
        <w:t>或以上处理器；</w:t>
      </w:r>
    </w:p>
    <w:p>
      <w:pPr>
        <w:snapToGrid w:val="0"/>
        <w:rPr>
          <w:bCs/>
          <w:color w:val="auto"/>
          <w:sz w:val="24"/>
          <w:highlight w:val="none"/>
        </w:rPr>
      </w:pPr>
      <w:r>
        <w:rPr>
          <w:bCs/>
          <w:color w:val="auto"/>
          <w:sz w:val="24"/>
          <w:highlight w:val="none"/>
        </w:rPr>
        <w:t>(3) Δ</w:t>
      </w:r>
      <w:r>
        <w:rPr>
          <w:rFonts w:hint="eastAsia"/>
          <w:bCs/>
          <w:color w:val="auto"/>
          <w:sz w:val="24"/>
          <w:highlight w:val="none"/>
        </w:rPr>
        <w:t>内存:</w:t>
      </w:r>
      <w:r>
        <w:rPr>
          <w:bCs/>
          <w:color w:val="auto"/>
          <w:sz w:val="24"/>
          <w:highlight w:val="none"/>
        </w:rPr>
        <w:t xml:space="preserve"> ≥ </w:t>
      </w:r>
      <w:r>
        <w:rPr>
          <w:rFonts w:hint="eastAsia"/>
          <w:bCs/>
          <w:color w:val="auto"/>
          <w:sz w:val="24"/>
          <w:highlight w:val="none"/>
        </w:rPr>
        <w:t>16根</w:t>
      </w:r>
      <w:r>
        <w:rPr>
          <w:bCs/>
          <w:color w:val="auto"/>
          <w:sz w:val="24"/>
          <w:highlight w:val="none"/>
        </w:rPr>
        <w:t>16GB RDIMM 3200内存，可支持</w:t>
      </w:r>
      <w:r>
        <w:rPr>
          <w:rFonts w:hint="eastAsia"/>
          <w:bCs/>
          <w:color w:val="auto"/>
          <w:sz w:val="24"/>
          <w:highlight w:val="none"/>
        </w:rPr>
        <w:t xml:space="preserve"> </w:t>
      </w:r>
      <w:r>
        <w:rPr>
          <w:bCs/>
          <w:color w:val="auto"/>
          <w:sz w:val="24"/>
          <w:highlight w:val="none"/>
        </w:rPr>
        <w:t>≥ 32个RDIMM 3200内存插槽；</w:t>
      </w:r>
    </w:p>
    <w:p>
      <w:pPr>
        <w:snapToGrid w:val="0"/>
        <w:rPr>
          <w:rFonts w:hint="eastAsia"/>
          <w:b/>
          <w:color w:val="auto"/>
          <w:sz w:val="24"/>
          <w:highlight w:val="none"/>
        </w:rPr>
      </w:pPr>
      <w:r>
        <w:rPr>
          <w:bCs/>
          <w:color w:val="auto"/>
          <w:sz w:val="24"/>
          <w:highlight w:val="none"/>
        </w:rPr>
        <w:t>(4) Δ</w:t>
      </w:r>
      <w:r>
        <w:rPr>
          <w:rFonts w:hint="eastAsia"/>
          <w:bCs/>
          <w:color w:val="auto"/>
          <w:sz w:val="24"/>
          <w:highlight w:val="none"/>
        </w:rPr>
        <w:t>硬盘:</w:t>
      </w:r>
      <w:r>
        <w:rPr>
          <w:bCs/>
          <w:color w:val="auto"/>
          <w:sz w:val="24"/>
          <w:highlight w:val="none"/>
        </w:rPr>
        <w:t xml:space="preserve"> ≥ </w:t>
      </w:r>
      <w:r>
        <w:rPr>
          <w:rFonts w:hint="eastAsia"/>
          <w:bCs/>
          <w:color w:val="auto"/>
          <w:sz w:val="24"/>
          <w:highlight w:val="none"/>
        </w:rPr>
        <w:t xml:space="preserve">2块480GB </w:t>
      </w:r>
      <w:r>
        <w:rPr>
          <w:bCs/>
          <w:color w:val="auto"/>
          <w:sz w:val="24"/>
          <w:highlight w:val="none"/>
        </w:rPr>
        <w:t xml:space="preserve">SSD </w:t>
      </w:r>
      <w:r>
        <w:rPr>
          <w:rFonts w:hint="eastAsia"/>
          <w:bCs/>
          <w:color w:val="auto"/>
          <w:sz w:val="24"/>
          <w:highlight w:val="none"/>
        </w:rPr>
        <w:t xml:space="preserve">2.5寸热插拔硬盘 </w:t>
      </w:r>
      <w:r>
        <w:rPr>
          <w:bCs/>
          <w:color w:val="auto"/>
          <w:sz w:val="24"/>
          <w:highlight w:val="none"/>
        </w:rPr>
        <w:t>(</w:t>
      </w:r>
      <w:r>
        <w:rPr>
          <w:rFonts w:hint="eastAsia"/>
          <w:bCs/>
          <w:color w:val="auto"/>
          <w:sz w:val="24"/>
          <w:highlight w:val="none"/>
        </w:rPr>
        <w:t>系统</w:t>
      </w:r>
      <w:r>
        <w:rPr>
          <w:bCs/>
          <w:color w:val="auto"/>
          <w:sz w:val="24"/>
          <w:highlight w:val="none"/>
        </w:rPr>
        <w:t>)</w:t>
      </w:r>
      <w:r>
        <w:rPr>
          <w:rFonts w:hint="eastAsia"/>
          <w:bCs/>
          <w:color w:val="auto"/>
          <w:sz w:val="24"/>
          <w:highlight w:val="none"/>
        </w:rPr>
        <w:t>；</w:t>
      </w:r>
      <w:r>
        <w:rPr>
          <w:bCs/>
          <w:color w:val="auto"/>
          <w:sz w:val="24"/>
          <w:highlight w:val="none"/>
        </w:rPr>
        <w:t>≥12</w:t>
      </w:r>
      <w:r>
        <w:rPr>
          <w:rFonts w:hint="eastAsia"/>
          <w:bCs/>
          <w:color w:val="auto"/>
          <w:sz w:val="24"/>
          <w:highlight w:val="none"/>
        </w:rPr>
        <w:t>块16</w:t>
      </w:r>
      <w:r>
        <w:rPr>
          <w:bCs/>
          <w:color w:val="auto"/>
          <w:sz w:val="24"/>
          <w:highlight w:val="none"/>
        </w:rPr>
        <w:t>TB</w:t>
      </w:r>
      <w:r>
        <w:rPr>
          <w:rFonts w:hint="eastAsia"/>
          <w:bCs/>
          <w:color w:val="auto"/>
          <w:sz w:val="24"/>
          <w:highlight w:val="none"/>
        </w:rPr>
        <w:t xml:space="preserve"> SAS 12Gbps 512e 3.5英寸热插拔硬盘 (数据)；</w:t>
      </w:r>
    </w:p>
    <w:p>
      <w:pPr>
        <w:snapToGrid w:val="0"/>
        <w:rPr>
          <w:bCs/>
          <w:color w:val="auto"/>
          <w:sz w:val="24"/>
          <w:highlight w:val="none"/>
        </w:rPr>
      </w:pPr>
      <w:r>
        <w:rPr>
          <w:bCs/>
          <w:color w:val="auto"/>
          <w:sz w:val="24"/>
          <w:highlight w:val="none"/>
        </w:rPr>
        <w:t>(</w:t>
      </w:r>
      <w:r>
        <w:rPr>
          <w:rFonts w:hint="eastAsia"/>
          <w:bCs/>
          <w:color w:val="auto"/>
          <w:sz w:val="24"/>
          <w:highlight w:val="none"/>
        </w:rPr>
        <w:t xml:space="preserve">5) </w:t>
      </w:r>
      <w:r>
        <w:rPr>
          <w:bCs/>
          <w:color w:val="auto"/>
          <w:sz w:val="24"/>
          <w:highlight w:val="none"/>
        </w:rPr>
        <w:t>RAID卡</w:t>
      </w:r>
      <w:r>
        <w:rPr>
          <w:rFonts w:hint="eastAsia"/>
          <w:bCs/>
          <w:color w:val="auto"/>
          <w:sz w:val="24"/>
          <w:highlight w:val="none"/>
        </w:rPr>
        <w:t>:</w:t>
      </w:r>
      <w:r>
        <w:rPr>
          <w:bCs/>
          <w:color w:val="auto"/>
          <w:sz w:val="24"/>
          <w:highlight w:val="none"/>
        </w:rPr>
        <w:t xml:space="preserve"> </w:t>
      </w:r>
      <w:r>
        <w:rPr>
          <w:rFonts w:hint="eastAsia"/>
          <w:bCs/>
          <w:color w:val="auto"/>
          <w:sz w:val="24"/>
          <w:highlight w:val="none"/>
        </w:rPr>
        <w:t>配置</w:t>
      </w:r>
      <w:r>
        <w:rPr>
          <w:bCs/>
          <w:color w:val="auto"/>
          <w:sz w:val="24"/>
          <w:highlight w:val="none"/>
        </w:rPr>
        <w:t>≥1</w:t>
      </w:r>
      <w:r>
        <w:rPr>
          <w:rFonts w:hint="eastAsia"/>
          <w:bCs/>
          <w:color w:val="auto"/>
          <w:sz w:val="24"/>
          <w:highlight w:val="none"/>
        </w:rPr>
        <w:t>块高性能Raid卡，不低于</w:t>
      </w:r>
      <w:r>
        <w:rPr>
          <w:bCs/>
          <w:color w:val="auto"/>
          <w:sz w:val="24"/>
          <w:highlight w:val="none"/>
        </w:rPr>
        <w:t>4G</w:t>
      </w:r>
      <w:r>
        <w:rPr>
          <w:rFonts w:hint="eastAsia"/>
          <w:bCs/>
          <w:color w:val="auto"/>
          <w:sz w:val="24"/>
          <w:highlight w:val="none"/>
        </w:rPr>
        <w:t>b缓存；</w:t>
      </w:r>
    </w:p>
    <w:p>
      <w:pPr>
        <w:snapToGrid w:val="0"/>
        <w:rPr>
          <w:rFonts w:hint="eastAsia"/>
          <w:bCs/>
          <w:color w:val="auto"/>
          <w:sz w:val="24"/>
          <w:highlight w:val="none"/>
        </w:rPr>
      </w:pPr>
      <w:r>
        <w:rPr>
          <w:bCs/>
          <w:color w:val="auto"/>
          <w:sz w:val="24"/>
          <w:highlight w:val="none"/>
        </w:rPr>
        <w:t xml:space="preserve">(6) </w:t>
      </w:r>
      <w:r>
        <w:rPr>
          <w:rFonts w:hint="eastAsia"/>
          <w:bCs/>
          <w:color w:val="auto"/>
          <w:sz w:val="24"/>
          <w:highlight w:val="none"/>
        </w:rPr>
        <w:t>网络:</w:t>
      </w:r>
      <w:r>
        <w:rPr>
          <w:bCs/>
          <w:color w:val="auto"/>
          <w:sz w:val="24"/>
          <w:highlight w:val="none"/>
        </w:rPr>
        <w:t xml:space="preserve"> ≥ 2个</w:t>
      </w:r>
      <w:r>
        <w:rPr>
          <w:rFonts w:hint="eastAsia"/>
          <w:bCs/>
          <w:color w:val="auto"/>
          <w:sz w:val="24"/>
          <w:highlight w:val="none"/>
        </w:rPr>
        <w:t>1</w:t>
      </w:r>
      <w:r>
        <w:rPr>
          <w:bCs/>
          <w:color w:val="auto"/>
          <w:sz w:val="24"/>
          <w:highlight w:val="none"/>
        </w:rPr>
        <w:t xml:space="preserve">G </w:t>
      </w:r>
      <w:r>
        <w:rPr>
          <w:rFonts w:hint="eastAsia"/>
          <w:bCs/>
          <w:color w:val="auto"/>
          <w:sz w:val="24"/>
          <w:highlight w:val="none"/>
        </w:rPr>
        <w:t>网口；</w:t>
      </w:r>
    </w:p>
    <w:p>
      <w:pPr>
        <w:snapToGrid w:val="0"/>
        <w:rPr>
          <w:bCs/>
          <w:color w:val="auto"/>
          <w:sz w:val="24"/>
          <w:highlight w:val="none"/>
        </w:rPr>
      </w:pPr>
      <w:r>
        <w:rPr>
          <w:rFonts w:hint="eastAsia"/>
          <w:bCs/>
          <w:color w:val="auto"/>
          <w:sz w:val="24"/>
          <w:highlight w:val="none"/>
        </w:rPr>
        <w:t>(</w:t>
      </w:r>
      <w:r>
        <w:rPr>
          <w:bCs/>
          <w:color w:val="auto"/>
          <w:sz w:val="24"/>
          <w:highlight w:val="none"/>
        </w:rPr>
        <w:t xml:space="preserve">7) </w:t>
      </w:r>
      <w:r>
        <w:rPr>
          <w:rFonts w:hint="eastAsia"/>
          <w:bCs/>
          <w:color w:val="auto"/>
          <w:sz w:val="24"/>
          <w:highlight w:val="none"/>
        </w:rPr>
        <w:t>★</w:t>
      </w:r>
      <w:r>
        <w:rPr>
          <w:bCs/>
          <w:color w:val="auto"/>
          <w:sz w:val="24"/>
          <w:highlight w:val="none"/>
        </w:rPr>
        <w:t>PCI</w:t>
      </w:r>
      <w:r>
        <w:rPr>
          <w:rFonts w:hint="eastAsia"/>
          <w:bCs/>
          <w:color w:val="auto"/>
          <w:sz w:val="24"/>
          <w:highlight w:val="none"/>
        </w:rPr>
        <w:t xml:space="preserve">插槽：配置 </w:t>
      </w:r>
      <w:r>
        <w:rPr>
          <w:bCs/>
          <w:color w:val="auto"/>
          <w:sz w:val="24"/>
          <w:highlight w:val="none"/>
        </w:rPr>
        <w:t xml:space="preserve">≥ </w:t>
      </w:r>
      <w:r>
        <w:rPr>
          <w:rFonts w:hint="eastAsia"/>
          <w:bCs/>
          <w:color w:val="auto"/>
          <w:sz w:val="24"/>
          <w:highlight w:val="none"/>
        </w:rPr>
        <w:t>6个P</w:t>
      </w:r>
      <w:r>
        <w:rPr>
          <w:bCs/>
          <w:color w:val="auto"/>
          <w:sz w:val="24"/>
          <w:highlight w:val="none"/>
        </w:rPr>
        <w:t>CI</w:t>
      </w:r>
      <w:r>
        <w:rPr>
          <w:rFonts w:hint="eastAsia"/>
          <w:bCs/>
          <w:color w:val="auto"/>
          <w:sz w:val="24"/>
          <w:highlight w:val="none"/>
        </w:rPr>
        <w:t>e第四代插槽</w:t>
      </w:r>
      <w:r>
        <w:rPr>
          <w:rFonts w:hint="eastAsia"/>
          <w:bCs/>
          <w:color w:val="auto"/>
          <w:sz w:val="24"/>
          <w:highlight w:val="none"/>
        </w:rPr>
        <w:t xml:space="preserve"> (</w:t>
      </w:r>
      <w:r>
        <w:rPr>
          <w:bCs/>
          <w:color w:val="auto"/>
          <w:sz w:val="24"/>
          <w:highlight w:val="none"/>
        </w:rPr>
        <w:t xml:space="preserve">PCIe4.0) </w:t>
      </w:r>
      <w:r>
        <w:rPr>
          <w:rFonts w:hint="eastAsia"/>
          <w:bCs/>
          <w:color w:val="auto"/>
          <w:sz w:val="24"/>
          <w:highlight w:val="none"/>
        </w:rPr>
        <w:t>；提供彩页、官网截图和官网链接证明，加盖原厂商鲜章；</w:t>
      </w:r>
    </w:p>
    <w:p>
      <w:pPr>
        <w:snapToGrid w:val="0"/>
        <w:rPr>
          <w:bCs/>
          <w:color w:val="auto"/>
          <w:sz w:val="24"/>
          <w:highlight w:val="none"/>
        </w:rPr>
      </w:pPr>
      <w:r>
        <w:rPr>
          <w:bCs/>
          <w:color w:val="auto"/>
          <w:sz w:val="24"/>
          <w:highlight w:val="none"/>
        </w:rPr>
        <w:t xml:space="preserve">(8) </w:t>
      </w:r>
      <w:r>
        <w:rPr>
          <w:rFonts w:hint="eastAsia"/>
          <w:bCs/>
          <w:color w:val="auto"/>
          <w:sz w:val="24"/>
          <w:highlight w:val="none"/>
        </w:rPr>
        <w:t>电源风扇:</w:t>
      </w:r>
      <w:r>
        <w:rPr>
          <w:bCs/>
          <w:color w:val="auto"/>
          <w:sz w:val="24"/>
          <w:highlight w:val="none"/>
        </w:rPr>
        <w:t xml:space="preserve"> 满配冗余风扇, 支持单风扇失效；满配冗余热插拔电源，可支持钛金级电源，并提供配套的电源连接线；</w:t>
      </w:r>
    </w:p>
    <w:p>
      <w:pPr>
        <w:snapToGrid w:val="0"/>
        <w:rPr>
          <w:bCs/>
          <w:color w:val="auto"/>
          <w:sz w:val="24"/>
          <w:highlight w:val="none"/>
        </w:rPr>
      </w:pPr>
      <w:r>
        <w:rPr>
          <w:bCs/>
          <w:color w:val="auto"/>
          <w:sz w:val="24"/>
          <w:highlight w:val="none"/>
        </w:rPr>
        <w:t>(9) 支持</w:t>
      </w:r>
      <w:r>
        <w:rPr>
          <w:rFonts w:hint="eastAsia"/>
          <w:bCs/>
          <w:color w:val="auto"/>
          <w:sz w:val="24"/>
          <w:highlight w:val="none"/>
        </w:rPr>
        <w:t xml:space="preserve"> </w:t>
      </w:r>
      <w:r>
        <w:rPr>
          <w:bCs/>
          <w:color w:val="auto"/>
          <w:sz w:val="24"/>
          <w:highlight w:val="none"/>
        </w:rPr>
        <w:t>≥ 4个USB接口；服务器配置独立的远程管理控制端口，支持远程监控图形界面, 管理功能；</w:t>
      </w:r>
    </w:p>
    <w:p>
      <w:pPr>
        <w:snapToGrid w:val="0"/>
        <w:rPr>
          <w:rFonts w:hint="eastAsia"/>
          <w:bCs/>
          <w:color w:val="auto"/>
          <w:sz w:val="24"/>
          <w:highlight w:val="none"/>
        </w:rPr>
      </w:pPr>
    </w:p>
    <w:p>
      <w:pPr>
        <w:snapToGrid w:val="0"/>
        <w:rPr>
          <w:rFonts w:hint="eastAsia"/>
          <w:b/>
          <w:bCs/>
          <w:color w:val="auto"/>
          <w:sz w:val="24"/>
          <w:highlight w:val="none"/>
        </w:rPr>
      </w:pPr>
      <w:r>
        <w:rPr>
          <w:rFonts w:hint="eastAsia"/>
          <w:b/>
          <w:bCs/>
          <w:color w:val="auto"/>
          <w:sz w:val="24"/>
          <w:highlight w:val="none"/>
        </w:rPr>
        <w:t>2、计算节点</w:t>
      </w:r>
    </w:p>
    <w:p>
      <w:pPr>
        <w:snapToGrid w:val="0"/>
        <w:rPr>
          <w:rFonts w:hint="eastAsia"/>
          <w:bCs/>
          <w:color w:val="auto"/>
          <w:sz w:val="24"/>
          <w:highlight w:val="none"/>
        </w:rPr>
      </w:pPr>
      <w:r>
        <w:rPr>
          <w:bCs/>
          <w:color w:val="auto"/>
          <w:sz w:val="24"/>
          <w:highlight w:val="none"/>
        </w:rPr>
        <w:t>(1) Δ规格：</w:t>
      </w:r>
      <w:r>
        <w:rPr>
          <w:rFonts w:eastAsia="等线"/>
          <w:bCs/>
          <w:color w:val="auto"/>
          <w:sz w:val="24"/>
          <w:highlight w:val="none"/>
        </w:rPr>
        <w:t>2</w:t>
      </w:r>
      <w:r>
        <w:rPr>
          <w:rFonts w:eastAsia="Times New Roman"/>
          <w:bCs/>
          <w:color w:val="auto"/>
          <w:sz w:val="24"/>
          <w:highlight w:val="none"/>
        </w:rPr>
        <w:t>U</w:t>
      </w:r>
      <w:r>
        <w:rPr>
          <w:bCs/>
          <w:color w:val="auto"/>
          <w:sz w:val="24"/>
          <w:highlight w:val="none"/>
        </w:rPr>
        <w:t>机架式服务器</w:t>
      </w:r>
      <w:r>
        <w:rPr>
          <w:rFonts w:hint="eastAsia"/>
          <w:bCs/>
          <w:color w:val="auto"/>
          <w:sz w:val="24"/>
          <w:highlight w:val="none"/>
        </w:rPr>
        <w:t>，必须与管理存储节点为同一</w:t>
      </w:r>
      <w:r>
        <w:rPr>
          <w:rFonts w:hint="eastAsia"/>
          <w:bCs/>
          <w:color w:val="auto"/>
          <w:sz w:val="24"/>
          <w:highlight w:val="none"/>
        </w:rPr>
        <w:t>品牌，非O</w:t>
      </w:r>
      <w:r>
        <w:rPr>
          <w:bCs/>
          <w:color w:val="auto"/>
          <w:sz w:val="24"/>
          <w:highlight w:val="none"/>
        </w:rPr>
        <w:t>EM</w:t>
      </w:r>
      <w:r>
        <w:rPr>
          <w:rFonts w:hint="eastAsia"/>
          <w:bCs/>
          <w:color w:val="auto"/>
          <w:sz w:val="24"/>
          <w:highlight w:val="none"/>
        </w:rPr>
        <w:t>; 采用最新X</w:t>
      </w:r>
      <w:r>
        <w:rPr>
          <w:bCs/>
          <w:color w:val="auto"/>
          <w:sz w:val="24"/>
          <w:highlight w:val="none"/>
        </w:rPr>
        <w:t>86</w:t>
      </w:r>
      <w:r>
        <w:rPr>
          <w:rFonts w:hint="eastAsia"/>
          <w:bCs/>
          <w:color w:val="auto"/>
          <w:sz w:val="24"/>
          <w:highlight w:val="none"/>
        </w:rPr>
        <w:t>架构，8通道内存支持</w:t>
      </w:r>
      <w:r>
        <w:rPr>
          <w:bCs/>
          <w:color w:val="auto"/>
          <w:sz w:val="24"/>
          <w:highlight w:val="none"/>
        </w:rPr>
        <w:t>;</w:t>
      </w:r>
    </w:p>
    <w:p>
      <w:pPr>
        <w:snapToGrid w:val="0"/>
        <w:rPr>
          <w:bCs/>
          <w:color w:val="auto"/>
          <w:sz w:val="24"/>
          <w:highlight w:val="none"/>
        </w:rPr>
      </w:pPr>
      <w:r>
        <w:rPr>
          <w:bCs/>
          <w:color w:val="auto"/>
          <w:sz w:val="24"/>
          <w:highlight w:val="none"/>
        </w:rPr>
        <w:t xml:space="preserve">(2) </w:t>
      </w:r>
      <w:r>
        <w:rPr>
          <w:rFonts w:hint="eastAsia" w:ascii="宋体" w:hAnsi="宋体" w:cs="宋体"/>
          <w:color w:val="auto"/>
          <w:szCs w:val="21"/>
          <w:highlight w:val="none"/>
        </w:rPr>
        <w:t>★</w:t>
      </w:r>
      <w:r>
        <w:rPr>
          <w:rFonts w:hint="eastAsia"/>
          <w:bCs/>
          <w:color w:val="auto"/>
          <w:sz w:val="24"/>
          <w:highlight w:val="none"/>
        </w:rPr>
        <w:t>处理器:</w:t>
      </w:r>
      <w:r>
        <w:rPr>
          <w:bCs/>
          <w:color w:val="auto"/>
          <w:sz w:val="24"/>
          <w:highlight w:val="none"/>
        </w:rPr>
        <w:t xml:space="preserve"> ≥ 2</w:t>
      </w:r>
      <w:r>
        <w:rPr>
          <w:rFonts w:hint="eastAsia"/>
          <w:bCs/>
          <w:color w:val="auto"/>
          <w:sz w:val="24"/>
          <w:highlight w:val="none"/>
        </w:rPr>
        <w:t>颗A</w:t>
      </w:r>
      <w:r>
        <w:rPr>
          <w:bCs/>
          <w:color w:val="auto"/>
          <w:sz w:val="24"/>
          <w:highlight w:val="none"/>
        </w:rPr>
        <w:t>MD 7452 2.35 GH</w:t>
      </w:r>
      <w:r>
        <w:rPr>
          <w:rFonts w:hint="eastAsia"/>
          <w:bCs/>
          <w:color w:val="auto"/>
          <w:sz w:val="24"/>
          <w:highlight w:val="none"/>
        </w:rPr>
        <w:t>z</w:t>
      </w:r>
      <w:r>
        <w:rPr>
          <w:bCs/>
          <w:color w:val="auto"/>
          <w:sz w:val="24"/>
          <w:highlight w:val="none"/>
        </w:rPr>
        <w:t xml:space="preserve"> CPU </w:t>
      </w:r>
      <w:r>
        <w:rPr>
          <w:rFonts w:hint="eastAsia"/>
          <w:bCs/>
          <w:color w:val="auto"/>
          <w:sz w:val="24"/>
          <w:highlight w:val="none"/>
        </w:rPr>
        <w:t>或以上处理器；</w:t>
      </w:r>
    </w:p>
    <w:p>
      <w:pPr>
        <w:snapToGrid w:val="0"/>
        <w:rPr>
          <w:bCs/>
          <w:color w:val="auto"/>
          <w:sz w:val="24"/>
          <w:highlight w:val="none"/>
        </w:rPr>
      </w:pPr>
      <w:r>
        <w:rPr>
          <w:bCs/>
          <w:color w:val="auto"/>
          <w:sz w:val="24"/>
          <w:highlight w:val="none"/>
        </w:rPr>
        <w:t>(3) Δ</w:t>
      </w:r>
      <w:r>
        <w:rPr>
          <w:rFonts w:hint="eastAsia"/>
          <w:bCs/>
          <w:color w:val="auto"/>
          <w:sz w:val="24"/>
          <w:highlight w:val="none"/>
        </w:rPr>
        <w:t>内存:</w:t>
      </w:r>
      <w:r>
        <w:rPr>
          <w:bCs/>
          <w:color w:val="auto"/>
          <w:sz w:val="24"/>
          <w:highlight w:val="none"/>
        </w:rPr>
        <w:t xml:space="preserve"> ≥</w:t>
      </w:r>
      <w:r>
        <w:rPr>
          <w:rFonts w:hint="eastAsia"/>
          <w:bCs/>
          <w:color w:val="auto"/>
          <w:sz w:val="24"/>
          <w:highlight w:val="none"/>
        </w:rPr>
        <w:t>16根</w:t>
      </w:r>
      <w:r>
        <w:rPr>
          <w:bCs/>
          <w:color w:val="auto"/>
          <w:sz w:val="24"/>
          <w:highlight w:val="none"/>
        </w:rPr>
        <w:t>16GB RDIMM 3200内存，可支持≥32 个RDIMM 3200内存插槽；</w:t>
      </w:r>
    </w:p>
    <w:p>
      <w:pPr>
        <w:snapToGrid w:val="0"/>
        <w:rPr>
          <w:rFonts w:hint="eastAsia"/>
          <w:b/>
          <w:color w:val="auto"/>
          <w:sz w:val="24"/>
          <w:highlight w:val="none"/>
        </w:rPr>
      </w:pPr>
      <w:r>
        <w:rPr>
          <w:bCs/>
          <w:color w:val="auto"/>
          <w:sz w:val="24"/>
          <w:highlight w:val="none"/>
        </w:rPr>
        <w:t>(4) Δ</w:t>
      </w:r>
      <w:r>
        <w:rPr>
          <w:rFonts w:hint="eastAsia"/>
          <w:bCs/>
          <w:color w:val="auto"/>
          <w:sz w:val="24"/>
          <w:highlight w:val="none"/>
        </w:rPr>
        <w:t>硬盘:</w:t>
      </w:r>
      <w:r>
        <w:rPr>
          <w:bCs/>
          <w:color w:val="auto"/>
          <w:sz w:val="24"/>
          <w:highlight w:val="none"/>
        </w:rPr>
        <w:t xml:space="preserve"> ≥</w:t>
      </w:r>
      <w:r>
        <w:rPr>
          <w:rFonts w:hint="eastAsia"/>
          <w:bCs/>
          <w:color w:val="auto"/>
          <w:sz w:val="24"/>
          <w:highlight w:val="none"/>
        </w:rPr>
        <w:t>1块480</w:t>
      </w:r>
      <w:r>
        <w:rPr>
          <w:bCs/>
          <w:color w:val="auto"/>
          <w:sz w:val="24"/>
          <w:highlight w:val="none"/>
        </w:rPr>
        <w:t xml:space="preserve"> </w:t>
      </w:r>
      <w:r>
        <w:rPr>
          <w:rFonts w:hint="eastAsia"/>
          <w:bCs/>
          <w:color w:val="auto"/>
          <w:sz w:val="24"/>
          <w:highlight w:val="none"/>
        </w:rPr>
        <w:t xml:space="preserve">GB </w:t>
      </w:r>
      <w:r>
        <w:rPr>
          <w:bCs/>
          <w:color w:val="auto"/>
          <w:sz w:val="24"/>
          <w:highlight w:val="none"/>
        </w:rPr>
        <w:t xml:space="preserve">SSD </w:t>
      </w:r>
      <w:r>
        <w:rPr>
          <w:rFonts w:hint="eastAsia"/>
          <w:bCs/>
          <w:color w:val="auto"/>
          <w:sz w:val="24"/>
          <w:highlight w:val="none"/>
        </w:rPr>
        <w:t>2.5寸热插拔硬盘；</w:t>
      </w:r>
    </w:p>
    <w:p>
      <w:pPr>
        <w:snapToGrid w:val="0"/>
        <w:rPr>
          <w:rFonts w:hint="eastAsia"/>
          <w:bCs/>
          <w:color w:val="auto"/>
          <w:sz w:val="24"/>
          <w:highlight w:val="none"/>
        </w:rPr>
      </w:pPr>
      <w:r>
        <w:rPr>
          <w:bCs/>
          <w:color w:val="auto"/>
          <w:sz w:val="24"/>
          <w:highlight w:val="none"/>
        </w:rPr>
        <w:t>(</w:t>
      </w:r>
      <w:r>
        <w:rPr>
          <w:rFonts w:hint="eastAsia"/>
          <w:bCs/>
          <w:color w:val="auto"/>
          <w:sz w:val="24"/>
          <w:highlight w:val="none"/>
        </w:rPr>
        <w:t>5</w:t>
      </w:r>
      <w:r>
        <w:rPr>
          <w:bCs/>
          <w:color w:val="auto"/>
          <w:sz w:val="24"/>
          <w:highlight w:val="none"/>
        </w:rPr>
        <w:t xml:space="preserve">) </w:t>
      </w:r>
      <w:r>
        <w:rPr>
          <w:rFonts w:hint="eastAsia"/>
          <w:bCs/>
          <w:color w:val="auto"/>
          <w:sz w:val="24"/>
          <w:highlight w:val="none"/>
        </w:rPr>
        <w:t>网络:</w:t>
      </w:r>
      <w:r>
        <w:rPr>
          <w:bCs/>
          <w:color w:val="auto"/>
          <w:sz w:val="24"/>
          <w:highlight w:val="none"/>
        </w:rPr>
        <w:t xml:space="preserve"> ≥ 2个</w:t>
      </w:r>
      <w:r>
        <w:rPr>
          <w:rFonts w:hint="eastAsia"/>
          <w:bCs/>
          <w:color w:val="auto"/>
          <w:sz w:val="24"/>
          <w:highlight w:val="none"/>
        </w:rPr>
        <w:t>1</w:t>
      </w:r>
      <w:r>
        <w:rPr>
          <w:bCs/>
          <w:color w:val="auto"/>
          <w:sz w:val="24"/>
          <w:highlight w:val="none"/>
        </w:rPr>
        <w:t xml:space="preserve">G </w:t>
      </w:r>
      <w:r>
        <w:rPr>
          <w:rFonts w:hint="eastAsia"/>
          <w:bCs/>
          <w:color w:val="auto"/>
          <w:sz w:val="24"/>
          <w:highlight w:val="none"/>
        </w:rPr>
        <w:t>网口；</w:t>
      </w:r>
    </w:p>
    <w:p>
      <w:pPr>
        <w:snapToGrid w:val="0"/>
        <w:rPr>
          <w:bCs/>
          <w:color w:val="auto"/>
          <w:sz w:val="24"/>
          <w:highlight w:val="none"/>
        </w:rPr>
      </w:pPr>
      <w:r>
        <w:rPr>
          <w:rFonts w:hint="eastAsia"/>
          <w:bCs/>
          <w:color w:val="auto"/>
          <w:sz w:val="24"/>
          <w:highlight w:val="none"/>
        </w:rPr>
        <w:t>(6</w:t>
      </w:r>
      <w:r>
        <w:rPr>
          <w:bCs/>
          <w:color w:val="auto"/>
          <w:sz w:val="24"/>
          <w:highlight w:val="none"/>
        </w:rPr>
        <w:t xml:space="preserve">) </w:t>
      </w:r>
      <w:r>
        <w:rPr>
          <w:rFonts w:hint="eastAsia"/>
          <w:bCs/>
          <w:color w:val="auto"/>
          <w:sz w:val="24"/>
          <w:highlight w:val="none"/>
        </w:rPr>
        <w:t>★</w:t>
      </w:r>
      <w:r>
        <w:rPr>
          <w:bCs/>
          <w:color w:val="auto"/>
          <w:sz w:val="24"/>
          <w:highlight w:val="none"/>
        </w:rPr>
        <w:t>PCI</w:t>
      </w:r>
      <w:r>
        <w:rPr>
          <w:rFonts w:hint="eastAsia"/>
          <w:bCs/>
          <w:color w:val="auto"/>
          <w:sz w:val="24"/>
          <w:highlight w:val="none"/>
        </w:rPr>
        <w:t xml:space="preserve">插槽：配置 </w:t>
      </w:r>
      <w:r>
        <w:rPr>
          <w:bCs/>
          <w:color w:val="auto"/>
          <w:sz w:val="24"/>
          <w:highlight w:val="none"/>
        </w:rPr>
        <w:t xml:space="preserve">≥ </w:t>
      </w:r>
      <w:r>
        <w:rPr>
          <w:rFonts w:hint="eastAsia"/>
          <w:bCs/>
          <w:color w:val="auto"/>
          <w:sz w:val="24"/>
          <w:highlight w:val="none"/>
        </w:rPr>
        <w:t>6个P</w:t>
      </w:r>
      <w:r>
        <w:rPr>
          <w:bCs/>
          <w:color w:val="auto"/>
          <w:sz w:val="24"/>
          <w:highlight w:val="none"/>
        </w:rPr>
        <w:t>CI</w:t>
      </w:r>
      <w:r>
        <w:rPr>
          <w:rFonts w:hint="eastAsia"/>
          <w:bCs/>
          <w:color w:val="auto"/>
          <w:sz w:val="24"/>
          <w:highlight w:val="none"/>
        </w:rPr>
        <w:t xml:space="preserve">e第四代插槽 </w:t>
      </w:r>
      <w:r>
        <w:rPr>
          <w:rFonts w:hint="eastAsia"/>
          <w:bCs/>
          <w:color w:val="auto"/>
          <w:sz w:val="24"/>
          <w:highlight w:val="none"/>
        </w:rPr>
        <w:t>(</w:t>
      </w:r>
      <w:r>
        <w:rPr>
          <w:bCs/>
          <w:color w:val="auto"/>
          <w:sz w:val="24"/>
          <w:highlight w:val="none"/>
        </w:rPr>
        <w:t>PCIe4.0)</w:t>
      </w:r>
      <w:r>
        <w:rPr>
          <w:rFonts w:hint="eastAsia"/>
          <w:bCs/>
          <w:color w:val="auto"/>
          <w:sz w:val="24"/>
          <w:highlight w:val="none"/>
        </w:rPr>
        <w:t>；提供彩页、官网截图和官网链接证明，加盖原厂商鲜章；</w:t>
      </w:r>
    </w:p>
    <w:p>
      <w:pPr>
        <w:snapToGrid w:val="0"/>
        <w:rPr>
          <w:bCs/>
          <w:color w:val="auto"/>
          <w:sz w:val="24"/>
          <w:highlight w:val="none"/>
        </w:rPr>
      </w:pPr>
      <w:r>
        <w:rPr>
          <w:bCs/>
          <w:color w:val="auto"/>
          <w:sz w:val="24"/>
          <w:highlight w:val="none"/>
        </w:rPr>
        <w:t>(</w:t>
      </w:r>
      <w:r>
        <w:rPr>
          <w:rFonts w:hint="eastAsia"/>
          <w:bCs/>
          <w:color w:val="auto"/>
          <w:sz w:val="24"/>
          <w:highlight w:val="none"/>
        </w:rPr>
        <w:t>7</w:t>
      </w:r>
      <w:r>
        <w:rPr>
          <w:bCs/>
          <w:color w:val="auto"/>
          <w:sz w:val="24"/>
          <w:highlight w:val="none"/>
        </w:rPr>
        <w:t xml:space="preserve">) </w:t>
      </w:r>
      <w:r>
        <w:rPr>
          <w:rFonts w:hint="eastAsia"/>
          <w:bCs/>
          <w:color w:val="auto"/>
          <w:sz w:val="24"/>
          <w:highlight w:val="none"/>
        </w:rPr>
        <w:t>电源风扇:</w:t>
      </w:r>
      <w:r>
        <w:rPr>
          <w:bCs/>
          <w:color w:val="auto"/>
          <w:sz w:val="24"/>
          <w:highlight w:val="none"/>
        </w:rPr>
        <w:t xml:space="preserve"> 满配冗余风扇, 支持单风扇失效；满配冗余热插拔电源，可支持钛金级电源，并提供配套的电源连接线；</w:t>
      </w:r>
    </w:p>
    <w:p>
      <w:pPr>
        <w:snapToGrid w:val="0"/>
        <w:rPr>
          <w:bCs/>
          <w:color w:val="auto"/>
          <w:sz w:val="24"/>
          <w:highlight w:val="none"/>
        </w:rPr>
      </w:pPr>
      <w:r>
        <w:rPr>
          <w:bCs/>
          <w:color w:val="auto"/>
          <w:sz w:val="24"/>
          <w:highlight w:val="none"/>
        </w:rPr>
        <w:t>(</w:t>
      </w:r>
      <w:r>
        <w:rPr>
          <w:rFonts w:hint="eastAsia"/>
          <w:bCs/>
          <w:color w:val="auto"/>
          <w:sz w:val="24"/>
          <w:highlight w:val="none"/>
        </w:rPr>
        <w:t>8</w:t>
      </w:r>
      <w:r>
        <w:rPr>
          <w:bCs/>
          <w:color w:val="auto"/>
          <w:sz w:val="24"/>
          <w:highlight w:val="none"/>
        </w:rPr>
        <w:t>) 支持</w:t>
      </w:r>
      <w:r>
        <w:rPr>
          <w:rFonts w:hint="eastAsia"/>
          <w:bCs/>
          <w:color w:val="auto"/>
          <w:sz w:val="24"/>
          <w:highlight w:val="none"/>
        </w:rPr>
        <w:t xml:space="preserve"> </w:t>
      </w:r>
      <w:r>
        <w:rPr>
          <w:bCs/>
          <w:color w:val="auto"/>
          <w:sz w:val="24"/>
          <w:highlight w:val="none"/>
        </w:rPr>
        <w:t>≥ 4个USB接口；服务器配置独立的远程管理控制端口，支持远程监控图形界面, 管理功能；</w:t>
      </w:r>
    </w:p>
    <w:p>
      <w:pPr>
        <w:snapToGrid w:val="0"/>
        <w:rPr>
          <w:bCs/>
          <w:color w:val="auto"/>
          <w:sz w:val="24"/>
          <w:highlight w:val="none"/>
        </w:rPr>
      </w:pPr>
    </w:p>
    <w:p>
      <w:pPr>
        <w:snapToGrid w:val="0"/>
        <w:rPr>
          <w:b/>
          <w:color w:val="auto"/>
          <w:sz w:val="24"/>
          <w:highlight w:val="none"/>
        </w:rPr>
      </w:pPr>
      <w:r>
        <w:rPr>
          <w:rFonts w:hint="eastAsia"/>
          <w:b/>
          <w:color w:val="auto"/>
          <w:sz w:val="24"/>
          <w:highlight w:val="none"/>
        </w:rPr>
        <w:t>3、管理网络</w:t>
      </w:r>
    </w:p>
    <w:p>
      <w:pPr>
        <w:snapToGrid w:val="0"/>
        <w:rPr>
          <w:bCs/>
          <w:color w:val="auto"/>
          <w:sz w:val="24"/>
          <w:highlight w:val="none"/>
        </w:rPr>
      </w:pPr>
      <w:r>
        <w:rPr>
          <w:bCs/>
          <w:color w:val="auto"/>
          <w:sz w:val="24"/>
          <w:highlight w:val="none"/>
        </w:rPr>
        <w:t xml:space="preserve">(1) </w:t>
      </w:r>
      <w:r>
        <w:rPr>
          <w:rFonts w:hint="eastAsia"/>
          <w:bCs/>
          <w:color w:val="auto"/>
          <w:sz w:val="24"/>
          <w:highlight w:val="none"/>
        </w:rPr>
        <w:t>千兆交换机:</w:t>
      </w:r>
      <w:r>
        <w:rPr>
          <w:bCs/>
          <w:color w:val="auto"/>
          <w:sz w:val="24"/>
          <w:highlight w:val="none"/>
        </w:rPr>
        <w:t xml:space="preserve"> ≥ </w:t>
      </w:r>
      <w:r>
        <w:rPr>
          <w:rFonts w:hint="eastAsia"/>
          <w:bCs/>
          <w:color w:val="auto"/>
          <w:sz w:val="24"/>
          <w:highlight w:val="none"/>
        </w:rPr>
        <w:t>24端口，配置对应长度跳线；</w:t>
      </w:r>
    </w:p>
    <w:p>
      <w:pPr>
        <w:snapToGrid w:val="0"/>
        <w:rPr>
          <w:rFonts w:hint="eastAsia"/>
          <w:bCs/>
          <w:color w:val="auto"/>
          <w:sz w:val="24"/>
          <w:highlight w:val="none"/>
        </w:rPr>
      </w:pPr>
    </w:p>
    <w:p>
      <w:pPr>
        <w:snapToGrid w:val="0"/>
        <w:rPr>
          <w:b/>
          <w:color w:val="auto"/>
          <w:sz w:val="24"/>
          <w:highlight w:val="none"/>
        </w:rPr>
      </w:pPr>
      <w:r>
        <w:rPr>
          <w:rFonts w:hint="eastAsia"/>
          <w:b/>
          <w:color w:val="auto"/>
          <w:sz w:val="24"/>
          <w:highlight w:val="none"/>
        </w:rPr>
        <w:t>4、计算网络</w:t>
      </w:r>
    </w:p>
    <w:p>
      <w:pPr>
        <w:snapToGrid w:val="0"/>
        <w:rPr>
          <w:bCs/>
          <w:color w:val="auto"/>
          <w:sz w:val="24"/>
          <w:highlight w:val="none"/>
        </w:rPr>
      </w:pPr>
      <w:r>
        <w:rPr>
          <w:bCs/>
          <w:color w:val="auto"/>
          <w:sz w:val="24"/>
          <w:highlight w:val="none"/>
        </w:rPr>
        <w:t xml:space="preserve">(1) </w:t>
      </w:r>
      <w:bookmarkStart w:id="10" w:name="_Hlk41381872"/>
      <w:r>
        <w:rPr>
          <w:rFonts w:ascii="Segoe UI Symbol" w:hAnsi="Segoe UI Symbol" w:cs="Segoe UI Symbol"/>
          <w:bCs/>
          <w:color w:val="auto"/>
          <w:sz w:val="24"/>
          <w:highlight w:val="none"/>
        </w:rPr>
        <w:t>★</w:t>
      </w:r>
      <w:bookmarkEnd w:id="10"/>
      <w:r>
        <w:rPr>
          <w:rFonts w:hint="eastAsia"/>
          <w:bCs/>
          <w:color w:val="auto"/>
          <w:sz w:val="24"/>
          <w:highlight w:val="none"/>
        </w:rPr>
        <w:t>I</w:t>
      </w:r>
      <w:r>
        <w:rPr>
          <w:bCs/>
          <w:color w:val="auto"/>
          <w:sz w:val="24"/>
          <w:highlight w:val="none"/>
        </w:rPr>
        <w:t>B</w:t>
      </w:r>
      <w:r>
        <w:rPr>
          <w:rFonts w:hint="eastAsia"/>
          <w:bCs/>
          <w:color w:val="auto"/>
          <w:sz w:val="24"/>
          <w:highlight w:val="none"/>
        </w:rPr>
        <w:t>交换机:</w:t>
      </w:r>
      <w:r>
        <w:rPr>
          <w:bCs/>
          <w:color w:val="auto"/>
          <w:sz w:val="24"/>
          <w:highlight w:val="none"/>
        </w:rPr>
        <w:t xml:space="preserve"> ≥ </w:t>
      </w:r>
      <w:r>
        <w:rPr>
          <w:rFonts w:hint="eastAsia"/>
          <w:bCs/>
          <w:color w:val="auto"/>
          <w:sz w:val="24"/>
          <w:highlight w:val="none"/>
        </w:rPr>
        <w:t>36端口，</w:t>
      </w:r>
      <w:r>
        <w:rPr>
          <w:bCs/>
          <w:color w:val="auto"/>
          <w:sz w:val="24"/>
          <w:highlight w:val="none"/>
        </w:rPr>
        <w:t xml:space="preserve">≥ </w:t>
      </w:r>
      <w:r>
        <w:rPr>
          <w:rFonts w:hint="eastAsia"/>
          <w:bCs/>
          <w:color w:val="auto"/>
          <w:sz w:val="24"/>
          <w:highlight w:val="none"/>
        </w:rPr>
        <w:t>100g</w:t>
      </w:r>
      <w:r>
        <w:rPr>
          <w:bCs/>
          <w:color w:val="auto"/>
          <w:sz w:val="24"/>
          <w:highlight w:val="none"/>
        </w:rPr>
        <w:t>bs</w:t>
      </w:r>
      <w:r>
        <w:rPr>
          <w:rFonts w:hint="eastAsia"/>
          <w:bCs/>
          <w:color w:val="auto"/>
          <w:sz w:val="24"/>
          <w:highlight w:val="none"/>
        </w:rPr>
        <w:t>；</w:t>
      </w:r>
    </w:p>
    <w:p>
      <w:pPr>
        <w:snapToGrid w:val="0"/>
        <w:rPr>
          <w:rFonts w:hint="eastAsia"/>
          <w:bCs/>
          <w:color w:val="auto"/>
          <w:sz w:val="24"/>
          <w:highlight w:val="none"/>
        </w:rPr>
      </w:pPr>
      <w:r>
        <w:rPr>
          <w:rFonts w:hint="eastAsia"/>
          <w:bCs/>
          <w:color w:val="auto"/>
          <w:sz w:val="24"/>
          <w:highlight w:val="none"/>
        </w:rPr>
        <w:t>(</w:t>
      </w:r>
      <w:r>
        <w:rPr>
          <w:bCs/>
          <w:color w:val="auto"/>
          <w:sz w:val="24"/>
          <w:highlight w:val="none"/>
        </w:rPr>
        <w:t xml:space="preserve">2) </w:t>
      </w:r>
      <w:r>
        <w:rPr>
          <w:rFonts w:ascii="Segoe UI Symbol" w:hAnsi="Segoe UI Symbol" w:cs="Segoe UI Symbol"/>
          <w:bCs/>
          <w:color w:val="auto"/>
          <w:sz w:val="24"/>
          <w:highlight w:val="none"/>
        </w:rPr>
        <w:t xml:space="preserve">Δ </w:t>
      </w:r>
      <w:r>
        <w:rPr>
          <w:bCs/>
          <w:color w:val="auto"/>
          <w:sz w:val="24"/>
          <w:highlight w:val="none"/>
        </w:rPr>
        <w:t xml:space="preserve">IB </w:t>
      </w:r>
      <w:r>
        <w:rPr>
          <w:rFonts w:hint="eastAsia"/>
          <w:bCs/>
          <w:color w:val="auto"/>
          <w:sz w:val="24"/>
          <w:highlight w:val="none"/>
        </w:rPr>
        <w:t>网卡:</w:t>
      </w:r>
      <w:r>
        <w:rPr>
          <w:bCs/>
          <w:color w:val="auto"/>
          <w:sz w:val="24"/>
          <w:highlight w:val="none"/>
        </w:rPr>
        <w:t xml:space="preserve"> 7</w:t>
      </w:r>
      <w:r>
        <w:rPr>
          <w:rFonts w:hint="eastAsia"/>
          <w:bCs/>
          <w:color w:val="auto"/>
          <w:sz w:val="24"/>
          <w:highlight w:val="none"/>
        </w:rPr>
        <w:t>个单口100G</w:t>
      </w:r>
      <w:r>
        <w:rPr>
          <w:bCs/>
          <w:color w:val="auto"/>
          <w:sz w:val="24"/>
          <w:highlight w:val="none"/>
        </w:rPr>
        <w:t>bps</w:t>
      </w:r>
      <w:r>
        <w:rPr>
          <w:rFonts w:hint="eastAsia"/>
          <w:bCs/>
          <w:color w:val="auto"/>
          <w:sz w:val="24"/>
          <w:highlight w:val="none"/>
        </w:rPr>
        <w:t>（包含≥3m 100G线缆以及模块）</w:t>
      </w:r>
    </w:p>
    <w:p>
      <w:pPr>
        <w:snapToGrid w:val="0"/>
        <w:rPr>
          <w:b/>
          <w:color w:val="auto"/>
          <w:sz w:val="24"/>
          <w:highlight w:val="none"/>
        </w:rPr>
      </w:pPr>
    </w:p>
    <w:p>
      <w:pPr>
        <w:snapToGrid w:val="0"/>
        <w:rPr>
          <w:b/>
          <w:color w:val="auto"/>
          <w:sz w:val="24"/>
          <w:highlight w:val="none"/>
        </w:rPr>
      </w:pPr>
      <w:r>
        <w:rPr>
          <w:b/>
          <w:color w:val="auto"/>
          <w:sz w:val="24"/>
          <w:highlight w:val="none"/>
        </w:rPr>
        <w:t>5、集群管理软件</w:t>
      </w:r>
    </w:p>
    <w:p>
      <w:pPr>
        <w:snapToGrid w:val="0"/>
        <w:rPr>
          <w:rFonts w:hint="eastAsia"/>
          <w:bCs/>
          <w:color w:val="auto"/>
          <w:sz w:val="24"/>
          <w:highlight w:val="none"/>
        </w:rPr>
      </w:pPr>
      <w:r>
        <w:rPr>
          <w:rFonts w:hint="eastAsia"/>
          <w:bCs/>
          <w:color w:val="auto"/>
          <w:sz w:val="24"/>
          <w:highlight w:val="none"/>
        </w:rPr>
        <w:t>(</w:t>
      </w:r>
      <w:r>
        <w:rPr>
          <w:bCs/>
          <w:color w:val="auto"/>
          <w:sz w:val="24"/>
          <w:highlight w:val="none"/>
        </w:rPr>
        <w:t xml:space="preserve">1) </w:t>
      </w:r>
      <w:r>
        <w:rPr>
          <w:rFonts w:hint="eastAsia"/>
          <w:bCs/>
          <w:color w:val="auto"/>
          <w:sz w:val="24"/>
          <w:highlight w:val="none"/>
        </w:rPr>
        <w:t>支持HPE/DELL/曙光/浪潮/联想等不同品牌</w:t>
      </w:r>
      <w:r>
        <w:rPr>
          <w:bCs/>
          <w:color w:val="auto"/>
          <w:sz w:val="24"/>
          <w:highlight w:val="none"/>
        </w:rPr>
        <w:t>X</w:t>
      </w:r>
      <w:r>
        <w:rPr>
          <w:rFonts w:hint="eastAsia"/>
          <w:bCs/>
          <w:color w:val="auto"/>
          <w:sz w:val="24"/>
          <w:highlight w:val="none"/>
        </w:rPr>
        <w:t>86服务器，含硬件监控、调度系统、账户管理、高级调度策略；支持qsub任务提交方式；</w:t>
      </w:r>
    </w:p>
    <w:p>
      <w:pPr>
        <w:snapToGrid w:val="0"/>
        <w:rPr>
          <w:rFonts w:hint="eastAsia"/>
          <w:bCs/>
          <w:color w:val="auto"/>
          <w:sz w:val="24"/>
          <w:highlight w:val="none"/>
        </w:rPr>
      </w:pPr>
      <w:r>
        <w:rPr>
          <w:bCs/>
          <w:color w:val="auto"/>
          <w:sz w:val="24"/>
          <w:highlight w:val="none"/>
        </w:rPr>
        <w:t xml:space="preserve">(2) </w:t>
      </w:r>
      <w:r>
        <w:rPr>
          <w:rFonts w:hint="eastAsia"/>
          <w:bCs/>
          <w:color w:val="auto"/>
          <w:sz w:val="24"/>
          <w:highlight w:val="none"/>
        </w:rPr>
        <w:t>支持针对任务队列的用户限制，支持任务队列允许用户（组）、禁止用户（组）设置；支持限制单个用户最大任务数、单个任务最大计算核数、单个任务最大运行时间限制；支持限制/允许用户命令行运行程序功能;</w:t>
      </w:r>
    </w:p>
    <w:p>
      <w:pPr>
        <w:snapToGrid w:val="0"/>
        <w:rPr>
          <w:rFonts w:hint="eastAsia"/>
          <w:bCs/>
          <w:color w:val="auto"/>
          <w:sz w:val="24"/>
          <w:highlight w:val="none"/>
        </w:rPr>
      </w:pPr>
      <w:r>
        <w:rPr>
          <w:rFonts w:hint="eastAsia"/>
          <w:bCs/>
          <w:color w:val="auto"/>
          <w:sz w:val="24"/>
          <w:highlight w:val="none"/>
        </w:rPr>
        <w:t>(</w:t>
      </w:r>
      <w:r>
        <w:rPr>
          <w:bCs/>
          <w:color w:val="auto"/>
          <w:sz w:val="24"/>
          <w:highlight w:val="none"/>
        </w:rPr>
        <w:t xml:space="preserve">3) </w:t>
      </w:r>
      <w:r>
        <w:rPr>
          <w:rFonts w:hint="eastAsia"/>
          <w:bCs/>
          <w:color w:val="auto"/>
          <w:sz w:val="24"/>
          <w:highlight w:val="none"/>
        </w:rPr>
        <w:t>支持市电中断（UPS供电）异常情况及时报警并安全关闭集群，如在当集群出现异常情况时候，系统根据设定安全关闭集群;</w:t>
      </w:r>
    </w:p>
    <w:p>
      <w:pPr>
        <w:snapToGrid w:val="0"/>
        <w:rPr>
          <w:rFonts w:hint="eastAsia"/>
          <w:bCs/>
          <w:color w:val="auto"/>
          <w:sz w:val="24"/>
          <w:highlight w:val="none"/>
        </w:rPr>
      </w:pPr>
      <w:r>
        <w:rPr>
          <w:rFonts w:hint="eastAsia"/>
          <w:bCs/>
          <w:color w:val="auto"/>
          <w:sz w:val="24"/>
          <w:highlight w:val="none"/>
        </w:rPr>
        <w:t>(</w:t>
      </w:r>
      <w:r>
        <w:rPr>
          <w:bCs/>
          <w:color w:val="auto"/>
          <w:sz w:val="24"/>
          <w:highlight w:val="none"/>
        </w:rPr>
        <w:t xml:space="preserve">4) </w:t>
      </w:r>
      <w:r>
        <w:rPr>
          <w:rFonts w:hint="eastAsia"/>
          <w:bCs/>
          <w:color w:val="auto"/>
          <w:sz w:val="24"/>
          <w:highlight w:val="none"/>
        </w:rPr>
        <w:t>集群环境配置：用户（组）管理、任务管理、队列管理、调度系统及策略管理、用户权限管理配置;</w:t>
      </w:r>
    </w:p>
    <w:p>
      <w:pPr>
        <w:snapToGrid w:val="0"/>
        <w:rPr>
          <w:rFonts w:hint="eastAsia"/>
          <w:bCs/>
          <w:color w:val="auto"/>
          <w:sz w:val="24"/>
          <w:highlight w:val="none"/>
        </w:rPr>
      </w:pPr>
      <w:r>
        <w:rPr>
          <w:bCs/>
          <w:color w:val="auto"/>
          <w:sz w:val="24"/>
          <w:highlight w:val="none"/>
        </w:rPr>
        <w:t xml:space="preserve">(5) </w:t>
      </w:r>
      <w:r>
        <w:rPr>
          <w:rFonts w:hint="eastAsia"/>
          <w:bCs/>
          <w:color w:val="auto"/>
          <w:sz w:val="24"/>
          <w:highlight w:val="none"/>
        </w:rPr>
        <w:t>集群安全配置：断电保护配置、温度保护配置、命令行登录集群选项配置；</w:t>
      </w:r>
    </w:p>
    <w:p>
      <w:pPr>
        <w:snapToGrid w:val="0"/>
        <w:rPr>
          <w:bCs/>
          <w:color w:val="auto"/>
          <w:sz w:val="24"/>
          <w:highlight w:val="none"/>
        </w:rPr>
      </w:pPr>
      <w:r>
        <w:rPr>
          <w:rFonts w:hint="eastAsia"/>
          <w:bCs/>
          <w:color w:val="auto"/>
          <w:sz w:val="24"/>
          <w:highlight w:val="none"/>
        </w:rPr>
        <w:t>(</w:t>
      </w:r>
      <w:r>
        <w:rPr>
          <w:bCs/>
          <w:color w:val="auto"/>
          <w:sz w:val="24"/>
          <w:highlight w:val="none"/>
        </w:rPr>
        <w:t xml:space="preserve">6) </w:t>
      </w:r>
      <w:r>
        <w:rPr>
          <w:rFonts w:hint="eastAsia"/>
          <w:bCs/>
          <w:color w:val="auto"/>
          <w:sz w:val="24"/>
          <w:highlight w:val="none"/>
        </w:rPr>
        <w:t>集群优化配置：选择合适的编译器、函数库、MPI 、网络驱动，不断调整相应优化参数提高并行规模和并行效率；</w:t>
      </w:r>
    </w:p>
    <w:p>
      <w:pPr>
        <w:snapToGrid w:val="0"/>
        <w:rPr>
          <w:rFonts w:hint="eastAsia"/>
          <w:bCs/>
          <w:color w:val="auto"/>
          <w:sz w:val="24"/>
          <w:highlight w:val="none"/>
        </w:rPr>
      </w:pPr>
      <w:r>
        <w:rPr>
          <w:rFonts w:hint="eastAsia"/>
          <w:bCs/>
          <w:color w:val="auto"/>
          <w:sz w:val="24"/>
          <w:highlight w:val="none"/>
        </w:rPr>
        <w:t>(</w:t>
      </w:r>
      <w:r>
        <w:rPr>
          <w:bCs/>
          <w:color w:val="auto"/>
          <w:sz w:val="24"/>
          <w:highlight w:val="none"/>
        </w:rPr>
        <w:t xml:space="preserve">7) </w:t>
      </w:r>
      <w:r>
        <w:rPr>
          <w:rFonts w:hint="eastAsia"/>
          <w:bCs/>
          <w:color w:val="auto"/>
          <w:sz w:val="24"/>
          <w:highlight w:val="none"/>
        </w:rPr>
        <w:t>集群文件系统优化：利用脚本中间数据本地化存储、最终数据空闲时转移、定期数据清理脚本、并行文件系统优化、I/O数据分流；</w:t>
      </w:r>
    </w:p>
    <w:p>
      <w:pPr>
        <w:snapToGrid w:val="0"/>
        <w:rPr>
          <w:bCs/>
          <w:color w:val="auto"/>
          <w:sz w:val="24"/>
          <w:highlight w:val="none"/>
        </w:rPr>
      </w:pPr>
      <w:r>
        <w:rPr>
          <w:rFonts w:hint="eastAsia"/>
          <w:bCs/>
          <w:color w:val="auto"/>
          <w:sz w:val="24"/>
          <w:highlight w:val="none"/>
        </w:rPr>
        <w:t>(</w:t>
      </w:r>
      <w:r>
        <w:rPr>
          <w:bCs/>
          <w:color w:val="auto"/>
          <w:sz w:val="24"/>
          <w:highlight w:val="none"/>
        </w:rPr>
        <w:t>8)</w:t>
      </w:r>
      <w:r>
        <w:rPr>
          <w:rFonts w:ascii="Segoe UI Symbol" w:hAnsi="Segoe UI Symbol" w:cs="Segoe UI Symbol"/>
          <w:bCs/>
          <w:color w:val="auto"/>
          <w:sz w:val="24"/>
          <w:highlight w:val="none"/>
        </w:rPr>
        <w:t xml:space="preserve"> </w:t>
      </w:r>
      <w:r>
        <w:rPr>
          <w:rFonts w:hint="eastAsia"/>
          <w:bCs/>
          <w:color w:val="auto"/>
          <w:sz w:val="24"/>
          <w:highlight w:val="none"/>
        </w:rPr>
        <w:t>提供五年系统（含应用软件）服务（7*24*4小时响应），提供服务承诺函。</w:t>
      </w:r>
    </w:p>
    <w:p>
      <w:pPr>
        <w:snapToGrid w:val="0"/>
        <w:rPr>
          <w:bCs/>
          <w:color w:val="auto"/>
          <w:sz w:val="24"/>
          <w:highlight w:val="none"/>
        </w:rPr>
      </w:pPr>
    </w:p>
    <w:p>
      <w:pPr>
        <w:widowControl/>
        <w:textAlignment w:val="center"/>
        <w:rPr>
          <w:b/>
          <w:color w:val="auto"/>
          <w:sz w:val="24"/>
          <w:highlight w:val="none"/>
        </w:rPr>
      </w:pPr>
      <w:r>
        <w:rPr>
          <w:b/>
          <w:color w:val="auto"/>
          <w:sz w:val="24"/>
          <w:highlight w:val="none"/>
        </w:rPr>
        <w:t>6、操纵系统、并行计算、编译等相关软件</w:t>
      </w:r>
    </w:p>
    <w:p>
      <w:pPr>
        <w:rPr>
          <w:bCs/>
          <w:color w:val="auto"/>
          <w:sz w:val="24"/>
          <w:highlight w:val="none"/>
        </w:rPr>
      </w:pPr>
      <w:r>
        <w:rPr>
          <w:rFonts w:hint="eastAsia"/>
          <w:bCs/>
          <w:color w:val="auto"/>
          <w:sz w:val="24"/>
          <w:highlight w:val="none"/>
        </w:rPr>
        <w:t>(</w:t>
      </w:r>
      <w:r>
        <w:rPr>
          <w:bCs/>
          <w:color w:val="auto"/>
          <w:sz w:val="24"/>
          <w:highlight w:val="none"/>
        </w:rPr>
        <w:t>1</w:t>
      </w:r>
      <w:r>
        <w:rPr>
          <w:rFonts w:hint="eastAsia"/>
          <w:bCs/>
          <w:color w:val="auto"/>
          <w:sz w:val="24"/>
          <w:highlight w:val="none"/>
        </w:rPr>
        <w:t xml:space="preserve">) </w:t>
      </w:r>
      <w:r>
        <w:rPr>
          <w:bCs/>
          <w:color w:val="auto"/>
          <w:sz w:val="24"/>
          <w:highlight w:val="none"/>
        </w:rPr>
        <w:t>Linux操作系统</w:t>
      </w:r>
      <w:r>
        <w:rPr>
          <w:rFonts w:hint="eastAsia"/>
          <w:bCs/>
          <w:color w:val="auto"/>
          <w:sz w:val="24"/>
          <w:highlight w:val="none"/>
        </w:rPr>
        <w:t>；</w:t>
      </w:r>
    </w:p>
    <w:p>
      <w:pPr>
        <w:rPr>
          <w:bCs/>
          <w:color w:val="auto"/>
          <w:sz w:val="24"/>
          <w:highlight w:val="none"/>
        </w:rPr>
      </w:pPr>
      <w:r>
        <w:rPr>
          <w:rFonts w:hint="eastAsia"/>
          <w:bCs/>
          <w:color w:val="auto"/>
          <w:sz w:val="24"/>
          <w:highlight w:val="none"/>
        </w:rPr>
        <w:t>(2</w:t>
      </w:r>
      <w:r>
        <w:rPr>
          <w:bCs/>
          <w:color w:val="auto"/>
          <w:sz w:val="24"/>
          <w:highlight w:val="none"/>
        </w:rPr>
        <w:t xml:space="preserve">) </w:t>
      </w:r>
      <w:r>
        <w:rPr>
          <w:rFonts w:ascii="Segoe UI Symbol" w:hAnsi="Segoe UI Symbol" w:cs="Segoe UI Symbol"/>
          <w:bCs/>
          <w:color w:val="auto"/>
          <w:sz w:val="24"/>
          <w:highlight w:val="none"/>
        </w:rPr>
        <w:t>Δ</w:t>
      </w:r>
      <w:r>
        <w:rPr>
          <w:bCs/>
          <w:color w:val="auto"/>
          <w:sz w:val="24"/>
          <w:highlight w:val="none"/>
        </w:rPr>
        <w:t>并行环境</w:t>
      </w:r>
      <w:r>
        <w:rPr>
          <w:rFonts w:hint="eastAsia"/>
          <w:bCs/>
          <w:color w:val="auto"/>
          <w:sz w:val="24"/>
          <w:highlight w:val="none"/>
        </w:rPr>
        <w:t>:</w:t>
      </w:r>
      <w:r>
        <w:rPr>
          <w:bCs/>
          <w:color w:val="auto"/>
          <w:sz w:val="24"/>
          <w:highlight w:val="none"/>
        </w:rPr>
        <w:t xml:space="preserve"> </w:t>
      </w:r>
      <w:r>
        <w:rPr>
          <w:rFonts w:hint="eastAsia"/>
          <w:bCs/>
          <w:color w:val="auto"/>
          <w:sz w:val="24"/>
          <w:highlight w:val="none"/>
        </w:rPr>
        <w:t>国际主流并行文件系统</w:t>
      </w:r>
      <w:r>
        <w:rPr>
          <w:bCs/>
          <w:color w:val="auto"/>
          <w:sz w:val="24"/>
          <w:highlight w:val="none"/>
        </w:rPr>
        <w:t xml:space="preserve"> </w:t>
      </w:r>
      <w:r>
        <w:rPr>
          <w:rFonts w:hint="eastAsia"/>
          <w:bCs/>
          <w:color w:val="auto"/>
          <w:sz w:val="24"/>
          <w:highlight w:val="none"/>
        </w:rPr>
        <w:t>(</w:t>
      </w:r>
      <w:r>
        <w:rPr>
          <w:bCs/>
          <w:color w:val="auto"/>
          <w:sz w:val="24"/>
          <w:highlight w:val="none"/>
        </w:rPr>
        <w:t>GPFS</w:t>
      </w:r>
      <w:r>
        <w:rPr>
          <w:rFonts w:hint="eastAsia"/>
          <w:bCs/>
          <w:color w:val="auto"/>
          <w:sz w:val="24"/>
          <w:highlight w:val="none"/>
        </w:rPr>
        <w:t>或L</w:t>
      </w:r>
      <w:r>
        <w:rPr>
          <w:bCs/>
          <w:color w:val="auto"/>
          <w:sz w:val="24"/>
          <w:highlight w:val="none"/>
        </w:rPr>
        <w:t>USTRE</w:t>
      </w:r>
      <w:r>
        <w:rPr>
          <w:rFonts w:hint="eastAsia"/>
          <w:bCs/>
          <w:color w:val="auto"/>
          <w:sz w:val="24"/>
          <w:highlight w:val="none"/>
        </w:rPr>
        <w:t>，</w:t>
      </w:r>
      <w:r>
        <w:rPr>
          <w:bCs/>
          <w:color w:val="auto"/>
          <w:sz w:val="24"/>
          <w:highlight w:val="none"/>
        </w:rPr>
        <w:t>支持InfiniBand和以太网</w:t>
      </w:r>
      <w:r>
        <w:rPr>
          <w:rFonts w:hint="eastAsia"/>
          <w:bCs/>
          <w:color w:val="auto"/>
          <w:sz w:val="24"/>
          <w:highlight w:val="none"/>
        </w:rPr>
        <w:t>)；</w:t>
      </w:r>
    </w:p>
    <w:p>
      <w:pPr>
        <w:rPr>
          <w:bCs/>
          <w:color w:val="auto"/>
          <w:sz w:val="24"/>
          <w:highlight w:val="none"/>
        </w:rPr>
      </w:pPr>
      <w:r>
        <w:rPr>
          <w:bCs/>
          <w:color w:val="auto"/>
          <w:sz w:val="24"/>
          <w:highlight w:val="none"/>
        </w:rPr>
        <w:t>(</w:t>
      </w:r>
      <w:r>
        <w:rPr>
          <w:rFonts w:hint="eastAsia"/>
          <w:bCs/>
          <w:color w:val="auto"/>
          <w:sz w:val="24"/>
          <w:highlight w:val="none"/>
        </w:rPr>
        <w:t>3</w:t>
      </w:r>
      <w:r>
        <w:rPr>
          <w:bCs/>
          <w:color w:val="auto"/>
          <w:sz w:val="24"/>
          <w:highlight w:val="none"/>
        </w:rPr>
        <w:t>)</w:t>
      </w:r>
      <w:r>
        <w:rPr>
          <w:rFonts w:hint="eastAsia"/>
          <w:bCs/>
          <w:color w:val="auto"/>
          <w:sz w:val="24"/>
          <w:highlight w:val="none"/>
        </w:rPr>
        <w:t xml:space="preserve"> </w:t>
      </w:r>
      <w:r>
        <w:rPr>
          <w:bCs/>
          <w:color w:val="auto"/>
          <w:sz w:val="24"/>
          <w:highlight w:val="none"/>
        </w:rPr>
        <w:t>编译器函数库： GNU、Intel编译器，支持C/C++/Fortran/Python；MKL、BLAS、LAPACK、ScaLAPACK、FFTW、Netcdf4.7、PNetcdf4、Ncview函数库等；</w:t>
      </w:r>
    </w:p>
    <w:p>
      <w:pPr>
        <w:rPr>
          <w:bCs/>
          <w:color w:val="auto"/>
          <w:sz w:val="24"/>
          <w:highlight w:val="none"/>
        </w:rPr>
      </w:pPr>
      <w:r>
        <w:rPr>
          <w:rFonts w:hint="eastAsia"/>
          <w:bCs/>
          <w:color w:val="auto"/>
          <w:sz w:val="24"/>
          <w:highlight w:val="none"/>
        </w:rPr>
        <w:t>(</w:t>
      </w:r>
      <w:r>
        <w:rPr>
          <w:bCs/>
          <w:color w:val="auto"/>
          <w:sz w:val="24"/>
          <w:highlight w:val="none"/>
        </w:rPr>
        <w:t>4) 质保期内负责</w:t>
      </w:r>
      <w:r>
        <w:rPr>
          <w:rFonts w:hint="eastAsia"/>
          <w:bCs/>
          <w:color w:val="auto"/>
          <w:sz w:val="24"/>
          <w:highlight w:val="none"/>
        </w:rPr>
        <w:t>相关软件的维护、版本升级及响应环境配置。</w:t>
      </w:r>
    </w:p>
    <w:p>
      <w:pPr>
        <w:widowControl/>
        <w:jc w:val="left"/>
        <w:rPr>
          <w:rFonts w:ascii="宋体" w:hAnsi="宋体" w:cs="宋体"/>
          <w:b/>
          <w:bCs/>
          <w:color w:val="auto"/>
          <w:sz w:val="24"/>
          <w:highlight w:val="none"/>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eastAsia" w:ascii="宋体" w:hAnsi="宋体" w:eastAsia="宋体" w:cs="Times New Roman"/>
          <w:b/>
          <w:color w:val="auto"/>
          <w:kern w:val="2"/>
          <w:sz w:val="28"/>
          <w:szCs w:val="28"/>
          <w:highlight w:val="none"/>
          <w:u w:val="single"/>
          <w:lang w:val="en-US" w:eastAsia="zh-CN" w:bidi="ar-SA"/>
        </w:rPr>
      </w:pPr>
      <w:r>
        <w:rPr>
          <w:rFonts w:hint="default" w:ascii="宋体" w:hAnsi="宋体" w:eastAsia="宋体" w:cs="Times New Roman"/>
          <w:b/>
          <w:color w:val="auto"/>
          <w:kern w:val="2"/>
          <w:sz w:val="28"/>
          <w:szCs w:val="28"/>
          <w:highlight w:val="none"/>
          <w:u w:val="none"/>
          <w:lang w:val="en-US" w:eastAsia="zh-CN" w:bidi="ar-SA"/>
        </w:rPr>
        <w:t>注：</w:t>
      </w:r>
      <w:r>
        <w:rPr>
          <w:rFonts w:hint="default" w:ascii="宋体" w:hAnsi="宋体" w:eastAsia="宋体" w:cs="Times New Roman"/>
          <w:b/>
          <w:color w:val="auto"/>
          <w:kern w:val="2"/>
          <w:sz w:val="28"/>
          <w:szCs w:val="28"/>
          <w:highlight w:val="none"/>
          <w:u w:val="single"/>
          <w:lang w:val="en-US" w:eastAsia="zh-CN" w:bidi="ar-SA"/>
        </w:rPr>
        <w:t>1.报价应明确所投产品（或服务）的名称、品牌和型号，否则投标无效。</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545"/>
        <w:jc w:val="both"/>
        <w:rPr>
          <w:rFonts w:hint="eastAsia" w:ascii="宋体" w:hAnsi="宋体" w:eastAsia="宋体" w:cs="Times New Roman"/>
          <w:b/>
          <w:color w:val="auto"/>
          <w:kern w:val="2"/>
          <w:sz w:val="28"/>
          <w:szCs w:val="28"/>
          <w:highlight w:val="none"/>
          <w:u w:val="single"/>
          <w:lang w:val="en-US" w:eastAsia="zh-CN" w:bidi="ar-SA"/>
        </w:rPr>
      </w:pPr>
      <w:r>
        <w:rPr>
          <w:rFonts w:hint="default" w:ascii="宋体" w:hAnsi="宋体" w:eastAsia="宋体" w:cs="Times New Roman"/>
          <w:b/>
          <w:color w:val="auto"/>
          <w:kern w:val="2"/>
          <w:sz w:val="28"/>
          <w:szCs w:val="28"/>
          <w:highlight w:val="none"/>
          <w:u w:val="single"/>
          <w:lang w:val="en-US" w:eastAsia="zh-CN" w:bidi="ar-SA"/>
        </w:rPr>
        <w:t>2.投标时需提供制造商售后服务承诺函原件(鲜章)：不低于原厂商5年7x24全免现场质保，当日4小时原厂备件上门更换服务，否则投标无效。</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p>
      <w:pPr>
        <w:widowControl/>
        <w:spacing w:line="360" w:lineRule="auto"/>
        <w:ind w:firstLine="482" w:firstLineChars="200"/>
        <w:textAlignment w:val="center"/>
        <w:rPr>
          <w:rFonts w:ascii="宋体" w:hAnsi="宋体"/>
          <w:b/>
          <w:color w:val="auto"/>
          <w:sz w:val="24"/>
          <w:highlight w:val="none"/>
        </w:rPr>
      </w:pPr>
      <w:r>
        <w:rPr>
          <w:rFonts w:hint="eastAsia" w:ascii="宋体" w:hAnsi="宋体"/>
          <w:b/>
          <w:color w:val="auto"/>
          <w:sz w:val="24"/>
          <w:highlight w:val="none"/>
        </w:rPr>
        <w:t>附件4：服务要求</w:t>
      </w:r>
    </w:p>
    <w:bookmarkEnd w:id="9"/>
    <w:bookmarkEnd w:id="11"/>
    <w:p>
      <w:pPr>
        <w:numPr>
          <w:ilvl w:val="0"/>
          <w:numId w:val="0"/>
        </w:numPr>
        <w:ind w:firstLine="480" w:firstLineChars="200"/>
        <w:rPr>
          <w:rFonts w:hint="eastAsia" w:ascii="Arial" w:hAnsi="宋体" w:cs="Arial"/>
          <w:color w:val="auto"/>
          <w:sz w:val="24"/>
          <w:szCs w:val="24"/>
          <w:highlight w:val="none"/>
          <w:lang w:val="en-US" w:eastAsia="zh-CN"/>
        </w:rPr>
      </w:pPr>
      <w:r>
        <w:rPr>
          <w:rFonts w:hint="eastAsia" w:ascii="Arial" w:hAnsi="宋体" w:cs="Arial"/>
          <w:color w:val="auto"/>
          <w:sz w:val="24"/>
          <w:szCs w:val="24"/>
          <w:highlight w:val="none"/>
          <w:lang w:val="en-US" w:eastAsia="zh-CN"/>
        </w:rPr>
        <w:t>1、供货周期：合同签订后30天内供货。</w:t>
      </w:r>
    </w:p>
    <w:p>
      <w:pPr>
        <w:numPr>
          <w:ilvl w:val="0"/>
          <w:numId w:val="0"/>
        </w:numPr>
        <w:ind w:firstLine="480" w:firstLineChars="200"/>
        <w:rPr>
          <w:rFonts w:hint="eastAsia" w:ascii="Arial" w:hAnsi="宋体" w:cs="Arial"/>
          <w:color w:val="auto"/>
          <w:sz w:val="24"/>
          <w:szCs w:val="24"/>
          <w:highlight w:val="none"/>
          <w:lang w:val="en-US" w:eastAsia="zh-CN"/>
        </w:rPr>
      </w:pPr>
      <w:r>
        <w:rPr>
          <w:rFonts w:hint="eastAsia" w:ascii="Arial" w:hAnsi="宋体" w:cs="Arial"/>
          <w:color w:val="auto"/>
          <w:sz w:val="24"/>
          <w:szCs w:val="24"/>
          <w:highlight w:val="none"/>
          <w:lang w:val="en-US" w:eastAsia="zh-CN"/>
        </w:rPr>
        <w:t>2、安装调试：到货后15天内完成安装调试。</w:t>
      </w:r>
    </w:p>
    <w:p>
      <w:pPr>
        <w:numPr>
          <w:ilvl w:val="0"/>
          <w:numId w:val="0"/>
        </w:numPr>
        <w:ind w:firstLine="480" w:firstLineChars="200"/>
        <w:rPr>
          <w:rFonts w:hint="eastAsia" w:ascii="Arial" w:hAnsi="宋体" w:cs="Arial"/>
          <w:color w:val="auto"/>
          <w:sz w:val="24"/>
          <w:szCs w:val="24"/>
          <w:highlight w:val="none"/>
          <w:lang w:val="en-US" w:eastAsia="zh-CN"/>
        </w:rPr>
      </w:pPr>
      <w:r>
        <w:rPr>
          <w:rFonts w:hint="eastAsia" w:ascii="Arial" w:hAnsi="宋体" w:cs="Arial"/>
          <w:color w:val="auto"/>
          <w:sz w:val="24"/>
          <w:szCs w:val="24"/>
          <w:highlight w:val="none"/>
          <w:lang w:val="en-US" w:eastAsia="zh-CN"/>
        </w:rPr>
        <w:t>3、质保：所有设备要求提供不低于原厂商5年7x24全免现场质保，当日4小时原厂备件上门更换服务。</w:t>
      </w: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pStyle w:val="2"/>
        <w:ind w:left="0" w:leftChars="0" w:right="1470"/>
        <w:rPr>
          <w:color w:val="auto"/>
          <w:highlight w:val="none"/>
        </w:rPr>
      </w:pPr>
    </w:p>
    <w:p>
      <w:pPr>
        <w:adjustRightInd w:val="0"/>
        <w:snapToGrid w:val="0"/>
        <w:spacing w:line="360" w:lineRule="auto"/>
        <w:rPr>
          <w:rFonts w:asci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本项目采用综合评分法，</w:t>
      </w:r>
      <w:r>
        <w:rPr>
          <w:rFonts w:ascii="宋体" w:hAnsi="宋体"/>
          <w:color w:val="auto"/>
          <w:sz w:val="24"/>
          <w:highlight w:val="none"/>
        </w:rPr>
        <w:t>总分为</w:t>
      </w:r>
      <w:r>
        <w:rPr>
          <w:rFonts w:hint="eastAsia" w:ascii="宋体" w:hAnsi="宋体"/>
          <w:color w:val="auto"/>
          <w:sz w:val="24"/>
          <w:highlight w:val="none"/>
        </w:rPr>
        <w:t>：</w:t>
      </w:r>
      <w:r>
        <w:rPr>
          <w:rFonts w:ascii="宋体" w:hAnsi="宋体"/>
          <w:color w:val="auto"/>
          <w:sz w:val="24"/>
          <w:highlight w:val="none"/>
        </w:rPr>
        <w:t>100</w:t>
      </w:r>
      <w:r>
        <w:rPr>
          <w:rFonts w:hint="eastAsia" w:ascii="宋体" w:hAnsi="宋体"/>
          <w:color w:val="auto"/>
          <w:sz w:val="24"/>
          <w:highlight w:val="none"/>
        </w:rPr>
        <w:t>分。</w:t>
      </w:r>
    </w:p>
    <w:p>
      <w:pPr>
        <w:spacing w:line="440" w:lineRule="exact"/>
        <w:rPr>
          <w:rFonts w:ascii="黑体" w:hAnsi="黑体" w:eastAsia="黑体"/>
          <w:b/>
          <w:color w:val="auto"/>
          <w:sz w:val="24"/>
          <w:highlight w:val="none"/>
        </w:rPr>
      </w:pPr>
      <w:r>
        <w:rPr>
          <w:rFonts w:hint="eastAsia" w:ascii="黑体" w:hAnsi="黑体" w:eastAsia="黑体"/>
          <w:b/>
          <w:color w:val="auto"/>
          <w:sz w:val="24"/>
          <w:highlight w:val="none"/>
        </w:rPr>
        <w:t>一、质量</w:t>
      </w:r>
    </w:p>
    <w:p>
      <w:pPr>
        <w:spacing w:line="440" w:lineRule="exact"/>
        <w:rPr>
          <w:rFonts w:ascii="宋体" w:hAnsi="宋体"/>
          <w:color w:val="auto"/>
          <w:sz w:val="24"/>
          <w:highlight w:val="none"/>
        </w:rPr>
      </w:pPr>
      <w:r>
        <w:rPr>
          <w:rFonts w:hint="eastAsia" w:ascii="宋体" w:hAnsi="宋体"/>
          <w:color w:val="auto"/>
          <w:sz w:val="24"/>
          <w:highlight w:val="none"/>
        </w:rPr>
        <w:t xml:space="preserve">    如果设有核心指标，核心指标必须满足。有1个核心指标不满足的，或有5个及以上非核心指标不满足的，即为</w:t>
      </w:r>
      <w:r>
        <w:rPr>
          <w:rFonts w:hint="eastAsia" w:ascii="宋体" w:hAnsi="宋体"/>
          <w:color w:val="auto"/>
          <w:sz w:val="24"/>
          <w:highlight w:val="none"/>
          <w:lang w:val="en-US" w:eastAsia="zh-CN"/>
        </w:rPr>
        <w:t>无效</w:t>
      </w:r>
      <w:r>
        <w:rPr>
          <w:rFonts w:hint="eastAsia" w:ascii="宋体" w:hAnsi="宋体"/>
          <w:color w:val="auto"/>
          <w:sz w:val="24"/>
          <w:highlight w:val="none"/>
        </w:rPr>
        <w:t>标</w:t>
      </w:r>
      <w:r>
        <w:rPr>
          <w:rFonts w:hint="eastAsia" w:ascii="宋体" w:hAnsi="宋体"/>
          <w:color w:val="auto"/>
          <w:sz w:val="24"/>
          <w:highlight w:val="none"/>
        </w:rPr>
        <w:t>（技术和服务要求中标注“</w:t>
      </w:r>
      <w:r>
        <w:rPr>
          <w:rFonts w:ascii="Segoe UI Symbol" w:hAnsi="Segoe UI Symbol" w:cs="Segoe UI Symbol"/>
          <w:bCs/>
          <w:color w:val="auto"/>
          <w:sz w:val="24"/>
          <w:highlight w:val="none"/>
        </w:rPr>
        <w:t>★</w:t>
      </w:r>
      <w:r>
        <w:rPr>
          <w:rFonts w:hint="eastAsia" w:ascii="宋体" w:hAnsi="宋体"/>
          <w:color w:val="auto"/>
          <w:sz w:val="24"/>
          <w:highlight w:val="none"/>
        </w:rPr>
        <w:t>”的是核心指标）。</w:t>
      </w:r>
    </w:p>
    <w:p>
      <w:pPr>
        <w:spacing w:line="440" w:lineRule="exact"/>
        <w:rPr>
          <w:rFonts w:hint="default" w:ascii="黑体" w:hAnsi="黑体" w:eastAsia="黑体"/>
          <w:color w:val="auto"/>
          <w:sz w:val="24"/>
          <w:highlight w:val="none"/>
          <w:lang w:val="en-US" w:eastAsia="zh-CN"/>
        </w:rPr>
      </w:pPr>
      <w:r>
        <w:rPr>
          <w:rFonts w:hint="eastAsia" w:ascii="黑体" w:hAnsi="黑体" w:eastAsia="黑体"/>
          <w:color w:val="auto"/>
          <w:sz w:val="24"/>
          <w:highlight w:val="none"/>
        </w:rPr>
        <w:t>二、价格</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30分</w:t>
      </w:r>
      <w:r>
        <w:rPr>
          <w:rFonts w:hint="eastAsia" w:ascii="黑体" w:hAnsi="黑体" w:eastAsia="黑体"/>
          <w:color w:val="auto"/>
          <w:sz w:val="24"/>
          <w:highlight w:val="none"/>
          <w:lang w:eastAsia="zh-CN"/>
        </w:rPr>
        <w:t>）</w:t>
      </w:r>
    </w:p>
    <w:p>
      <w:pPr>
        <w:spacing w:line="440" w:lineRule="exact"/>
        <w:ind w:firstLine="360" w:firstLineChars="150"/>
        <w:rPr>
          <w:rFonts w:ascii="宋体" w:hAnsi="宋体"/>
          <w:color w:val="auto"/>
          <w:sz w:val="24"/>
          <w:highlight w:val="none"/>
        </w:rPr>
      </w:pPr>
      <w:r>
        <w:rPr>
          <w:rFonts w:hint="eastAsia" w:ascii="宋体" w:hAnsi="宋体"/>
          <w:bCs/>
          <w:snapToGrid w:val="0"/>
          <w:color w:val="auto"/>
          <w:sz w:val="24"/>
          <w:highlight w:val="none"/>
        </w:rPr>
        <w:t xml:space="preserve"> 投标报价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30</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通过初步评审的有效标书中，满足招标文件要求且投标价格最低的投标报价为评标基准价，其价格分为满分。其他投标人的价格分统一按照下列公式计算：投标报价得分=(评标基准价／投标报</w:t>
      </w:r>
      <w:r>
        <w:rPr>
          <w:rFonts w:hint="eastAsia" w:ascii="宋体" w:hAnsi="宋体"/>
          <w:color w:val="auto"/>
          <w:sz w:val="24"/>
          <w:highlight w:val="none"/>
        </w:rPr>
        <w:t>价)×</w:t>
      </w:r>
      <w:r>
        <w:rPr>
          <w:rFonts w:hint="eastAsia" w:ascii="宋体" w:hAnsi="宋体"/>
          <w:color w:val="auto"/>
          <w:sz w:val="24"/>
          <w:highlight w:val="none"/>
          <w:lang w:val="en-US" w:eastAsia="zh-CN"/>
        </w:rPr>
        <w:t>3</w:t>
      </w:r>
      <w:r>
        <w:rPr>
          <w:rFonts w:hint="eastAsia" w:ascii="宋体" w:hAnsi="宋体"/>
          <w:color w:val="auto"/>
          <w:sz w:val="24"/>
          <w:highlight w:val="none"/>
        </w:rPr>
        <w:t>0分。</w:t>
      </w:r>
      <w:r>
        <w:rPr>
          <w:rFonts w:hint="eastAsia" w:ascii="宋体" w:hAnsi="宋体"/>
          <w:color w:val="auto"/>
          <w:sz w:val="24"/>
          <w:highlight w:val="none"/>
        </w:rPr>
        <w:t>（小数点后保留2位）。</w:t>
      </w:r>
    </w:p>
    <w:p>
      <w:pPr>
        <w:spacing w:line="440" w:lineRule="exact"/>
        <w:rPr>
          <w:rFonts w:hint="eastAsia" w:ascii="黑体" w:hAnsi="黑体" w:eastAsia="黑体"/>
          <w:color w:val="auto"/>
          <w:sz w:val="24"/>
          <w:highlight w:val="none"/>
          <w:lang w:eastAsia="zh-CN"/>
        </w:rPr>
      </w:pPr>
      <w:r>
        <w:rPr>
          <w:rFonts w:hint="eastAsia" w:ascii="黑体" w:hAnsi="黑体" w:eastAsia="黑体"/>
          <w:color w:val="auto"/>
          <w:sz w:val="24"/>
          <w:highlight w:val="none"/>
        </w:rPr>
        <w:t>三、服务</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58分</w:t>
      </w:r>
      <w:r>
        <w:rPr>
          <w:rFonts w:hint="eastAsia" w:ascii="黑体" w:hAnsi="黑体" w:eastAsia="黑体"/>
          <w:color w:val="auto"/>
          <w:sz w:val="24"/>
          <w:highlight w:val="none"/>
          <w:lang w:eastAsia="zh-CN"/>
        </w:rPr>
        <w:t>）</w:t>
      </w:r>
    </w:p>
    <w:p>
      <w:pPr>
        <w:spacing w:line="440" w:lineRule="exact"/>
        <w:ind w:firstLine="480"/>
        <w:rPr>
          <w:rFonts w:ascii="宋体" w:hAnsi="宋体"/>
          <w:color w:val="auto"/>
          <w:sz w:val="24"/>
          <w:highlight w:val="none"/>
        </w:rPr>
      </w:pPr>
      <w:r>
        <w:rPr>
          <w:rFonts w:hint="eastAsia" w:ascii="宋体" w:hAnsi="宋体"/>
          <w:color w:val="auto"/>
          <w:sz w:val="24"/>
          <w:highlight w:val="none"/>
        </w:rPr>
        <w:t>1.技术方案</w:t>
      </w:r>
      <w:r>
        <w:rPr>
          <w:rFonts w:hint="eastAsia" w:ascii="宋体" w:hAnsi="宋体"/>
          <w:color w:val="auto"/>
          <w:sz w:val="24"/>
          <w:highlight w:val="none"/>
          <w:lang w:eastAsia="zh-CN"/>
        </w:rPr>
        <w:t>（</w:t>
      </w:r>
      <w:r>
        <w:rPr>
          <w:rFonts w:hint="eastAsia" w:ascii="宋体" w:hAnsi="宋体"/>
          <w:color w:val="auto"/>
          <w:sz w:val="24"/>
          <w:highlight w:val="none"/>
        </w:rPr>
        <w:t>55分</w:t>
      </w:r>
      <w:r>
        <w:rPr>
          <w:rFonts w:hint="eastAsia" w:ascii="宋体" w:hAnsi="宋体"/>
          <w:color w:val="auto"/>
          <w:sz w:val="24"/>
          <w:highlight w:val="none"/>
          <w:lang w:eastAsia="zh-CN"/>
        </w:rPr>
        <w:t>）</w:t>
      </w:r>
      <w:r>
        <w:rPr>
          <w:rFonts w:hint="eastAsia" w:ascii="宋体" w:hAnsi="宋体"/>
          <w:color w:val="auto"/>
          <w:sz w:val="24"/>
          <w:highlight w:val="none"/>
        </w:rPr>
        <w:t>（小数点后保留1位）:由评委根据投标文件响应招标文件中各相关指标情况酌情给分。核心和非核心指标全部满足的得50分，所有指标中，被评委认定为有实际意义的正偏离的，每1项正偏离加1分，最多加5分</w:t>
      </w:r>
      <w:r>
        <w:rPr>
          <w:rFonts w:hint="eastAsia" w:ascii="宋体" w:hAnsi="宋体"/>
          <w:color w:val="auto"/>
          <w:sz w:val="24"/>
          <w:highlight w:val="none"/>
        </w:rPr>
        <w:t>；非核心指标中，标注“</w:t>
      </w:r>
      <w:r>
        <w:rPr>
          <w:rFonts w:ascii="Segoe UI Symbol" w:hAnsi="Segoe UI Symbol" w:cs="Segoe UI Symbol"/>
          <w:bCs/>
          <w:color w:val="auto"/>
          <w:sz w:val="24"/>
          <w:highlight w:val="none"/>
        </w:rPr>
        <w:t>Δ</w:t>
      </w:r>
      <w:r>
        <w:rPr>
          <w:rFonts w:hint="eastAsia" w:ascii="宋体" w:hAnsi="宋体"/>
          <w:color w:val="auto"/>
          <w:sz w:val="24"/>
          <w:highlight w:val="none"/>
        </w:rPr>
        <w:t>”的重要指标每有1项不满足的（负偏离）扣5分，其余非核心指标每有1项不满足的（负偏离）扣2.5分（在50分基础上加分和扣分）。非核心指标有5项及以上负偏离的，即为</w:t>
      </w:r>
      <w:r>
        <w:rPr>
          <w:rFonts w:hint="eastAsia" w:ascii="宋体" w:hAnsi="宋体"/>
          <w:color w:val="auto"/>
          <w:sz w:val="24"/>
          <w:highlight w:val="none"/>
          <w:lang w:val="en-US" w:eastAsia="zh-CN"/>
        </w:rPr>
        <w:t>无效</w:t>
      </w:r>
      <w:r>
        <w:rPr>
          <w:rFonts w:hint="eastAsia" w:ascii="宋体" w:hAnsi="宋体"/>
          <w:color w:val="auto"/>
          <w:sz w:val="24"/>
          <w:highlight w:val="none"/>
        </w:rPr>
        <w:t>标。</w:t>
      </w:r>
    </w:p>
    <w:p>
      <w:pPr>
        <w:spacing w:line="440" w:lineRule="exact"/>
        <w:ind w:firstLine="480"/>
        <w:rPr>
          <w:rFonts w:ascii="宋体" w:hAnsi="宋体"/>
          <w:color w:val="auto"/>
          <w:sz w:val="24"/>
          <w:highlight w:val="none"/>
        </w:rPr>
      </w:pPr>
      <w:r>
        <w:rPr>
          <w:rFonts w:hint="eastAsia" w:ascii="宋体" w:hAnsi="宋体"/>
          <w:color w:val="auto"/>
          <w:sz w:val="24"/>
          <w:highlight w:val="none"/>
        </w:rPr>
        <w:t>2.服务或实施方案</w:t>
      </w:r>
      <w:r>
        <w:rPr>
          <w:rFonts w:hint="eastAsia" w:ascii="宋体" w:hAnsi="宋体"/>
          <w:color w:val="auto"/>
          <w:sz w:val="24"/>
          <w:highlight w:val="none"/>
          <w:lang w:eastAsia="zh-CN"/>
        </w:rPr>
        <w:t>（</w:t>
      </w:r>
      <w:r>
        <w:rPr>
          <w:rFonts w:hint="eastAsia" w:ascii="宋体" w:hAnsi="宋体"/>
          <w:color w:val="auto"/>
          <w:sz w:val="24"/>
          <w:highlight w:val="none"/>
        </w:rPr>
        <w:t>3分</w:t>
      </w:r>
      <w:r>
        <w:rPr>
          <w:rFonts w:hint="eastAsia" w:ascii="宋体" w:hAnsi="宋体"/>
          <w:color w:val="auto"/>
          <w:sz w:val="24"/>
          <w:highlight w:val="none"/>
          <w:lang w:eastAsia="zh-CN"/>
        </w:rPr>
        <w:t>）</w:t>
      </w:r>
      <w:r>
        <w:rPr>
          <w:rFonts w:hint="eastAsia" w:ascii="宋体" w:hAnsi="宋体"/>
          <w:color w:val="auto"/>
          <w:sz w:val="24"/>
          <w:highlight w:val="none"/>
        </w:rPr>
        <w:t>：由评委根据投标单位投标文件中针对本项目的实际情况提出的服务或实施方案等综合情况酌情给分，重点考查设备的安装和调试，分三档：一档：3分；二档：2分；三档：1-0分,没有服务或实施方案的，不得分。</w:t>
      </w:r>
    </w:p>
    <w:p>
      <w:pPr>
        <w:spacing w:line="440" w:lineRule="exact"/>
        <w:rPr>
          <w:rFonts w:hint="eastAsia" w:ascii="黑体" w:hAnsi="黑体" w:eastAsia="黑体"/>
          <w:color w:val="auto"/>
          <w:sz w:val="24"/>
          <w:highlight w:val="none"/>
          <w:lang w:eastAsia="zh-CN"/>
        </w:rPr>
      </w:pPr>
      <w:r>
        <w:rPr>
          <w:rFonts w:hint="eastAsia" w:ascii="黑体" w:hAnsi="黑体" w:eastAsia="黑体"/>
          <w:color w:val="auto"/>
          <w:sz w:val="24"/>
          <w:highlight w:val="none"/>
        </w:rPr>
        <w:t>四、服务保障能力</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10分</w:t>
      </w:r>
      <w:r>
        <w:rPr>
          <w:rFonts w:hint="eastAsia" w:ascii="黑体" w:hAnsi="黑体" w:eastAsia="黑体"/>
          <w:color w:val="auto"/>
          <w:sz w:val="24"/>
          <w:highlight w:val="none"/>
          <w:lang w:eastAsia="zh-CN"/>
        </w:rPr>
        <w:t>）</w:t>
      </w:r>
    </w:p>
    <w:p>
      <w:pPr>
        <w:spacing w:line="440" w:lineRule="exact"/>
        <w:rPr>
          <w:rFonts w:ascii="宋体" w:hAnsi="宋体"/>
          <w:color w:val="auto"/>
          <w:sz w:val="24"/>
          <w:highlight w:val="none"/>
        </w:rPr>
      </w:pPr>
      <w:r>
        <w:rPr>
          <w:rFonts w:hint="eastAsia" w:ascii="宋体" w:hAnsi="宋体"/>
          <w:color w:val="auto"/>
          <w:sz w:val="24"/>
          <w:highlight w:val="none"/>
        </w:rPr>
        <w:t xml:space="preserve">    1.所投品牌业绩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color w:val="auto"/>
          <w:sz w:val="24"/>
          <w:highlight w:val="none"/>
        </w:rPr>
        <w:t xml:space="preserve">提供所投品牌近三年 </w:t>
      </w:r>
      <w:r>
        <w:rPr>
          <w:rFonts w:hint="eastAsia"/>
          <w:color w:val="auto"/>
          <w:sz w:val="24"/>
          <w:highlight w:val="none"/>
        </w:rPr>
        <w:t>(</w:t>
      </w:r>
      <w:r>
        <w:rPr>
          <w:color w:val="auto"/>
          <w:sz w:val="24"/>
          <w:highlight w:val="none"/>
        </w:rPr>
        <w:t>2017-2019)</w:t>
      </w:r>
      <w:r>
        <w:rPr>
          <w:color w:val="auto"/>
          <w:sz w:val="24"/>
          <w:highlight w:val="none"/>
        </w:rPr>
        <w:t xml:space="preserve"> </w:t>
      </w:r>
      <w:r>
        <w:rPr>
          <w:rFonts w:hint="eastAsia"/>
          <w:color w:val="auto"/>
          <w:sz w:val="24"/>
          <w:highlight w:val="none"/>
        </w:rPr>
        <w:t>X</w:t>
      </w:r>
      <w:r>
        <w:rPr>
          <w:color w:val="auto"/>
          <w:sz w:val="24"/>
          <w:highlight w:val="none"/>
        </w:rPr>
        <w:t>86</w:t>
      </w:r>
      <w:r>
        <w:rPr>
          <w:rFonts w:hint="eastAsia"/>
          <w:color w:val="auto"/>
          <w:sz w:val="24"/>
          <w:highlight w:val="none"/>
        </w:rPr>
        <w:t>机架服务器</w:t>
      </w:r>
      <w:r>
        <w:rPr>
          <w:rFonts w:hint="eastAsia"/>
          <w:color w:val="auto"/>
          <w:sz w:val="24"/>
          <w:highlight w:val="none"/>
        </w:rPr>
        <w:t>IDC</w:t>
      </w:r>
      <w:r>
        <w:rPr>
          <w:rFonts w:hint="eastAsia"/>
          <w:b/>
          <w:color w:val="auto"/>
          <w:sz w:val="24"/>
          <w:highlight w:val="none"/>
        </w:rPr>
        <w:t>全球出货量</w:t>
      </w:r>
      <w:r>
        <w:rPr>
          <w:rFonts w:hint="eastAsia"/>
          <w:color w:val="auto"/>
          <w:sz w:val="24"/>
          <w:highlight w:val="none"/>
        </w:rPr>
        <w:t>报告，每年排名均在前五加2分，</w:t>
      </w:r>
      <w:r>
        <w:rPr>
          <w:rFonts w:hint="eastAsia"/>
          <w:color w:val="auto"/>
          <w:sz w:val="24"/>
          <w:highlight w:val="none"/>
        </w:rPr>
        <w:t>每年排名均在前十加1分，</w:t>
      </w:r>
      <w:r>
        <w:rPr>
          <w:rFonts w:hint="eastAsia"/>
          <w:color w:val="auto"/>
          <w:sz w:val="24"/>
          <w:highlight w:val="none"/>
        </w:rPr>
        <w:t>否则不得分。提供所投品牌近三年</w:t>
      </w:r>
      <w:r>
        <w:rPr>
          <w:rFonts w:hint="eastAsia"/>
          <w:color w:val="auto"/>
          <w:sz w:val="24"/>
          <w:highlight w:val="none"/>
        </w:rPr>
        <w:t>(</w:t>
      </w:r>
      <w:r>
        <w:rPr>
          <w:color w:val="auto"/>
          <w:sz w:val="24"/>
          <w:highlight w:val="none"/>
        </w:rPr>
        <w:t>2017-2019)</w:t>
      </w:r>
      <w:r>
        <w:rPr>
          <w:color w:val="auto"/>
          <w:sz w:val="24"/>
          <w:highlight w:val="none"/>
        </w:rPr>
        <w:t xml:space="preserve"> </w:t>
      </w:r>
      <w:r>
        <w:rPr>
          <w:rFonts w:hint="eastAsia"/>
          <w:color w:val="auto"/>
          <w:sz w:val="24"/>
          <w:highlight w:val="none"/>
        </w:rPr>
        <w:t>X</w:t>
      </w:r>
      <w:r>
        <w:rPr>
          <w:color w:val="auto"/>
          <w:sz w:val="24"/>
          <w:highlight w:val="none"/>
        </w:rPr>
        <w:t>86</w:t>
      </w:r>
      <w:r>
        <w:rPr>
          <w:rFonts w:hint="eastAsia"/>
          <w:color w:val="auto"/>
          <w:sz w:val="24"/>
          <w:highlight w:val="none"/>
        </w:rPr>
        <w:t>机架服务器</w:t>
      </w:r>
      <w:r>
        <w:rPr>
          <w:rFonts w:hint="eastAsia"/>
          <w:color w:val="auto"/>
          <w:sz w:val="24"/>
          <w:highlight w:val="none"/>
        </w:rPr>
        <w:t>IDC</w:t>
      </w:r>
      <w:r>
        <w:rPr>
          <w:rFonts w:hint="eastAsia"/>
          <w:b/>
          <w:bCs/>
          <w:color w:val="auto"/>
          <w:sz w:val="24"/>
          <w:highlight w:val="none"/>
        </w:rPr>
        <w:t>全球销售额</w:t>
      </w:r>
      <w:r>
        <w:rPr>
          <w:rFonts w:hint="eastAsia"/>
          <w:color w:val="auto"/>
          <w:sz w:val="24"/>
          <w:highlight w:val="none"/>
        </w:rPr>
        <w:t>报告，每年排名均在前五加2分，</w:t>
      </w:r>
      <w:r>
        <w:rPr>
          <w:rFonts w:hint="eastAsia"/>
          <w:color w:val="auto"/>
          <w:sz w:val="24"/>
          <w:highlight w:val="none"/>
        </w:rPr>
        <w:t>每年排名均在前十加1分，</w:t>
      </w:r>
      <w:r>
        <w:rPr>
          <w:rFonts w:hint="eastAsia"/>
          <w:color w:val="auto"/>
          <w:sz w:val="24"/>
          <w:highlight w:val="none"/>
        </w:rPr>
        <w:t>否则不得分。</w:t>
      </w:r>
    </w:p>
    <w:p>
      <w:pPr>
        <w:spacing w:line="440" w:lineRule="exact"/>
        <w:rPr>
          <w:rFonts w:ascii="宋体" w:hAnsi="宋体"/>
          <w:color w:val="auto"/>
          <w:sz w:val="24"/>
          <w:highlight w:val="none"/>
        </w:rPr>
      </w:pPr>
      <w:r>
        <w:rPr>
          <w:rFonts w:hint="eastAsia" w:ascii="宋体" w:hAnsi="宋体"/>
          <w:color w:val="auto"/>
          <w:sz w:val="24"/>
          <w:highlight w:val="none"/>
        </w:rPr>
        <w:t xml:space="preserve">    2.代理商所</w:t>
      </w:r>
      <w:r>
        <w:rPr>
          <w:rFonts w:ascii="宋体" w:hAnsi="宋体"/>
          <w:color w:val="auto"/>
          <w:sz w:val="24"/>
          <w:highlight w:val="none"/>
        </w:rPr>
        <w:t>投标货物的制造商</w:t>
      </w:r>
      <w:r>
        <w:rPr>
          <w:rFonts w:hint="eastAsia" w:ascii="宋体" w:hAnsi="宋体"/>
          <w:color w:val="auto"/>
          <w:sz w:val="24"/>
          <w:highlight w:val="none"/>
        </w:rPr>
        <w:t>ISO9001或14001质量认证资质证书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制造商投标的，参照上述标准得分</w:t>
      </w:r>
      <w:r>
        <w:rPr>
          <w:rFonts w:hint="eastAsia" w:ascii="宋体" w:hAnsi="宋体"/>
          <w:color w:val="auto"/>
          <w:sz w:val="24"/>
          <w:highlight w:val="none"/>
          <w:lang w:eastAsia="zh-CN"/>
        </w:rPr>
        <w:t>）</w:t>
      </w:r>
      <w:r>
        <w:rPr>
          <w:rFonts w:hint="eastAsia" w:ascii="宋体" w:hAnsi="宋体"/>
          <w:color w:val="auto"/>
          <w:sz w:val="24"/>
          <w:highlight w:val="none"/>
        </w:rPr>
        <w:t>；</w:t>
      </w:r>
    </w:p>
    <w:p>
      <w:pPr>
        <w:spacing w:line="440" w:lineRule="exact"/>
        <w:rPr>
          <w:rFonts w:ascii="宋体" w:hAnsi="宋体"/>
          <w:color w:val="auto"/>
          <w:sz w:val="24"/>
          <w:highlight w:val="none"/>
        </w:rPr>
      </w:pPr>
      <w:r>
        <w:rPr>
          <w:rFonts w:hint="eastAsia" w:ascii="宋体" w:hAnsi="宋体"/>
          <w:color w:val="auto"/>
          <w:sz w:val="24"/>
          <w:highlight w:val="none"/>
        </w:rPr>
        <w:t xml:space="preserve">    3.投标企业业绩</w:t>
      </w:r>
      <w:r>
        <w:rPr>
          <w:rFonts w:hint="eastAsia" w:ascii="宋体" w:hAnsi="宋体"/>
          <w:color w:val="auto"/>
          <w:sz w:val="24"/>
          <w:highlight w:val="none"/>
          <w:lang w:eastAsia="zh-CN"/>
        </w:rPr>
        <w:t>（</w:t>
      </w:r>
      <w:r>
        <w:rPr>
          <w:rFonts w:hint="eastAsia" w:ascii="宋体" w:hAnsi="宋体"/>
          <w:color w:val="auto"/>
          <w:sz w:val="24"/>
          <w:highlight w:val="none"/>
        </w:rPr>
        <w:t>3分</w:t>
      </w:r>
      <w:r>
        <w:rPr>
          <w:rFonts w:hint="eastAsia" w:ascii="宋体" w:hAnsi="宋体"/>
          <w:color w:val="auto"/>
          <w:sz w:val="24"/>
          <w:highlight w:val="none"/>
          <w:lang w:eastAsia="zh-CN"/>
        </w:rPr>
        <w:t>）</w:t>
      </w:r>
      <w:r>
        <w:rPr>
          <w:rFonts w:hint="eastAsia" w:ascii="宋体" w:hAnsi="宋体"/>
          <w:color w:val="auto"/>
          <w:sz w:val="24"/>
          <w:highlight w:val="none"/>
        </w:rPr>
        <w:t>：能提供近3年来类似业绩复印件1份的，得1分，以此类推，最多得3分；反之，不得分</w:t>
      </w:r>
      <w:r>
        <w:rPr>
          <w:rFonts w:hint="eastAsia" w:ascii="宋体" w:hAnsi="宋体"/>
          <w:color w:val="auto"/>
          <w:sz w:val="24"/>
          <w:highlight w:val="none"/>
        </w:rPr>
        <w:t>。</w:t>
      </w:r>
      <w:r>
        <w:rPr>
          <w:rFonts w:hint="eastAsia" w:ascii="宋体" w:hAnsi="宋体"/>
          <w:color w:val="auto"/>
          <w:sz w:val="24"/>
          <w:highlight w:val="none"/>
        </w:rPr>
        <w:t>类似业绩提供合同，原件备查。</w:t>
      </w:r>
    </w:p>
    <w:p>
      <w:pPr>
        <w:spacing w:line="440" w:lineRule="exact"/>
        <w:ind w:firstLine="480"/>
        <w:rPr>
          <w:rFonts w:hint="eastAsia" w:ascii="宋体" w:hAnsi="宋体"/>
          <w:color w:val="auto"/>
          <w:sz w:val="24"/>
          <w:highlight w:val="none"/>
        </w:rPr>
      </w:pPr>
      <w:r>
        <w:rPr>
          <w:rFonts w:hint="eastAsia" w:ascii="宋体" w:hAnsi="宋体"/>
          <w:color w:val="auto"/>
          <w:sz w:val="24"/>
          <w:highlight w:val="none"/>
        </w:rPr>
        <w:t>4.信誉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ascii="宋体" w:hAnsi="宋体"/>
          <w:color w:val="auto"/>
          <w:sz w:val="24"/>
          <w:highlight w:val="none"/>
        </w:rPr>
        <w:t>：</w:t>
      </w:r>
      <w:r>
        <w:rPr>
          <w:color w:val="auto"/>
          <w:sz w:val="24"/>
          <w:highlight w:val="none"/>
        </w:rPr>
        <w:t>投标人提供信用评级机构出具的信用评级报告为AAA级的 得2分，AA级的得1分，AA级以下不得分。（提供证书复印件）</w:t>
      </w:r>
      <w:r>
        <w:rPr>
          <w:rFonts w:hint="eastAsia" w:ascii="宋体" w:hAnsi="宋体"/>
          <w:color w:val="auto"/>
          <w:sz w:val="24"/>
          <w:highlight w:val="none"/>
        </w:rPr>
        <w:t>。</w:t>
      </w:r>
    </w:p>
    <w:p>
      <w:pPr>
        <w:spacing w:line="440" w:lineRule="exact"/>
        <w:rPr>
          <w:rFonts w:hint="eastAsia" w:ascii="黑体" w:hAnsi="黑体" w:eastAsia="黑体"/>
          <w:color w:val="auto"/>
          <w:sz w:val="24"/>
          <w:highlight w:val="none"/>
        </w:rPr>
      </w:pPr>
      <w:r>
        <w:rPr>
          <w:rFonts w:hint="eastAsia" w:ascii="黑体" w:hAnsi="黑体" w:eastAsia="黑体"/>
          <w:color w:val="auto"/>
          <w:sz w:val="24"/>
          <w:highlight w:val="none"/>
          <w:lang w:val="en-US" w:eastAsia="zh-CN"/>
        </w:rPr>
        <w:t>五、</w:t>
      </w:r>
      <w:r>
        <w:rPr>
          <w:rFonts w:hint="eastAsia" w:ascii="黑体" w:hAnsi="黑体" w:eastAsia="黑体"/>
          <w:color w:val="auto"/>
          <w:sz w:val="24"/>
          <w:highlight w:val="none"/>
        </w:rPr>
        <w:t>投标文件编制（2分）</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投标文件评价（2分）：投标文件目录、页码齐全得1分；目录与页码能准确对应得1分。</w:t>
      </w:r>
    </w:p>
    <w:p>
      <w:pPr>
        <w:spacing w:line="440" w:lineRule="exact"/>
        <w:rPr>
          <w:rFonts w:hint="eastAsia" w:ascii="宋体" w:hAnsi="宋体"/>
          <w:color w:val="auto"/>
          <w:sz w:val="24"/>
          <w:highlight w:val="none"/>
        </w:rPr>
      </w:pPr>
      <w:r>
        <w:rPr>
          <w:rFonts w:hint="eastAsia" w:ascii="宋体" w:hAnsi="宋体"/>
          <w:color w:val="auto"/>
          <w:sz w:val="24"/>
          <w:highlight w:val="none"/>
        </w:rPr>
        <w:br w:type="page"/>
      </w: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Lines="50"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8"/>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165"/>
        <w:gridCol w:w="1115"/>
        <w:gridCol w:w="1160"/>
        <w:gridCol w:w="1160"/>
        <w:gridCol w:w="1160"/>
        <w:gridCol w:w="1160"/>
        <w:gridCol w:w="116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558"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535"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557"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557"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557"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557"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558"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562" w:type="pct"/>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35" w:type="pct"/>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62" w:type="pct"/>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35" w:type="pct"/>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62" w:type="pct"/>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35" w:type="pct"/>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62" w:type="pct"/>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35" w:type="pct"/>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62" w:type="pct"/>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35" w:type="pct"/>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7" w:type="pct"/>
            <w:vAlign w:val="center"/>
          </w:tcPr>
          <w:p>
            <w:pPr>
              <w:spacing w:line="360" w:lineRule="auto"/>
              <w:jc w:val="center"/>
              <w:rPr>
                <w:rFonts w:ascii="宋体"/>
                <w:color w:val="auto"/>
                <w:sz w:val="24"/>
                <w:highlight w:val="none"/>
              </w:rPr>
            </w:pPr>
          </w:p>
        </w:tc>
        <w:tc>
          <w:tcPr>
            <w:tcW w:w="558" w:type="pct"/>
            <w:vAlign w:val="center"/>
          </w:tcPr>
          <w:p>
            <w:pPr>
              <w:spacing w:line="360" w:lineRule="auto"/>
              <w:jc w:val="center"/>
              <w:rPr>
                <w:rFonts w:ascii="宋体"/>
                <w:color w:val="auto"/>
                <w:sz w:val="24"/>
                <w:highlight w:val="none"/>
              </w:rPr>
            </w:pPr>
          </w:p>
        </w:tc>
        <w:tc>
          <w:tcPr>
            <w:tcW w:w="562" w:type="pct"/>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3883" w:type="pct"/>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Lines="50"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质保期1年。（自交货验收合格之日起计）</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w:t>
      </w:r>
      <w:r>
        <w:rPr>
          <w:rFonts w:hAnsi="宋体"/>
          <w:color w:val="auto"/>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color w:val="auto"/>
          <w:sz w:val="24"/>
          <w:szCs w:val="24"/>
          <w:highlight w:val="none"/>
        </w:rPr>
        <w:t>，质保期满后</w:t>
      </w:r>
      <w:r>
        <w:rPr>
          <w:rFonts w:hAnsi="宋体"/>
          <w:color w:val="auto"/>
          <w:sz w:val="24"/>
          <w:szCs w:val="24"/>
          <w:highlight w:val="none"/>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Ansi="宋体"/>
          <w:color w:val="auto"/>
          <w:sz w:val="24"/>
          <w:szCs w:val="24"/>
          <w:highlight w:val="none"/>
        </w:rPr>
        <w:t>________</w:t>
      </w:r>
      <w:r>
        <w:rPr>
          <w:rFonts w:hint="eastAsia" w:hAnsi="宋体"/>
          <w:color w:val="auto"/>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十九、合同生效及其它</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8"/>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5D23"/>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11145DF"/>
    <w:rsid w:val="02A33DA1"/>
    <w:rsid w:val="02B548F2"/>
    <w:rsid w:val="05C819CD"/>
    <w:rsid w:val="066B769A"/>
    <w:rsid w:val="083423DA"/>
    <w:rsid w:val="08987586"/>
    <w:rsid w:val="099E7321"/>
    <w:rsid w:val="09F61D6C"/>
    <w:rsid w:val="0ACF45E5"/>
    <w:rsid w:val="0B935453"/>
    <w:rsid w:val="0BD46B3D"/>
    <w:rsid w:val="10503A56"/>
    <w:rsid w:val="13334080"/>
    <w:rsid w:val="186E045C"/>
    <w:rsid w:val="18AF1366"/>
    <w:rsid w:val="1DA3454F"/>
    <w:rsid w:val="1EF5195F"/>
    <w:rsid w:val="21734A7A"/>
    <w:rsid w:val="2356632F"/>
    <w:rsid w:val="28371F13"/>
    <w:rsid w:val="2C1C7999"/>
    <w:rsid w:val="2CE81BAF"/>
    <w:rsid w:val="2E803571"/>
    <w:rsid w:val="30322B81"/>
    <w:rsid w:val="3346158E"/>
    <w:rsid w:val="36281E12"/>
    <w:rsid w:val="375338D0"/>
    <w:rsid w:val="37BB0AB2"/>
    <w:rsid w:val="38D85F8F"/>
    <w:rsid w:val="38F33167"/>
    <w:rsid w:val="396A25B4"/>
    <w:rsid w:val="3AEA2FC3"/>
    <w:rsid w:val="3D500238"/>
    <w:rsid w:val="3D800AA7"/>
    <w:rsid w:val="3E073001"/>
    <w:rsid w:val="3EC42E1B"/>
    <w:rsid w:val="3F605042"/>
    <w:rsid w:val="40706CB4"/>
    <w:rsid w:val="440A787A"/>
    <w:rsid w:val="44530460"/>
    <w:rsid w:val="44DC7F4B"/>
    <w:rsid w:val="473F4E51"/>
    <w:rsid w:val="4C2B37FA"/>
    <w:rsid w:val="4DF63B84"/>
    <w:rsid w:val="59161167"/>
    <w:rsid w:val="61521866"/>
    <w:rsid w:val="634D7AE2"/>
    <w:rsid w:val="65EB685A"/>
    <w:rsid w:val="6BC1702A"/>
    <w:rsid w:val="6DFD5D78"/>
    <w:rsid w:val="6EB2349D"/>
    <w:rsid w:val="75BE6EB5"/>
    <w:rsid w:val="773233D8"/>
    <w:rsid w:val="774D4FB8"/>
    <w:rsid w:val="7BFD1E9F"/>
    <w:rsid w:val="7C844075"/>
    <w:rsid w:val="7CD14735"/>
    <w:rsid w:val="7E3C3FAF"/>
    <w:rsid w:val="7EEF6C2A"/>
    <w:rsid w:val="7F074C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3"/>
    <w:qFormat/>
    <w:uiPriority w:val="99"/>
    <w:pPr>
      <w:jc w:val="left"/>
    </w:pPr>
    <w:rPr>
      <w:sz w:val="24"/>
      <w:szCs w:val="20"/>
    </w:rPr>
  </w:style>
  <w:style w:type="paragraph" w:styleId="5">
    <w:name w:val="Body Text"/>
    <w:basedOn w:val="1"/>
    <w:link w:val="42"/>
    <w:unhideWhenUsed/>
    <w:qFormat/>
    <w:locked/>
    <w:uiPriority w:val="99"/>
    <w:pPr>
      <w:spacing w:after="120"/>
    </w:pPr>
  </w:style>
  <w:style w:type="paragraph" w:styleId="6">
    <w:name w:val="Body Text Indent"/>
    <w:basedOn w:val="1"/>
    <w:link w:val="24"/>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5"/>
    <w:qFormat/>
    <w:uiPriority w:val="0"/>
    <w:rPr>
      <w:rFonts w:ascii="宋体" w:hAnsi="Courier New"/>
      <w:szCs w:val="20"/>
    </w:rPr>
  </w:style>
  <w:style w:type="paragraph" w:styleId="9">
    <w:name w:val="Date"/>
    <w:basedOn w:val="1"/>
    <w:next w:val="1"/>
    <w:link w:val="26"/>
    <w:qFormat/>
    <w:uiPriority w:val="99"/>
    <w:pPr>
      <w:ind w:left="100" w:leftChars="2500"/>
    </w:pPr>
    <w:rPr>
      <w:sz w:val="24"/>
      <w:szCs w:val="20"/>
    </w:rPr>
  </w:style>
  <w:style w:type="paragraph" w:styleId="10">
    <w:name w:val="Balloon Text"/>
    <w:basedOn w:val="1"/>
    <w:link w:val="27"/>
    <w:semiHidden/>
    <w:qFormat/>
    <w:uiPriority w:val="99"/>
    <w:rPr>
      <w:kern w:val="0"/>
      <w:sz w:val="2"/>
      <w:szCs w:val="20"/>
    </w:rPr>
  </w:style>
  <w:style w:type="paragraph" w:styleId="11">
    <w:name w:val="footer"/>
    <w:basedOn w:val="1"/>
    <w:link w:val="28"/>
    <w:qFormat/>
    <w:uiPriority w:val="99"/>
    <w:pPr>
      <w:tabs>
        <w:tab w:val="center" w:pos="4153"/>
        <w:tab w:val="right" w:pos="8306"/>
      </w:tabs>
      <w:snapToGrid w:val="0"/>
      <w:jc w:val="left"/>
    </w:pPr>
    <w:rPr>
      <w:kern w:val="0"/>
      <w:sz w:val="18"/>
      <w:szCs w:val="18"/>
    </w:rPr>
  </w:style>
  <w:style w:type="paragraph" w:styleId="12">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30"/>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locked/>
    <w:uiPriority w:val="0"/>
  </w:style>
  <w:style w:type="character" w:styleId="20">
    <w:name w:val="Hyperlink"/>
    <w:qFormat/>
    <w:uiPriority w:val="99"/>
    <w:rPr>
      <w:rFonts w:cs="Times New Roman"/>
      <w:color w:val="0563C1"/>
      <w:u w:val="single"/>
    </w:rPr>
  </w:style>
  <w:style w:type="character" w:styleId="21">
    <w:name w:val="annotation reference"/>
    <w:basedOn w:val="17"/>
    <w:qFormat/>
    <w:uiPriority w:val="99"/>
    <w:rPr>
      <w:rFonts w:cs="Times New Roman"/>
      <w:sz w:val="21"/>
    </w:rPr>
  </w:style>
  <w:style w:type="character" w:customStyle="1" w:styleId="22">
    <w:name w:val="标题 1 Char"/>
    <w:link w:val="3"/>
    <w:qFormat/>
    <w:locked/>
    <w:uiPriority w:val="99"/>
    <w:rPr>
      <w:rFonts w:cs="Times New Roman"/>
      <w:b/>
      <w:kern w:val="44"/>
      <w:sz w:val="44"/>
    </w:rPr>
  </w:style>
  <w:style w:type="character" w:customStyle="1" w:styleId="23">
    <w:name w:val="批注文字 Char"/>
    <w:link w:val="4"/>
    <w:qFormat/>
    <w:locked/>
    <w:uiPriority w:val="99"/>
    <w:rPr>
      <w:rFonts w:cs="Times New Roman"/>
      <w:kern w:val="2"/>
      <w:sz w:val="24"/>
    </w:rPr>
  </w:style>
  <w:style w:type="character" w:customStyle="1" w:styleId="24">
    <w:name w:val="正文文本缩进 Char"/>
    <w:link w:val="6"/>
    <w:qFormat/>
    <w:locked/>
    <w:uiPriority w:val="99"/>
    <w:rPr>
      <w:rFonts w:ascii="等线" w:eastAsia="等线" w:cs="Times New Roman"/>
      <w:kern w:val="2"/>
      <w:sz w:val="22"/>
    </w:rPr>
  </w:style>
  <w:style w:type="character" w:customStyle="1" w:styleId="25">
    <w:name w:val="纯文本 Char"/>
    <w:link w:val="8"/>
    <w:qFormat/>
    <w:locked/>
    <w:uiPriority w:val="0"/>
    <w:rPr>
      <w:rFonts w:ascii="宋体" w:hAnsi="Courier New" w:cs="Times New Roman"/>
      <w:kern w:val="2"/>
      <w:sz w:val="21"/>
    </w:rPr>
  </w:style>
  <w:style w:type="character" w:customStyle="1" w:styleId="26">
    <w:name w:val="日期 Char"/>
    <w:link w:val="9"/>
    <w:qFormat/>
    <w:locked/>
    <w:uiPriority w:val="99"/>
    <w:rPr>
      <w:rFonts w:cs="Times New Roman"/>
      <w:kern w:val="2"/>
      <w:sz w:val="24"/>
    </w:rPr>
  </w:style>
  <w:style w:type="character" w:customStyle="1" w:styleId="27">
    <w:name w:val="批注框文本 Char"/>
    <w:link w:val="10"/>
    <w:semiHidden/>
    <w:qFormat/>
    <w:locked/>
    <w:uiPriority w:val="99"/>
    <w:rPr>
      <w:rFonts w:cs="Times New Roman"/>
      <w:sz w:val="2"/>
    </w:rPr>
  </w:style>
  <w:style w:type="character" w:customStyle="1" w:styleId="28">
    <w:name w:val="页脚 Char"/>
    <w:link w:val="11"/>
    <w:semiHidden/>
    <w:qFormat/>
    <w:locked/>
    <w:uiPriority w:val="99"/>
    <w:rPr>
      <w:rFonts w:cs="Times New Roman"/>
      <w:sz w:val="18"/>
      <w:szCs w:val="18"/>
    </w:rPr>
  </w:style>
  <w:style w:type="character" w:customStyle="1" w:styleId="29">
    <w:name w:val="页眉 Char"/>
    <w:link w:val="12"/>
    <w:qFormat/>
    <w:locked/>
    <w:uiPriority w:val="99"/>
    <w:rPr>
      <w:rFonts w:cs="Times New Roman"/>
      <w:kern w:val="2"/>
      <w:sz w:val="18"/>
    </w:rPr>
  </w:style>
  <w:style w:type="character" w:customStyle="1" w:styleId="30">
    <w:name w:val="批注主题 Char"/>
    <w:link w:val="14"/>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Char"/>
    <w:link w:val="5"/>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8">
    <w:name w:val="列出段落"/>
    <w:basedOn w:val="1"/>
    <w:qFormat/>
    <w:uiPriority w:val="0"/>
    <w:pPr>
      <w:widowControl/>
      <w:ind w:firstLine="420" w:firstLineChars="200"/>
      <w:jc w:val="left"/>
    </w:pPr>
    <w:rPr>
      <w:kern w:val="0"/>
      <w:sz w:val="20"/>
      <w:szCs w:val="20"/>
    </w:rPr>
  </w:style>
  <w:style w:type="paragraph" w:customStyle="1" w:styleId="49">
    <w:name w:val="表格文字"/>
    <w:basedOn w:val="1"/>
    <w:next w:val="5"/>
    <w:qFormat/>
    <w:uiPriority w:val="0"/>
    <w:pPr>
      <w:spacing w:line="240" w:lineRule="auto"/>
      <w:ind w:firstLine="0" w:firstLineChars="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2CE45-8934-4D17-9967-5C6E77A5733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2032</Words>
  <Characters>11587</Characters>
  <Lines>96</Lines>
  <Paragraphs>27</Paragraphs>
  <TotalTime>2</TotalTime>
  <ScaleCrop>false</ScaleCrop>
  <LinksUpToDate>false</LinksUpToDate>
  <CharactersWithSpaces>13592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2020-05-28T05:57:54Z</dcterms:modified>
  <dc:title>淮海工学院A8-10号楼学生宿舍家具招标书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