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auto"/>
          <w:sz w:val="44"/>
          <w:szCs w:val="44"/>
          <w:highlight w:val="none"/>
        </w:rPr>
      </w:pPr>
      <w:bookmarkStart w:id="0" w:name="OLE_LINK1"/>
      <w:bookmarkStart w:id="1" w:name="OLE_LINK2"/>
      <w:r>
        <w:rPr>
          <w:b/>
          <w:color w:val="auto"/>
          <w:sz w:val="44"/>
          <w:szCs w:val="44"/>
          <w:highlight w:val="none"/>
        </w:rPr>
        <w:t>南京信息工程大学</w:t>
      </w:r>
      <w:bookmarkEnd w:id="0"/>
      <w:bookmarkEnd w:id="1"/>
      <w:r>
        <w:rPr>
          <w:b/>
          <w:color w:val="auto"/>
          <w:sz w:val="44"/>
          <w:szCs w:val="44"/>
          <w:highlight w:val="none"/>
        </w:rPr>
        <w:fldChar w:fldCharType="begin"/>
      </w:r>
      <w:r>
        <w:rPr>
          <w:b/>
          <w:color w:val="auto"/>
          <w:sz w:val="44"/>
          <w:szCs w:val="44"/>
          <w:highlight w:val="none"/>
        </w:rPr>
        <w:instrText xml:space="preserve"> HYPERLINK "http://auto.nuist.edu.cn/" \t "_blank" </w:instrText>
      </w:r>
      <w:r>
        <w:rPr>
          <w:b/>
          <w:color w:val="auto"/>
          <w:sz w:val="44"/>
          <w:szCs w:val="44"/>
          <w:highlight w:val="none"/>
        </w:rPr>
        <w:fldChar w:fldCharType="separate"/>
      </w:r>
      <w:r>
        <w:rPr>
          <w:b/>
          <w:color w:val="auto"/>
          <w:sz w:val="44"/>
          <w:szCs w:val="44"/>
          <w:highlight w:val="none"/>
        </w:rPr>
        <w:t>自动化学院</w:t>
      </w:r>
      <w:r>
        <w:rPr>
          <w:b/>
          <w:color w:val="auto"/>
          <w:sz w:val="44"/>
          <w:szCs w:val="44"/>
          <w:highlight w:val="none"/>
        </w:rPr>
        <w:fldChar w:fldCharType="end"/>
      </w:r>
      <w:r>
        <w:rPr>
          <w:rFonts w:hint="eastAsia"/>
          <w:b/>
          <w:color w:val="auto"/>
          <w:sz w:val="44"/>
          <w:szCs w:val="44"/>
          <w:highlight w:val="none"/>
        </w:rPr>
        <w:t>智能组网观测平台采购</w:t>
      </w:r>
      <w:r>
        <w:rPr>
          <w:b/>
          <w:color w:val="auto"/>
          <w:sz w:val="44"/>
          <w:szCs w:val="44"/>
          <w:highlight w:val="none"/>
        </w:rPr>
        <w:t>项目招标文件</w:t>
      </w:r>
    </w:p>
    <w:p>
      <w:pPr>
        <w:pStyle w:val="2"/>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（招标编号：SBC20200</w:t>
      </w:r>
      <w:r>
        <w:rPr>
          <w:rFonts w:hint="eastAsia" w:ascii="宋体" w:hAnsi="宋体" w:cs="仿宋"/>
          <w:color w:val="auto"/>
          <w:sz w:val="28"/>
          <w:szCs w:val="28"/>
          <w:highlight w:val="none"/>
          <w:lang w:val="en-US" w:eastAsia="zh-CN"/>
        </w:rPr>
        <w:t>40</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20年06月</w:t>
      </w:r>
      <w:r>
        <w:rPr>
          <w:rFonts w:hint="eastAsia" w:ascii="宋体" w:hAnsi="宋体" w:cs="仿宋"/>
          <w:color w:val="auto"/>
          <w:sz w:val="28"/>
          <w:szCs w:val="28"/>
          <w:highlight w:val="none"/>
          <w:u w:val="single"/>
          <w:lang w:val="en-US" w:eastAsia="zh-CN"/>
        </w:rPr>
        <w:t>28</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9</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科研工作需要，受校实验室与设备管理处委托，就</w:t>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"http://auto.nuist.edu.cn/" \t "_blank" </w:instrText>
      </w:r>
      <w:r>
        <w:rPr>
          <w:rFonts w:ascii="宋体" w:hAnsi="宋体"/>
          <w:color w:val="auto"/>
          <w:sz w:val="28"/>
          <w:szCs w:val="28"/>
          <w:highlight w:val="none"/>
        </w:rPr>
        <w:fldChar w:fldCharType="separate"/>
      </w:r>
      <w:r>
        <w:rPr>
          <w:rFonts w:ascii="宋体" w:hAnsi="宋体"/>
          <w:color w:val="auto"/>
          <w:sz w:val="28"/>
          <w:szCs w:val="28"/>
          <w:highlight w:val="none"/>
        </w:rPr>
        <w:t>自动化学院</w:t>
      </w:r>
      <w:r>
        <w:rPr>
          <w:rFonts w:ascii="宋体" w:hAnsi="宋体"/>
          <w:color w:val="auto"/>
          <w:sz w:val="28"/>
          <w:szCs w:val="28"/>
          <w:highlight w:val="none"/>
        </w:rPr>
        <w:fldChar w:fldCharType="end"/>
      </w:r>
      <w:r>
        <w:rPr>
          <w:rFonts w:hint="eastAsia" w:ascii="宋体" w:hAnsi="宋体"/>
          <w:color w:val="auto"/>
          <w:sz w:val="28"/>
          <w:szCs w:val="28"/>
          <w:highlight w:val="none"/>
        </w:rPr>
        <w:t>智能组网观测平台</w:t>
      </w:r>
      <w:r>
        <w:rPr>
          <w:rFonts w:ascii="宋体" w:hAnsi="宋体"/>
          <w:color w:val="auto"/>
          <w:sz w:val="28"/>
          <w:szCs w:val="28"/>
          <w:highlight w:val="none"/>
        </w:rPr>
        <w:t>采购</w:t>
      </w:r>
      <w:r>
        <w:rPr>
          <w:rFonts w:hint="eastAsia" w:ascii="宋体" w:hAnsi="宋体"/>
          <w:color w:val="auto"/>
          <w:sz w:val="28"/>
          <w:szCs w:val="28"/>
          <w:highlight w:val="none"/>
        </w:rPr>
        <w:t>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1"/>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1"/>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"http://auto.nuist.edu.cn/" \t "_blank" </w:instrText>
      </w:r>
      <w:r>
        <w:rPr>
          <w:rFonts w:ascii="宋体" w:hAnsi="宋体"/>
          <w:color w:val="auto"/>
          <w:sz w:val="28"/>
          <w:szCs w:val="28"/>
          <w:highlight w:val="none"/>
        </w:rPr>
        <w:fldChar w:fldCharType="separate"/>
      </w:r>
      <w:r>
        <w:rPr>
          <w:rFonts w:ascii="宋体" w:hAnsi="宋体"/>
          <w:color w:val="auto"/>
          <w:sz w:val="28"/>
          <w:szCs w:val="28"/>
          <w:highlight w:val="none"/>
        </w:rPr>
        <w:t>自动化学院</w:t>
      </w:r>
      <w:r>
        <w:rPr>
          <w:rFonts w:ascii="宋体" w:hAnsi="宋体"/>
          <w:color w:val="auto"/>
          <w:sz w:val="28"/>
          <w:szCs w:val="28"/>
          <w:highlight w:val="none"/>
        </w:rPr>
        <w:fldChar w:fldCharType="end"/>
      </w:r>
      <w:r>
        <w:rPr>
          <w:rFonts w:hint="eastAsia" w:ascii="宋体" w:hAnsi="宋体"/>
          <w:color w:val="auto"/>
          <w:sz w:val="28"/>
          <w:szCs w:val="28"/>
          <w:highlight w:val="none"/>
        </w:rPr>
        <w:t>智能组网观测平台</w:t>
      </w:r>
      <w:r>
        <w:rPr>
          <w:rFonts w:ascii="宋体" w:hAnsi="宋体"/>
          <w:color w:val="auto"/>
          <w:sz w:val="28"/>
          <w:szCs w:val="28"/>
          <w:highlight w:val="none"/>
        </w:rPr>
        <w:t>采购</w:t>
      </w:r>
      <w:r>
        <w:rPr>
          <w:rFonts w:hint="eastAsia" w:ascii="宋体" w:hAnsi="宋体"/>
          <w:color w:val="auto"/>
          <w:sz w:val="28"/>
          <w:szCs w:val="28"/>
          <w:highlight w:val="none"/>
        </w:rPr>
        <w:t>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w:t>
      </w:r>
      <w:r>
        <w:rPr>
          <w:rFonts w:hint="eastAsia" w:ascii="宋体" w:hAnsi="宋体" w:cs="仿宋"/>
          <w:color w:val="auto"/>
          <w:sz w:val="28"/>
          <w:szCs w:val="28"/>
          <w:highlight w:val="none"/>
          <w:lang w:val="en-US" w:eastAsia="zh-CN"/>
        </w:rPr>
        <w:t>校</w:t>
      </w:r>
      <w:r>
        <w:rPr>
          <w:rFonts w:hint="eastAsia" w:ascii="宋体" w:hAnsi="宋体" w:cs="仿宋"/>
          <w:color w:val="auto"/>
          <w:sz w:val="28"/>
          <w:szCs w:val="28"/>
          <w:highlight w:val="none"/>
        </w:rPr>
        <w:t>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.招标文件由我校采购人、项目归口管理部门和财务处联合起草；经学校相关职能部门会审通过形成正式招标文件。同时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highlight w:val="none"/>
        </w:rPr>
      </w:pPr>
      <w:r>
        <w:rPr>
          <w:rFonts w:hint="eastAsia" w:ascii="宋体" w:hAnsi="宋体" w:cs="Arial"/>
          <w:color w:val="auto"/>
          <w:sz w:val="28"/>
          <w:szCs w:val="28"/>
          <w:highlight w:val="none"/>
        </w:rPr>
        <w:t>（一）参加政府采购的供应商应当具备政府采购法</w:t>
      </w:r>
      <w:r>
        <w:rPr>
          <w:rFonts w:ascii="宋体" w:hAnsi="宋体" w:cs="Arial"/>
          <w:color w:val="auto"/>
          <w:sz w:val="28"/>
          <w:szCs w:val="28"/>
          <w:highlight w:val="none"/>
        </w:rPr>
        <w:t>第二十二条</w:t>
      </w:r>
      <w:r>
        <w:rPr>
          <w:rFonts w:hint="eastAsia" w:ascii="宋体" w:hAnsi="宋体" w:cs="Arial"/>
          <w:color w:val="auto"/>
          <w:sz w:val="28"/>
          <w:szCs w:val="28"/>
          <w:highlight w:val="none"/>
        </w:rPr>
        <w:t>第一款</w:t>
      </w:r>
      <w:r>
        <w:rPr>
          <w:rFonts w:ascii="宋体" w:hAnsi="宋体" w:cs="Arial"/>
          <w:color w:val="auto"/>
          <w:sz w:val="28"/>
          <w:szCs w:val="28"/>
          <w:highlight w:val="none"/>
        </w:rPr>
        <w:t>规定</w:t>
      </w:r>
      <w:r>
        <w:rPr>
          <w:rFonts w:hint="eastAsia" w:ascii="宋体" w:hAnsi="宋体" w:cs="Arial"/>
          <w:color w:val="auto"/>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5.参加政府采购活动前三年内，在经营活动中没有违法记录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6.法律、行政法规规定的其他条件：无。</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highlight w:val="none"/>
        </w:rPr>
        <w:t>（提供本项目报名截止日后的网站截图并加盖单位公章）</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pStyle w:val="39"/>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olor w:val="auto"/>
          <w:kern w:val="2"/>
          <w:sz w:val="28"/>
          <w:szCs w:val="28"/>
          <w:highlight w:val="none"/>
          <w:lang w:val="en-US" w:eastAsia="zh-CN"/>
        </w:rPr>
        <w:t>88.66</w:t>
      </w:r>
      <w:r>
        <w:rPr>
          <w:rFonts w:hint="eastAsia"/>
          <w:color w:val="auto"/>
          <w:kern w:val="2"/>
          <w:sz w:val="28"/>
          <w:szCs w:val="28"/>
          <w:highlight w:val="none"/>
        </w:rPr>
        <w:t>万元，本项目只接受人民币报价。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七、进口货物的外贸代理公司由投标人（中标人）</w:t>
      </w:r>
      <w:r>
        <w:rPr>
          <w:rFonts w:hint="eastAsia" w:ascii="宋体" w:hAnsi="宋体" w:cs="宋体"/>
          <w:color w:val="auto"/>
          <w:sz w:val="28"/>
          <w:szCs w:val="28"/>
          <w:highlight w:val="none"/>
          <w:lang w:val="en-US" w:eastAsia="zh-CN"/>
        </w:rPr>
        <w:t>在我校确定的两家外贸代理公司中</w:t>
      </w:r>
      <w:r>
        <w:rPr>
          <w:rFonts w:hint="eastAsia" w:ascii="宋体" w:hAnsi="宋体" w:cs="宋体"/>
          <w:color w:val="auto"/>
          <w:sz w:val="28"/>
          <w:szCs w:val="28"/>
          <w:highlight w:val="none"/>
        </w:rPr>
        <w:t>自行选择</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江苏苏美达仪器设备有限公司</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练</w:t>
      </w:r>
      <w:r>
        <w:rPr>
          <w:rFonts w:hint="eastAsia" w:ascii="宋体" w:hAnsi="宋体" w:cs="宋体"/>
          <w:color w:val="auto"/>
          <w:sz w:val="28"/>
          <w:szCs w:val="28"/>
          <w:highlight w:val="none"/>
          <w:lang w:val="en-US" w:eastAsia="zh-CN"/>
        </w:rPr>
        <w:t>经理：</w:t>
      </w:r>
      <w:r>
        <w:rPr>
          <w:rFonts w:hint="eastAsia" w:ascii="宋体" w:hAnsi="宋体" w:cs="宋体"/>
          <w:color w:val="auto"/>
          <w:sz w:val="28"/>
          <w:szCs w:val="28"/>
          <w:highlight w:val="none"/>
        </w:rPr>
        <w:t>025-84531280</w:t>
      </w:r>
      <w:r>
        <w:rPr>
          <w:rFonts w:hint="eastAsia" w:ascii="宋体" w:hAnsi="宋体" w:cs="宋体"/>
          <w:color w:val="auto"/>
          <w:sz w:val="28"/>
          <w:szCs w:val="28"/>
          <w:highlight w:val="none"/>
          <w:lang w:eastAsia="zh-CN"/>
        </w:rPr>
        <w:t>，15205153042；</w:t>
      </w:r>
      <w:r>
        <w:rPr>
          <w:rFonts w:hint="eastAsia" w:ascii="宋体" w:hAnsi="宋体" w:cs="宋体"/>
          <w:color w:val="auto"/>
          <w:sz w:val="28"/>
          <w:szCs w:val="28"/>
          <w:highlight w:val="none"/>
        </w:rPr>
        <w:t>江苏海外集团国际技术工程有限公司</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方经理：</w:t>
      </w:r>
      <w:r>
        <w:rPr>
          <w:rFonts w:hint="eastAsia" w:ascii="宋体" w:hAnsi="宋体" w:cs="宋体"/>
          <w:color w:val="auto"/>
          <w:sz w:val="28"/>
          <w:szCs w:val="28"/>
          <w:highlight w:val="none"/>
        </w:rPr>
        <w:t>025-84795955</w:t>
      </w:r>
      <w:r>
        <w:rPr>
          <w:rFonts w:hint="eastAsia" w:ascii="宋体" w:hAnsi="宋体" w:cs="宋体"/>
          <w:color w:val="auto"/>
          <w:sz w:val="28"/>
          <w:szCs w:val="28"/>
          <w:highlight w:val="none"/>
          <w:lang w:eastAsia="zh-CN"/>
        </w:rPr>
        <w:t>，15996350251）</w:t>
      </w:r>
      <w:r>
        <w:rPr>
          <w:rFonts w:hint="eastAsia" w:ascii="宋体" w:hAnsi="宋体" w:cs="宋体"/>
          <w:color w:val="auto"/>
          <w:sz w:val="28"/>
          <w:szCs w:val="28"/>
          <w:highlight w:val="none"/>
        </w:rPr>
        <w:t>，代理费由投标人与所选外贸公司协商确定并含在报价中。我校协助办理入关、免税等相关证明材料手续。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ascii="宋体" w:hAnsi="宋体" w:cs="宋体"/>
          <w:b/>
          <w:color w:val="auto"/>
          <w:sz w:val="28"/>
          <w:szCs w:val="28"/>
          <w:highlight w:val="none"/>
        </w:rPr>
        <w:t>SBC20</w:t>
      </w:r>
      <w:r>
        <w:rPr>
          <w:rFonts w:hint="eastAsia" w:ascii="宋体" w:hAnsi="宋体" w:cs="宋体"/>
          <w:b/>
          <w:color w:val="auto"/>
          <w:sz w:val="28"/>
          <w:szCs w:val="28"/>
          <w:highlight w:val="none"/>
        </w:rPr>
        <w:t>200</w:t>
      </w:r>
      <w:r>
        <w:rPr>
          <w:rFonts w:hint="eastAsia" w:ascii="宋体" w:hAnsi="宋体" w:cs="宋体"/>
          <w:b/>
          <w:color w:val="auto"/>
          <w:sz w:val="28"/>
          <w:szCs w:val="28"/>
          <w:highlight w:val="none"/>
          <w:lang w:val="en-US" w:eastAsia="zh-CN"/>
        </w:rPr>
        <w:t>40</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本着“质量第一、价格合理、服务优异、保障有力”的原则，由采购人、项目归口管理部门和财务处从报价得分、技术</w:t>
      </w:r>
      <w:r>
        <w:rPr>
          <w:rFonts w:hint="eastAsia" w:ascii="宋体" w:hAnsi="宋体" w:cs="宋体"/>
          <w:color w:val="auto"/>
          <w:sz w:val="28"/>
          <w:szCs w:val="28"/>
          <w:highlight w:val="none"/>
          <w:lang w:val="en-US" w:eastAsia="zh-CN"/>
        </w:rPr>
        <w:t>得</w:t>
      </w:r>
      <w:r>
        <w:rPr>
          <w:rFonts w:hint="eastAsia" w:ascii="宋体" w:hAnsi="宋体" w:cs="宋体"/>
          <w:color w:val="auto"/>
          <w:sz w:val="28"/>
          <w:szCs w:val="28"/>
          <w:highlight w:val="none"/>
        </w:rPr>
        <w:t>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w:t>
      </w:r>
      <w:r>
        <w:rPr>
          <w:rFonts w:hint="eastAsia" w:ascii="宋体" w:hAnsi="宋体" w:cs="宋体"/>
          <w:color w:val="auto"/>
          <w:sz w:val="28"/>
          <w:szCs w:val="28"/>
          <w:highlight w:val="none"/>
          <w:lang w:eastAsia="zh-CN"/>
        </w:rPr>
        <w:t>中标价</w:t>
      </w:r>
      <w:r>
        <w:rPr>
          <w:rFonts w:hint="eastAsia" w:ascii="宋体" w:hAnsi="宋体" w:cs="宋体"/>
          <w:color w:val="auto"/>
          <w:sz w:val="28"/>
          <w:szCs w:val="28"/>
          <w:highlight w:val="none"/>
          <w:lang w:val="en-US" w:eastAsia="zh-CN"/>
        </w:rPr>
        <w:t>10%的</w:t>
      </w:r>
      <w:r>
        <w:rPr>
          <w:rFonts w:hint="eastAsia" w:ascii="宋体" w:hAnsi="宋体" w:cs="宋体"/>
          <w:color w:val="auto"/>
          <w:sz w:val="28"/>
          <w:szCs w:val="28"/>
          <w:highlight w:val="none"/>
        </w:rPr>
        <w:t>履约保证金并前来我校领取《中标通知书》（一式二份）。</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针对国内供应货物，签订合同后，20日内预付合同金额的30%，全部货物交货并验收合格后，凭验收凭证和货物验收合格等文件20内支付至合同金额的100%，质量保证金返还5%，剩余5%质量保证金质保期满后</w:t>
      </w:r>
      <w:r>
        <w:rPr>
          <w:rFonts w:hint="eastAsia" w:hAnsi="宋体"/>
          <w:color w:val="auto"/>
          <w:sz w:val="24"/>
          <w:szCs w:val="24"/>
          <w:highlight w:val="none"/>
          <w:lang w:eastAsia="zh-CN"/>
        </w:rPr>
        <w:t>，</w:t>
      </w:r>
      <w:r>
        <w:rPr>
          <w:rFonts w:hint="eastAsia" w:ascii="宋体" w:hAnsi="宋体" w:cs="宋体"/>
          <w:color w:val="auto"/>
          <w:sz w:val="28"/>
          <w:szCs w:val="28"/>
          <w:highlight w:val="none"/>
        </w:rPr>
        <w:t>经有关单位确认无质量问题后，一次性支付完毕。具体内容以最终签署的合同约定为准。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ascii="宋体" w:hAnsi="宋体" w:cs="宋体"/>
          <w:b/>
          <w:color w:val="auto"/>
          <w:sz w:val="28"/>
          <w:szCs w:val="28"/>
          <w:highlight w:val="none"/>
        </w:rPr>
        <w:t>SBC20200</w:t>
      </w:r>
      <w:r>
        <w:rPr>
          <w:rFonts w:hint="eastAsia" w:ascii="宋体" w:hAnsi="宋体" w:cs="宋体"/>
          <w:b/>
          <w:color w:val="auto"/>
          <w:sz w:val="28"/>
          <w:szCs w:val="28"/>
          <w:highlight w:val="none"/>
          <w:lang w:val="en-US" w:eastAsia="zh-CN"/>
        </w:rPr>
        <w:t>40</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lang w:eastAsia="zh-CN"/>
        </w:rPr>
        <w:t>中标价</w:t>
      </w:r>
      <w:r>
        <w:rPr>
          <w:rFonts w:hint="eastAsia" w:ascii="宋体" w:hAnsi="宋体" w:cs="宋体"/>
          <w:color w:val="auto"/>
          <w:sz w:val="28"/>
          <w:szCs w:val="28"/>
          <w:highlight w:val="none"/>
          <w:u w:val="single"/>
          <w:lang w:val="en-US" w:eastAsia="zh-CN"/>
        </w:rPr>
        <w:t>10%</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w:t>
      </w:r>
      <w:r>
        <w:rPr>
          <w:rFonts w:hint="eastAsia" w:ascii="宋体" w:hAnsi="宋体"/>
          <w:b/>
          <w:color w:val="auto"/>
          <w:sz w:val="28"/>
          <w:szCs w:val="28"/>
          <w:highlight w:val="none"/>
          <w:u w:val="single"/>
          <w:lang w:val="en-US" w:eastAsia="zh-CN"/>
        </w:rPr>
        <w:t>07</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05</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18</w:t>
      </w:r>
      <w:r>
        <w:rPr>
          <w:rFonts w:hint="eastAsia" w:ascii="宋体" w:hAnsi="宋体"/>
          <w:color w:val="auto"/>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18</w:t>
      </w:r>
      <w:r>
        <w:rPr>
          <w:rFonts w:hint="eastAsia" w:ascii="宋体" w:hAnsi="宋体"/>
          <w:color w:val="auto"/>
          <w:sz w:val="28"/>
          <w:szCs w:val="28"/>
          <w:highlight w:val="none"/>
        </w:rPr>
        <w:t>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，联系人：马老师、罗老师、方老师；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用户单位联系电话：13813979291，联系人：</w:t>
      </w:r>
      <w:r>
        <w:rPr>
          <w:rFonts w:hint="eastAsia" w:ascii="宋体" w:hAnsi="宋体"/>
          <w:color w:val="auto"/>
          <w:sz w:val="28"/>
          <w:szCs w:val="28"/>
          <w:highlight w:val="none"/>
          <w:lang w:val="en-US" w:eastAsia="zh-CN"/>
        </w:rPr>
        <w:t>邱</w:t>
      </w:r>
      <w:r>
        <w:rPr>
          <w:rFonts w:hint="eastAsia" w:ascii="宋体" w:hAnsi="宋体"/>
          <w:color w:val="auto"/>
          <w:sz w:val="28"/>
          <w:szCs w:val="28"/>
          <w:highlight w:val="none"/>
        </w:rPr>
        <w:t>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南京信息工程大学财务处</w:t>
      </w:r>
    </w:p>
    <w:p>
      <w:pPr>
        <w:pStyle w:val="9"/>
        <w:spacing w:line="360" w:lineRule="auto"/>
        <w:ind w:left="99" w:leftChars="47" w:firstLine="4919" w:firstLineChars="1750"/>
        <w:rPr>
          <w:rStyle w:val="38"/>
          <w:rFonts w:ascii="宋体" w:hAnsi="Times New Roman" w:eastAsia="宋体"/>
          <w:color w:val="auto"/>
          <w:sz w:val="28"/>
          <w:szCs w:val="28"/>
          <w:highlight w:val="none"/>
        </w:rPr>
      </w:pPr>
      <w:r>
        <w:rPr>
          <w:rStyle w:val="38"/>
          <w:rFonts w:ascii="宋体" w:hAnsi="宋体" w:eastAsia="宋体"/>
          <w:color w:val="auto"/>
          <w:sz w:val="28"/>
          <w:szCs w:val="28"/>
          <w:highlight w:val="none"/>
        </w:rPr>
        <w:t>20</w:t>
      </w:r>
      <w:r>
        <w:rPr>
          <w:rStyle w:val="38"/>
          <w:rFonts w:hint="eastAsia" w:ascii="宋体" w:hAnsi="宋体" w:eastAsia="宋体"/>
          <w:color w:val="auto"/>
          <w:sz w:val="28"/>
          <w:szCs w:val="28"/>
          <w:highlight w:val="none"/>
        </w:rPr>
        <w:t>20年0</w:t>
      </w:r>
      <w:r>
        <w:rPr>
          <w:rStyle w:val="38"/>
          <w:rFonts w:hint="eastAsia" w:ascii="宋体" w:hAnsi="宋体"/>
          <w:color w:val="auto"/>
          <w:sz w:val="28"/>
          <w:szCs w:val="28"/>
          <w:highlight w:val="none"/>
        </w:rPr>
        <w:t>6</w:t>
      </w:r>
      <w:r>
        <w:rPr>
          <w:rStyle w:val="38"/>
          <w:rFonts w:hint="eastAsia" w:ascii="宋体" w:hAnsi="宋体" w:eastAsia="宋体"/>
          <w:color w:val="auto"/>
          <w:sz w:val="28"/>
          <w:szCs w:val="28"/>
          <w:highlight w:val="none"/>
        </w:rPr>
        <w:t>月</w:t>
      </w:r>
      <w:r>
        <w:rPr>
          <w:rStyle w:val="38"/>
          <w:rFonts w:hint="eastAsia" w:ascii="宋体" w:hAnsi="宋体"/>
          <w:color w:val="auto"/>
          <w:sz w:val="28"/>
          <w:szCs w:val="28"/>
          <w:highlight w:val="none"/>
          <w:lang w:val="en-US"/>
        </w:rPr>
        <w:t>28</w:t>
      </w:r>
      <w:r>
        <w:rPr>
          <w:rStyle w:val="38"/>
          <w:rFonts w:hint="eastAsia" w:ascii="宋体" w:hAnsi="宋体" w:eastAsia="宋体"/>
          <w:color w:val="auto"/>
          <w:sz w:val="28"/>
          <w:szCs w:val="28"/>
          <w:highlight w:val="none"/>
        </w:rPr>
        <w:t>日</w:t>
      </w:r>
    </w:p>
    <w:bookmarkEnd w:id="8"/>
    <w:p>
      <w:pPr>
        <w:pStyle w:val="8"/>
        <w:adjustRightInd w:val="0"/>
        <w:snapToGrid w:val="0"/>
        <w:spacing w:before="120" w:after="120" w:line="360" w:lineRule="auto"/>
        <w:rPr>
          <w:rStyle w:val="38"/>
          <w:rFonts w:ascii="宋体" w:hAnsi="宋体" w:eastAsia="宋体"/>
          <w:b w:val="0"/>
          <w:color w:val="auto"/>
          <w:sz w:val="28"/>
          <w:szCs w:val="28"/>
          <w:highlight w:val="none"/>
        </w:rPr>
      </w:pPr>
      <w:r>
        <w:rPr>
          <w:rStyle w:val="38"/>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32"/>
          <w:szCs w:val="32"/>
          <w:highlight w:val="none"/>
        </w:rPr>
      </w:pPr>
      <w:r>
        <w:rPr>
          <w:rFonts w:hint="eastAsia" w:hAnsi="宋体"/>
          <w:b/>
          <w:color w:val="auto"/>
          <w:sz w:val="32"/>
          <w:szCs w:val="32"/>
          <w:highlight w:val="none"/>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504"/>
        <w:gridCol w:w="2496"/>
        <w:gridCol w:w="758"/>
        <w:gridCol w:w="768"/>
        <w:gridCol w:w="5710"/>
      </w:tblGrid>
      <w:tr>
        <w:tblPrEx>
          <w:tblCellMar>
            <w:top w:w="15" w:type="dxa"/>
            <w:left w:w="15" w:type="dxa"/>
            <w:bottom w:w="15" w:type="dxa"/>
            <w:right w:w="15" w:type="dxa"/>
          </w:tblCellMar>
        </w:tblPrEx>
        <w:tc>
          <w:tcPr>
            <w:tcW w:w="24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21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仪器设备名称</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单位</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数量</w:t>
            </w:r>
          </w:p>
        </w:tc>
        <w:tc>
          <w:tcPr>
            <w:tcW w:w="279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主要配置或技术参数</w:t>
            </w:r>
          </w:p>
        </w:tc>
      </w:tr>
      <w:tr>
        <w:tblPrEx>
          <w:tblCellMar>
            <w:top w:w="15" w:type="dxa"/>
            <w:left w:w="15" w:type="dxa"/>
            <w:bottom w:w="15" w:type="dxa"/>
            <w:right w:w="15" w:type="dxa"/>
          </w:tblCellMar>
        </w:tblPrEx>
        <w:tc>
          <w:tcPr>
            <w:tcW w:w="24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19" w:type="pct"/>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智能深度学习小车</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台</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w:t>
            </w:r>
          </w:p>
        </w:tc>
        <w:tc>
          <w:tcPr>
            <w:tcW w:w="2790" w:type="pct"/>
            <w:tcBorders>
              <w:top w:val="single" w:color="000000" w:sz="4" w:space="0"/>
              <w:left w:val="single" w:color="000000" w:sz="4" w:space="0"/>
              <w:bottom w:val="single" w:color="000000" w:sz="4" w:space="0"/>
              <w:right w:val="single" w:color="000000" w:sz="4" w:space="0"/>
            </w:tcBorders>
            <w:vAlign w:val="center"/>
          </w:tcPr>
          <w:p>
            <w:pPr>
              <w:rPr>
                <w:b/>
                <w:color w:val="auto"/>
                <w:highlight w:val="none"/>
              </w:rPr>
            </w:pPr>
            <w:r>
              <w:rPr>
                <w:rFonts w:hint="eastAsia"/>
                <w:b/>
                <w:color w:val="auto"/>
                <w:highlight w:val="none"/>
              </w:rPr>
              <w:t>功能：</w:t>
            </w:r>
          </w:p>
          <w:p>
            <w:pPr>
              <w:rPr>
                <w:color w:val="auto"/>
                <w:highlight w:val="none"/>
              </w:rPr>
            </w:pPr>
            <w:r>
              <w:rPr>
                <w:rFonts w:hint="eastAsia" w:ascii="宋体" w:hAnsi="宋体"/>
                <w:color w:val="auto"/>
                <w:szCs w:val="21"/>
                <w:highlight w:val="none"/>
              </w:rPr>
              <w:t>采用电机、传感器等用于机器人子系统控制的开放式硬件平台 Arduino 通过 7 个超声波传感器实现检测障碍物以及自主行走控制。 通过红外传感器驱动寻迹。 利用带编码器的直流电机进行控制驱动操作。</w:t>
            </w:r>
            <w:r>
              <w:rPr>
                <w:rFonts w:hint="eastAsia"/>
                <w:color w:val="auto"/>
                <w:highlight w:val="none"/>
              </w:rPr>
              <w:t>多传感器配置，可实现自主导航、数据采集、模型构建、车道线、红绿灯、人行道、限速标志、转弯等交通标识检测；可搭载多种深度学习框架，开放所有源代码、提供教学实验指导手册、系统涵盖深度学习及无人驾驶视觉算法知识点应用。</w:t>
            </w:r>
            <w:r>
              <w:rPr>
                <w:rFonts w:hint="eastAsia" w:asciiTheme="minorEastAsia" w:hAnsiTheme="minorEastAsia"/>
                <w:color w:val="auto"/>
                <w:szCs w:val="21"/>
                <w:highlight w:val="none"/>
              </w:rPr>
              <w:t>应用单目摄像头实现数据实时采集、在指定路径下保存图片数据和对应标签。</w:t>
            </w:r>
            <w:r>
              <w:rPr>
                <w:rFonts w:hint="eastAsia" w:asciiTheme="minorEastAsia" w:hAnsiTheme="minorEastAsia"/>
                <w:bCs/>
                <w:color w:val="auto"/>
                <w:szCs w:val="21"/>
                <w:highlight w:val="none"/>
              </w:rPr>
              <w:t>基于百度飞桨paddleaddle框架搭建CNN模型，支持数据训练建模、单/双线跑道弯道、交叉线及路标识别等功能</w:t>
            </w:r>
            <w:r>
              <w:rPr>
                <w:rFonts w:hint="eastAsia" w:asciiTheme="minorEastAsia" w:hAnsiTheme="minorEastAsia"/>
                <w:color w:val="auto"/>
                <w:szCs w:val="21"/>
                <w:highlight w:val="none"/>
              </w:rPr>
              <w:t>。开放所有源代码、支持深度学习、视觉无人驾驶算法验证、支持二次开发。</w:t>
            </w:r>
          </w:p>
          <w:p>
            <w:pPr>
              <w:rPr>
                <w:b/>
                <w:color w:val="auto"/>
                <w:highlight w:val="none"/>
              </w:rPr>
            </w:pPr>
            <w:r>
              <w:rPr>
                <w:rFonts w:hint="eastAsia"/>
                <w:b/>
                <w:color w:val="auto"/>
                <w:highlight w:val="none"/>
              </w:rPr>
              <w:t>参数指标：</w:t>
            </w:r>
          </w:p>
          <w:p>
            <w:pPr>
              <w:rPr>
                <w:color w:val="auto"/>
                <w:highlight w:val="none"/>
              </w:rPr>
            </w:pPr>
            <w:r>
              <w:rPr>
                <w:rFonts w:hint="eastAsia"/>
                <w:color w:val="auto"/>
                <w:highlight w:val="none"/>
              </w:rPr>
              <w:t>1</w:t>
            </w:r>
            <w:r>
              <w:rPr>
                <w:color w:val="auto"/>
                <w:highlight w:val="none"/>
              </w:rPr>
              <w:t>、</w:t>
            </w:r>
            <w:r>
              <w:rPr>
                <w:rFonts w:hint="eastAsia"/>
                <w:color w:val="auto"/>
                <w:highlight w:val="none"/>
              </w:rPr>
              <w:t>辅助控制器：AVR ATmega48P；</w:t>
            </w:r>
          </w:p>
          <w:p>
            <w:pPr>
              <w:rPr>
                <w:color w:val="auto"/>
                <w:highlight w:val="none"/>
              </w:rPr>
            </w:pPr>
            <w:r>
              <w:rPr>
                <w:color w:val="auto"/>
                <w:highlight w:val="none"/>
              </w:rPr>
              <w:t>▲</w:t>
            </w:r>
            <w:r>
              <w:rPr>
                <w:rFonts w:hint="eastAsia"/>
                <w:color w:val="auto"/>
                <w:highlight w:val="none"/>
              </w:rPr>
              <w:t>2、板载资源：蜂鸣器、 4路12V直流电机驱动、4路LED输出、蓝牙通信、电子罗盘、6轴3、角加速度传感器、8路D/A信号转换；</w:t>
            </w:r>
          </w:p>
          <w:p>
            <w:pPr>
              <w:rPr>
                <w:color w:val="auto"/>
                <w:highlight w:val="none"/>
              </w:rPr>
            </w:pPr>
            <w:r>
              <w:rPr>
                <w:rFonts w:hint="eastAsia"/>
                <w:color w:val="auto"/>
                <w:highlight w:val="none"/>
              </w:rPr>
              <w:t>4</w:t>
            </w:r>
            <w:r>
              <w:rPr>
                <w:color w:val="auto"/>
                <w:highlight w:val="none"/>
              </w:rPr>
              <w:t>、</w:t>
            </w:r>
            <w:r>
              <w:rPr>
                <w:rFonts w:hint="eastAsia"/>
                <w:color w:val="auto"/>
                <w:highlight w:val="none"/>
              </w:rPr>
              <w:t>通信接口：3路串口、1路IIC通信、1路USB转串口、7路超声波传感器控制接口；</w:t>
            </w:r>
          </w:p>
          <w:p>
            <w:pPr>
              <w:rPr>
                <w:color w:val="auto"/>
                <w:highlight w:val="none"/>
              </w:rPr>
            </w:pPr>
            <w:r>
              <w:rPr>
                <w:rFonts w:hint="eastAsia"/>
                <w:color w:val="auto"/>
                <w:highlight w:val="none"/>
              </w:rPr>
              <w:t>5</w:t>
            </w:r>
            <w:r>
              <w:rPr>
                <w:color w:val="auto"/>
                <w:highlight w:val="none"/>
              </w:rPr>
              <w:t>、</w:t>
            </w:r>
            <w:r>
              <w:rPr>
                <w:rFonts w:hint="eastAsia"/>
                <w:color w:val="auto"/>
                <w:highlight w:val="none"/>
              </w:rPr>
              <w:t>扩展接口：20P专用接口，5V、12V电源输出，1路串口，1路IIC接口，5路ADC采样，3路PWM输出，4路双向IO口，方便扩展外部器件；</w:t>
            </w:r>
          </w:p>
          <w:p>
            <w:pPr>
              <w:rPr>
                <w:color w:val="auto"/>
                <w:highlight w:val="none"/>
              </w:rPr>
            </w:pPr>
            <w:r>
              <w:rPr>
                <w:rFonts w:hint="eastAsia"/>
                <w:color w:val="auto"/>
                <w:highlight w:val="none"/>
              </w:rPr>
              <w:t>6</w:t>
            </w:r>
            <w:r>
              <w:rPr>
                <w:color w:val="auto"/>
                <w:highlight w:val="none"/>
              </w:rPr>
              <w:t>、</w:t>
            </w:r>
            <w:r>
              <w:rPr>
                <w:rFonts w:hint="eastAsia"/>
                <w:color w:val="auto"/>
                <w:highlight w:val="none"/>
              </w:rPr>
              <w:t>下载方式：标准USB-MINI接口下载；</w:t>
            </w:r>
          </w:p>
          <w:p>
            <w:pPr>
              <w:rPr>
                <w:color w:val="auto"/>
                <w:highlight w:val="none"/>
              </w:rPr>
            </w:pPr>
            <w:r>
              <w:rPr>
                <w:rFonts w:hint="eastAsia"/>
                <w:color w:val="auto"/>
                <w:highlight w:val="none"/>
              </w:rPr>
              <w:t>7</w:t>
            </w:r>
            <w:r>
              <w:rPr>
                <w:color w:val="auto"/>
                <w:highlight w:val="none"/>
              </w:rPr>
              <w:t>、</w:t>
            </w:r>
            <w:r>
              <w:rPr>
                <w:rFonts w:hint="eastAsia"/>
                <w:color w:val="auto"/>
                <w:highlight w:val="none"/>
              </w:rPr>
              <w:t>供电方案：USB供电、车载电池供电、外部16.8V电源供电；</w:t>
            </w:r>
          </w:p>
          <w:p>
            <w:pPr>
              <w:rPr>
                <w:color w:val="auto"/>
                <w:highlight w:val="none"/>
              </w:rPr>
            </w:pPr>
            <w:r>
              <w:rPr>
                <w:rFonts w:hint="eastAsia"/>
                <w:color w:val="auto"/>
                <w:highlight w:val="none"/>
              </w:rPr>
              <w:t>8</w:t>
            </w:r>
            <w:r>
              <w:rPr>
                <w:color w:val="auto"/>
                <w:highlight w:val="none"/>
              </w:rPr>
              <w:t>、</w:t>
            </w:r>
            <w:r>
              <w:rPr>
                <w:rFonts w:hint="eastAsia"/>
                <w:color w:val="auto"/>
                <w:highlight w:val="none"/>
              </w:rPr>
              <w:t>红外循迹传感器板板载资源：8路红外循迹传感器；</w:t>
            </w:r>
          </w:p>
          <w:p>
            <w:pPr>
              <w:rPr>
                <w:color w:val="auto"/>
                <w:highlight w:val="none"/>
              </w:rPr>
            </w:pPr>
            <w:r>
              <w:rPr>
                <w:rFonts w:hint="eastAsia"/>
                <w:color w:val="auto"/>
                <w:highlight w:val="none"/>
              </w:rPr>
              <w:t>9</w:t>
            </w:r>
            <w:r>
              <w:rPr>
                <w:color w:val="auto"/>
                <w:highlight w:val="none"/>
              </w:rPr>
              <w:t>、</w:t>
            </w:r>
            <w:r>
              <w:rPr>
                <w:rFonts w:hint="eastAsia"/>
                <w:color w:val="auto"/>
                <w:highlight w:val="none"/>
              </w:rPr>
              <w:t>超声波测距模块板载资源：7组16mm超声波收、发探头；</w:t>
            </w:r>
          </w:p>
          <w:p>
            <w:pPr>
              <w:rPr>
                <w:color w:val="auto"/>
                <w:highlight w:val="none"/>
              </w:rPr>
            </w:pPr>
            <w:r>
              <w:rPr>
                <w:rFonts w:hint="eastAsia"/>
                <w:color w:val="auto"/>
                <w:highlight w:val="none"/>
              </w:rPr>
              <w:t>1</w:t>
            </w:r>
            <w:r>
              <w:rPr>
                <w:color w:val="auto"/>
                <w:highlight w:val="none"/>
              </w:rPr>
              <w:t>0、</w:t>
            </w:r>
            <w:r>
              <w:rPr>
                <w:rFonts w:hint="eastAsia"/>
                <w:color w:val="auto"/>
                <w:highlight w:val="none"/>
              </w:rPr>
              <w:t>指示灯：LED；</w:t>
            </w:r>
          </w:p>
          <w:p>
            <w:pPr>
              <w:rPr>
                <w:color w:val="auto"/>
                <w:highlight w:val="none"/>
              </w:rPr>
            </w:pPr>
            <w:r>
              <w:rPr>
                <w:color w:val="auto"/>
                <w:highlight w:val="none"/>
              </w:rPr>
              <w:t>▲</w:t>
            </w:r>
            <w:r>
              <w:rPr>
                <w:rFonts w:hint="eastAsia"/>
                <w:color w:val="auto"/>
                <w:highlight w:val="none"/>
              </w:rPr>
              <w:t>1</w:t>
            </w:r>
            <w:r>
              <w:rPr>
                <w:color w:val="auto"/>
                <w:highlight w:val="none"/>
              </w:rPr>
              <w:t>1、</w:t>
            </w:r>
            <w:r>
              <w:rPr>
                <w:rFonts w:hint="eastAsia"/>
                <w:color w:val="auto"/>
                <w:highlight w:val="none"/>
              </w:rPr>
              <w:t>主处理器：i5-6198U、4G内存、M.2 SSD128G 内存 4个USB3.0 ；</w:t>
            </w:r>
          </w:p>
          <w:p>
            <w:pPr>
              <w:rPr>
                <w:color w:val="auto"/>
                <w:highlight w:val="none"/>
              </w:rPr>
            </w:pPr>
            <w:r>
              <w:rPr>
                <w:rFonts w:hint="eastAsia"/>
                <w:color w:val="auto"/>
                <w:highlight w:val="none"/>
              </w:rPr>
              <w:t>1</w:t>
            </w:r>
            <w:r>
              <w:rPr>
                <w:color w:val="auto"/>
                <w:highlight w:val="none"/>
              </w:rPr>
              <w:t>2、</w:t>
            </w:r>
            <w:r>
              <w:rPr>
                <w:rFonts w:hint="eastAsia"/>
                <w:color w:val="auto"/>
                <w:highlight w:val="none"/>
              </w:rPr>
              <w:t>主控MCU：MC9S08AC16CFGE、 输入/输出端数量:34 I/O、LQFP-44、16KB，程序存储大小16KB, 数据RAM大小:1KB 时钟频率：40MHZ；</w:t>
            </w:r>
          </w:p>
          <w:p>
            <w:pPr>
              <w:rPr>
                <w:color w:val="auto"/>
                <w:highlight w:val="none"/>
              </w:rPr>
            </w:pPr>
            <w:r>
              <w:rPr>
                <w:rFonts w:hint="eastAsia"/>
                <w:color w:val="auto"/>
                <w:highlight w:val="none"/>
              </w:rPr>
              <w:t>1</w:t>
            </w:r>
            <w:r>
              <w:rPr>
                <w:color w:val="auto"/>
                <w:highlight w:val="none"/>
              </w:rPr>
              <w:t>3、</w:t>
            </w:r>
            <w:r>
              <w:rPr>
                <w:rFonts w:hint="eastAsia"/>
                <w:color w:val="auto"/>
                <w:highlight w:val="none"/>
              </w:rPr>
              <w:t>路由终端：处理器：Realtek四核1.4G CPU、无线协议：802.11ac、无线速率：120M；</w:t>
            </w:r>
          </w:p>
          <w:p>
            <w:pPr>
              <w:rPr>
                <w:color w:val="auto"/>
                <w:highlight w:val="none"/>
              </w:rPr>
            </w:pPr>
            <w:r>
              <w:rPr>
                <w:color w:val="auto"/>
                <w:highlight w:val="none"/>
              </w:rPr>
              <w:t>▲</w:t>
            </w:r>
            <w:r>
              <w:rPr>
                <w:rFonts w:hint="eastAsia"/>
                <w:color w:val="auto"/>
                <w:highlight w:val="none"/>
              </w:rPr>
              <w:t>1</w:t>
            </w:r>
            <w:r>
              <w:rPr>
                <w:color w:val="auto"/>
                <w:highlight w:val="none"/>
              </w:rPr>
              <w:t>4、</w:t>
            </w:r>
            <w:r>
              <w:rPr>
                <w:rFonts w:hint="eastAsia"/>
                <w:color w:val="auto"/>
                <w:highlight w:val="none"/>
              </w:rPr>
              <w:t>摄像头：像素720P、对角70度、水平55度、YUY2/10-15帧/S，支持数字麦音频输入；</w:t>
            </w:r>
          </w:p>
          <w:p>
            <w:pPr>
              <w:rPr>
                <w:color w:val="auto"/>
                <w:highlight w:val="none"/>
              </w:rPr>
            </w:pPr>
            <w:r>
              <w:rPr>
                <w:color w:val="auto"/>
                <w:highlight w:val="none"/>
              </w:rPr>
              <w:t>▲</w:t>
            </w:r>
            <w:r>
              <w:rPr>
                <w:rFonts w:hint="eastAsia"/>
                <w:color w:val="auto"/>
                <w:highlight w:val="none"/>
              </w:rPr>
              <w:t>15、</w:t>
            </w:r>
            <w:r>
              <w:rPr>
                <w:color w:val="auto"/>
                <w:highlight w:val="none"/>
              </w:rPr>
              <w:t>提供全开源Tensorflow深度学习应用</w:t>
            </w:r>
            <w:r>
              <w:rPr>
                <w:rFonts w:hint="eastAsia"/>
                <w:color w:val="auto"/>
                <w:highlight w:val="none"/>
              </w:rPr>
              <w:t>；</w:t>
            </w:r>
          </w:p>
          <w:p>
            <w:pPr>
              <w:rPr>
                <w:color w:val="auto"/>
                <w:highlight w:val="none"/>
              </w:rPr>
            </w:pPr>
            <w:r>
              <w:rPr>
                <w:color w:val="auto"/>
                <w:highlight w:val="none"/>
              </w:rPr>
              <w:t>▲</w:t>
            </w:r>
            <w:r>
              <w:rPr>
                <w:rFonts w:hint="eastAsia"/>
                <w:color w:val="auto"/>
                <w:highlight w:val="none"/>
              </w:rPr>
              <w:t>16、</w:t>
            </w:r>
            <w:r>
              <w:rPr>
                <w:color w:val="auto"/>
                <w:highlight w:val="none"/>
              </w:rPr>
              <w:t>提供全开源百度paddlepaddle深度学习应用</w:t>
            </w:r>
            <w:r>
              <w:rPr>
                <w:rFonts w:hint="eastAsia"/>
                <w:color w:val="auto"/>
                <w:highlight w:val="none"/>
              </w:rPr>
              <w:t>；</w:t>
            </w:r>
          </w:p>
          <w:p>
            <w:pPr>
              <w:rPr>
                <w:color w:val="auto"/>
                <w:highlight w:val="none"/>
              </w:rPr>
            </w:pPr>
            <w:r>
              <w:rPr>
                <w:rFonts w:hint="eastAsia"/>
                <w:color w:val="auto"/>
                <w:highlight w:val="none"/>
              </w:rPr>
              <w:t>17、</w:t>
            </w:r>
            <w:r>
              <w:rPr>
                <w:color w:val="auto"/>
                <w:highlight w:val="none"/>
              </w:rPr>
              <w:t>提供AIstudio百度一站式AI开发平台支持</w:t>
            </w:r>
            <w:r>
              <w:rPr>
                <w:rFonts w:hint="eastAsia"/>
                <w:color w:val="auto"/>
                <w:highlight w:val="none"/>
              </w:rPr>
              <w:t>；</w:t>
            </w:r>
          </w:p>
          <w:p>
            <w:pPr>
              <w:rPr>
                <w:color w:val="auto"/>
                <w:highlight w:val="none"/>
              </w:rPr>
            </w:pPr>
            <w:r>
              <w:rPr>
                <w:color w:val="auto"/>
                <w:highlight w:val="none"/>
              </w:rPr>
              <w:t>▲</w:t>
            </w:r>
            <w:r>
              <w:rPr>
                <w:rFonts w:hint="eastAsia"/>
                <w:color w:val="auto"/>
                <w:highlight w:val="none"/>
              </w:rPr>
              <w:t>18、</w:t>
            </w:r>
            <w:r>
              <w:rPr>
                <w:color w:val="auto"/>
                <w:highlight w:val="none"/>
              </w:rPr>
              <w:t>支持连接百度大脑EdgeBoard核心板卡。</w:t>
            </w:r>
          </w:p>
          <w:p>
            <w:pPr>
              <w:rPr>
                <w:color w:val="auto"/>
                <w:highlight w:val="none"/>
              </w:rPr>
            </w:pPr>
            <w:r>
              <w:rPr>
                <w:color w:val="auto"/>
                <w:highlight w:val="none"/>
              </w:rPr>
              <w:t>▲</w:t>
            </w:r>
            <w:r>
              <w:rPr>
                <w:rFonts w:hint="eastAsia"/>
                <w:color w:val="auto"/>
                <w:highlight w:val="none"/>
              </w:rPr>
              <w:t>19、提供教学课件、实验教材；</w:t>
            </w:r>
          </w:p>
          <w:p>
            <w:pPr>
              <w:rPr>
                <w:color w:val="auto"/>
                <w:highlight w:val="none"/>
              </w:rPr>
            </w:pPr>
            <w:r>
              <w:rPr>
                <w:rFonts w:hint="eastAsia"/>
                <w:color w:val="auto"/>
                <w:highlight w:val="none"/>
              </w:rPr>
              <w:t>★20、支持全国大学生智能汽车竞赛与中国大学生计算机设计大赛；</w:t>
            </w:r>
          </w:p>
          <w:p>
            <w:pPr>
              <w:rPr>
                <w:color w:val="auto"/>
                <w:highlight w:val="none"/>
              </w:rPr>
            </w:pPr>
            <w:r>
              <w:rPr>
                <w:color w:val="auto"/>
                <w:highlight w:val="none"/>
              </w:rPr>
              <w:t>▲</w:t>
            </w:r>
            <w:r>
              <w:rPr>
                <w:rFonts w:hint="eastAsia"/>
                <w:color w:val="auto"/>
                <w:highlight w:val="none"/>
              </w:rPr>
              <w:t>21、提供大赛现场视频；</w:t>
            </w:r>
          </w:p>
          <w:p>
            <w:pPr>
              <w:rPr>
                <w:color w:val="auto"/>
                <w:highlight w:val="none"/>
              </w:rPr>
            </w:pPr>
            <w:r>
              <w:rPr>
                <w:color w:val="auto"/>
                <w:highlight w:val="none"/>
              </w:rPr>
              <w:t>▲</w:t>
            </w:r>
            <w:r>
              <w:rPr>
                <w:rFonts w:hint="eastAsia"/>
                <w:color w:val="auto"/>
                <w:highlight w:val="none"/>
              </w:rPr>
              <w:t>22、软件平台：</w:t>
            </w:r>
          </w:p>
          <w:p>
            <w:pPr>
              <w:rPr>
                <w:color w:val="auto"/>
                <w:highlight w:val="none"/>
              </w:rPr>
            </w:pPr>
            <w:r>
              <w:rPr>
                <w:rFonts w:hint="eastAsia"/>
                <w:color w:val="auto"/>
                <w:highlight w:val="none"/>
              </w:rPr>
              <w:t>1、软件系统：Ubuntu16.04 ；</w:t>
            </w:r>
          </w:p>
          <w:p>
            <w:pPr>
              <w:rPr>
                <w:color w:val="auto"/>
                <w:highlight w:val="none"/>
              </w:rPr>
            </w:pPr>
            <w:r>
              <w:rPr>
                <w:rFonts w:hint="eastAsia"/>
                <w:color w:val="auto"/>
                <w:highlight w:val="none"/>
              </w:rPr>
              <w:t>2、深度学习框架：paddlepaddle；</w:t>
            </w:r>
          </w:p>
          <w:p>
            <w:pPr>
              <w:rPr>
                <w:color w:val="auto"/>
                <w:highlight w:val="none"/>
              </w:rPr>
            </w:pPr>
            <w:r>
              <w:rPr>
                <w:rFonts w:hint="eastAsia"/>
                <w:color w:val="auto"/>
                <w:highlight w:val="none"/>
              </w:rPr>
              <w:t>3、软件编程语言：Python3.6。</w:t>
            </w:r>
          </w:p>
        </w:tc>
      </w:tr>
      <w:tr>
        <w:tblPrEx>
          <w:tblCellMar>
            <w:top w:w="15" w:type="dxa"/>
            <w:left w:w="15" w:type="dxa"/>
            <w:bottom w:w="15" w:type="dxa"/>
            <w:right w:w="15" w:type="dxa"/>
          </w:tblCellMar>
        </w:tblPrEx>
        <w:tc>
          <w:tcPr>
            <w:tcW w:w="24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19" w:type="pct"/>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Ros无人驾驶智能车</w:t>
            </w:r>
          </w:p>
        </w:tc>
        <w:tc>
          <w:tcPr>
            <w:tcW w:w="37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台</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w:t>
            </w:r>
          </w:p>
        </w:tc>
        <w:tc>
          <w:tcPr>
            <w:tcW w:w="2790" w:type="pct"/>
            <w:tcBorders>
              <w:top w:val="single" w:color="000000" w:sz="4" w:space="0"/>
              <w:left w:val="single" w:color="000000" w:sz="4" w:space="0"/>
              <w:bottom w:val="single" w:color="000000" w:sz="4" w:space="0"/>
              <w:right w:val="single" w:color="000000" w:sz="4" w:space="0"/>
            </w:tcBorders>
            <w:vAlign w:val="center"/>
          </w:tcPr>
          <w:p>
            <w:pPr>
              <w:rPr>
                <w:b/>
                <w:color w:val="auto"/>
                <w:highlight w:val="none"/>
              </w:rPr>
            </w:pPr>
            <w:r>
              <w:rPr>
                <w:rFonts w:hint="eastAsia"/>
                <w:b/>
                <w:color w:val="auto"/>
                <w:highlight w:val="none"/>
              </w:rPr>
              <w:t>功能：</w:t>
            </w:r>
          </w:p>
          <w:p>
            <w:pPr>
              <w:rPr>
                <w:rFonts w:ascii="宋体" w:hAnsi="宋体"/>
                <w:color w:val="auto"/>
                <w:szCs w:val="21"/>
                <w:highlight w:val="none"/>
              </w:rPr>
            </w:pPr>
            <w:r>
              <w:rPr>
                <w:rFonts w:hint="eastAsia" w:ascii="宋体" w:hAnsi="宋体"/>
                <w:color w:val="auto"/>
                <w:szCs w:val="21"/>
                <w:highlight w:val="none"/>
              </w:rPr>
              <w:t>采用高度集成硬件驱动模块，分布式结构化软件设计框架，可实现地图构建、自主导航、机器学习、无人驾驶验证（速递：3M/S）等功能，是一套学习无人驾驶开发的最优平台，同时也是“恩智浦杯”全国大学生智能汽车竞赛无人驾驶赛项</w:t>
            </w:r>
            <w:r>
              <w:rPr>
                <w:rFonts w:ascii="宋体" w:hAnsi="宋体"/>
                <w:color w:val="auto"/>
                <w:szCs w:val="21"/>
                <w:highlight w:val="none"/>
              </w:rPr>
              <w:t>。</w:t>
            </w:r>
            <w:r>
              <w:rPr>
                <w:rFonts w:hint="eastAsia" w:ascii="宋体" w:hAnsi="宋体"/>
                <w:color w:val="auto"/>
                <w:szCs w:val="21"/>
                <w:highlight w:val="none"/>
              </w:rPr>
              <w:t>支持激光雷达地图构建、自主导航等功能；采用ROS开发平台，可最快实现3M/S速度自主移动，开放所有源代码、支持无人驾驶算法验证、支持二次开发，可实现静态障碍物与动态障碍物自主路径规划。</w:t>
            </w:r>
          </w:p>
          <w:p>
            <w:pPr>
              <w:rPr>
                <w:b/>
                <w:color w:val="auto"/>
                <w:highlight w:val="none"/>
              </w:rPr>
            </w:pPr>
            <w:r>
              <w:rPr>
                <w:rFonts w:hint="eastAsia"/>
                <w:b/>
                <w:color w:val="auto"/>
                <w:highlight w:val="none"/>
              </w:rPr>
              <w:t>参数指标：</w:t>
            </w:r>
          </w:p>
          <w:p>
            <w:pPr>
              <w:rPr>
                <w:color w:val="auto"/>
                <w:highlight w:val="none"/>
              </w:rPr>
            </w:pPr>
            <w:r>
              <w:rPr>
                <w:rFonts w:hint="eastAsia"/>
                <w:color w:val="auto"/>
                <w:highlight w:val="none"/>
              </w:rPr>
              <w:t>1、车身尺寸：560*350*230mm</w:t>
            </w:r>
          </w:p>
          <w:p>
            <w:pPr>
              <w:rPr>
                <w:color w:val="auto"/>
                <w:highlight w:val="none"/>
              </w:rPr>
            </w:pPr>
            <w:r>
              <w:rPr>
                <w:rFonts w:hint="eastAsia"/>
                <w:color w:val="auto"/>
                <w:highlight w:val="none"/>
              </w:rPr>
              <w:t>2、有感无刷电机：kv值 2150、功率2400W、最高转速45000rpm  最高电压19V</w:t>
            </w:r>
          </w:p>
          <w:p>
            <w:pPr>
              <w:rPr>
                <w:color w:val="auto"/>
                <w:highlight w:val="none"/>
              </w:rPr>
            </w:pPr>
            <w:r>
              <w:rPr>
                <w:rFonts w:hint="eastAsia"/>
                <w:color w:val="auto"/>
                <w:highlight w:val="none"/>
              </w:rPr>
              <w:t>3、净重：4.5KG</w:t>
            </w:r>
          </w:p>
          <w:p>
            <w:pPr>
              <w:rPr>
                <w:color w:val="auto"/>
                <w:highlight w:val="none"/>
              </w:rPr>
            </w:pPr>
            <w:r>
              <w:rPr>
                <w:rFonts w:hint="eastAsia"/>
                <w:color w:val="auto"/>
                <w:highlight w:val="none"/>
              </w:rPr>
              <w:t>4、主处理器：i3-7100U、4G内存、M.2 SSD128G内存4个USB3.0</w:t>
            </w:r>
          </w:p>
          <w:p>
            <w:pPr>
              <w:rPr>
                <w:color w:val="auto"/>
                <w:highlight w:val="none"/>
              </w:rPr>
            </w:pPr>
            <w:r>
              <w:rPr>
                <w:color w:val="auto"/>
                <w:highlight w:val="none"/>
              </w:rPr>
              <w:t>▲5</w:t>
            </w:r>
            <w:r>
              <w:rPr>
                <w:rFonts w:hint="eastAsia"/>
                <w:color w:val="auto"/>
                <w:highlight w:val="none"/>
              </w:rPr>
              <w:t>、主控muc：MC9S08AC16CFGE、 输入/输出端数量:34 I/O、LQFP-44、16KB，程序存储大小16KB, 数据RAM大小:1KB 时钟频率：40MHZ</w:t>
            </w:r>
          </w:p>
          <w:p>
            <w:pPr>
              <w:rPr>
                <w:color w:val="auto"/>
                <w:highlight w:val="none"/>
              </w:rPr>
            </w:pPr>
            <w:r>
              <w:rPr>
                <w:color w:val="auto"/>
                <w:highlight w:val="none"/>
              </w:rPr>
              <w:t>▲</w:t>
            </w:r>
            <w:r>
              <w:rPr>
                <w:rFonts w:hint="eastAsia"/>
                <w:color w:val="auto"/>
                <w:highlight w:val="none"/>
              </w:rPr>
              <w:t>6、底盘：SN-RC R2 1/10；地盘采用分体式模块化结构，与应用层扩展连接，提供不少于3种类型底盘扩展；</w:t>
            </w:r>
          </w:p>
          <w:p>
            <w:pPr>
              <w:rPr>
                <w:color w:val="auto"/>
                <w:highlight w:val="none"/>
              </w:rPr>
            </w:pPr>
            <w:r>
              <w:rPr>
                <w:color w:val="auto"/>
                <w:highlight w:val="none"/>
              </w:rPr>
              <w:t>7</w:t>
            </w:r>
            <w:r>
              <w:rPr>
                <w:rFonts w:hint="eastAsia"/>
                <w:color w:val="auto"/>
                <w:highlight w:val="none"/>
              </w:rPr>
              <w:t>、电调：额定电流 120A 最大电流760A、电池节数2-3S Lipo</w:t>
            </w:r>
          </w:p>
          <w:p>
            <w:pPr>
              <w:rPr>
                <w:color w:val="auto"/>
                <w:highlight w:val="none"/>
              </w:rPr>
            </w:pPr>
            <w:r>
              <w:rPr>
                <w:color w:val="auto"/>
                <w:highlight w:val="none"/>
              </w:rPr>
              <w:t>▲</w:t>
            </w:r>
            <w:r>
              <w:rPr>
                <w:rFonts w:hint="eastAsia"/>
                <w:color w:val="auto"/>
                <w:highlight w:val="none"/>
              </w:rPr>
              <w:t>8、惯性导航：</w:t>
            </w:r>
          </w:p>
          <w:p>
            <w:pPr>
              <w:rPr>
                <w:color w:val="auto"/>
                <w:highlight w:val="none"/>
              </w:rPr>
            </w:pPr>
            <w:r>
              <w:rPr>
                <w:rFonts w:hint="eastAsia"/>
                <w:color w:val="auto"/>
                <w:highlight w:val="none"/>
              </w:rPr>
              <w:t>姿态角： 测量范围(pitch/roll):±90/±180度动态精度：0.5度 分辨率：0.1度</w:t>
            </w:r>
          </w:p>
          <w:p>
            <w:pPr>
              <w:rPr>
                <w:color w:val="auto"/>
                <w:highlight w:val="none"/>
              </w:rPr>
            </w:pPr>
            <w:r>
              <w:rPr>
                <w:rFonts w:hint="eastAsia"/>
                <w:color w:val="auto"/>
                <w:highlight w:val="none"/>
              </w:rPr>
              <w:t xml:space="preserve">航向角： 测量范围(yaw):±180度  </w:t>
            </w:r>
          </w:p>
          <w:p>
            <w:pPr>
              <w:rPr>
                <w:color w:val="auto"/>
                <w:highlight w:val="none"/>
              </w:rPr>
            </w:pPr>
            <w:r>
              <w:rPr>
                <w:rFonts w:hint="eastAsia"/>
                <w:color w:val="auto"/>
                <w:highlight w:val="none"/>
              </w:rPr>
              <w:t>动态精度：2（RMS） 分辨率：0.1度</w:t>
            </w:r>
          </w:p>
          <w:p>
            <w:pPr>
              <w:rPr>
                <w:color w:val="auto"/>
                <w:highlight w:val="none"/>
              </w:rPr>
            </w:pPr>
            <w:r>
              <w:rPr>
                <w:rFonts w:hint="eastAsia"/>
                <w:color w:val="auto"/>
                <w:highlight w:val="none"/>
              </w:rPr>
              <w:t xml:space="preserve">陀螺仪：测量范围(pitch/roll/yaw):±1000度/s  </w:t>
            </w:r>
          </w:p>
          <w:p>
            <w:pPr>
              <w:rPr>
                <w:color w:val="auto"/>
                <w:highlight w:val="none"/>
              </w:rPr>
            </w:pPr>
            <w:r>
              <w:rPr>
                <w:rFonts w:hint="eastAsia"/>
                <w:color w:val="auto"/>
                <w:highlight w:val="none"/>
              </w:rPr>
              <w:t>零偏稳定性：50度/h 非线性度：0.2%FS</w:t>
            </w:r>
          </w:p>
          <w:p>
            <w:pPr>
              <w:rPr>
                <w:rFonts w:asciiTheme="minorEastAsia" w:hAnsiTheme="minorEastAsia"/>
                <w:color w:val="auto"/>
                <w:szCs w:val="21"/>
                <w:highlight w:val="none"/>
              </w:rPr>
            </w:pPr>
            <w:r>
              <w:rPr>
                <w:color w:val="auto"/>
                <w:highlight w:val="none"/>
              </w:rPr>
              <w:t>▲</w:t>
            </w:r>
            <w:r>
              <w:rPr>
                <w:rFonts w:hint="eastAsia" w:asciiTheme="minorEastAsia" w:hAnsiTheme="minorEastAsia"/>
                <w:color w:val="auto"/>
                <w:szCs w:val="21"/>
                <w:highlight w:val="none"/>
              </w:rPr>
              <w:t xml:space="preserve">9加速度计：三轴测量范围:±2g  </w:t>
            </w:r>
          </w:p>
          <w:p>
            <w:pPr>
              <w:rPr>
                <w:rFonts w:asciiTheme="minorEastAsia" w:hAnsiTheme="minorEastAsia"/>
                <w:color w:val="auto"/>
                <w:szCs w:val="21"/>
                <w:highlight w:val="none"/>
              </w:rPr>
            </w:pPr>
            <w:r>
              <w:rPr>
                <w:rFonts w:hint="eastAsia" w:asciiTheme="minorEastAsia" w:hAnsiTheme="minorEastAsia"/>
                <w:color w:val="auto"/>
                <w:szCs w:val="21"/>
                <w:highlight w:val="none"/>
              </w:rPr>
              <w:t>零偏稳定性:5mg  非线性度:0.5%FS</w:t>
            </w:r>
          </w:p>
          <w:p>
            <w:pPr>
              <w:rPr>
                <w:rFonts w:asciiTheme="minorEastAsia" w:hAnsiTheme="minorEastAsia"/>
                <w:color w:val="auto"/>
                <w:szCs w:val="21"/>
                <w:highlight w:val="none"/>
              </w:rPr>
            </w:pPr>
            <w:r>
              <w:rPr>
                <w:rFonts w:hint="eastAsia" w:asciiTheme="minorEastAsia" w:hAnsiTheme="minorEastAsia"/>
                <w:color w:val="auto"/>
                <w:szCs w:val="21"/>
                <w:highlight w:val="none"/>
              </w:rPr>
              <w:t xml:space="preserve">磁力计：三轴测量范围:±12Guass  </w:t>
            </w:r>
          </w:p>
          <w:p>
            <w:pPr>
              <w:rPr>
                <w:rFonts w:asciiTheme="minorEastAsia" w:hAnsiTheme="minorEastAsia"/>
                <w:color w:val="auto"/>
                <w:szCs w:val="21"/>
                <w:highlight w:val="none"/>
              </w:rPr>
            </w:pPr>
            <w:r>
              <w:rPr>
                <w:rFonts w:hint="eastAsia" w:asciiTheme="minorEastAsia" w:hAnsiTheme="minorEastAsia"/>
                <w:color w:val="auto"/>
                <w:szCs w:val="21"/>
                <w:highlight w:val="none"/>
              </w:rPr>
              <w:t>分辨率:0.003Guass  分线性度:0.1%FS</w:t>
            </w:r>
          </w:p>
          <w:p>
            <w:pPr>
              <w:rPr>
                <w:rFonts w:asciiTheme="minorEastAsia" w:hAnsiTheme="minorEastAsia"/>
                <w:color w:val="auto"/>
                <w:szCs w:val="21"/>
                <w:highlight w:val="none"/>
              </w:rPr>
            </w:pPr>
            <w:r>
              <w:rPr>
                <w:rFonts w:hint="eastAsia" w:asciiTheme="minorEastAsia" w:hAnsiTheme="minorEastAsia"/>
                <w:color w:val="auto"/>
                <w:szCs w:val="21"/>
                <w:highlight w:val="none"/>
              </w:rPr>
              <w:t>气压计：高度分辨率:1cm  测量范围:10~1200mbar</w:t>
            </w:r>
          </w:p>
          <w:p>
            <w:pPr>
              <w:rPr>
                <w:rFonts w:asciiTheme="minorEastAsia" w:hAnsiTheme="minorEastAsia"/>
                <w:color w:val="auto"/>
                <w:szCs w:val="21"/>
                <w:highlight w:val="none"/>
              </w:rPr>
            </w:pPr>
            <w:r>
              <w:rPr>
                <w:color w:val="auto"/>
                <w:highlight w:val="none"/>
              </w:rPr>
              <w:t>▲</w:t>
            </w:r>
            <w:r>
              <w:rPr>
                <w:rFonts w:hint="eastAsia" w:asciiTheme="minorEastAsia" w:hAnsiTheme="minorEastAsia"/>
                <w:color w:val="auto"/>
                <w:szCs w:val="21"/>
                <w:highlight w:val="none"/>
              </w:rPr>
              <w:t>9、激光雷达</w:t>
            </w:r>
          </w:p>
          <w:p>
            <w:pPr>
              <w:rPr>
                <w:rFonts w:asciiTheme="minorEastAsia" w:hAnsiTheme="minorEastAsia"/>
                <w:color w:val="auto"/>
                <w:szCs w:val="21"/>
                <w:highlight w:val="none"/>
              </w:rPr>
            </w:pPr>
            <w:r>
              <w:rPr>
                <w:rFonts w:hint="eastAsia" w:asciiTheme="minorEastAsia" w:hAnsiTheme="minorEastAsia"/>
                <w:color w:val="auto"/>
                <w:szCs w:val="21"/>
                <w:highlight w:val="none"/>
              </w:rPr>
              <w:t>360度全方位扫描</w:t>
            </w:r>
          </w:p>
          <w:p>
            <w:pPr>
              <w:rPr>
                <w:rFonts w:asciiTheme="minorEastAsia" w:hAnsiTheme="minorEastAsia"/>
                <w:color w:val="auto"/>
                <w:szCs w:val="21"/>
                <w:highlight w:val="none"/>
              </w:rPr>
            </w:pPr>
            <w:r>
              <w:rPr>
                <w:rFonts w:hint="eastAsia" w:asciiTheme="minorEastAsia" w:hAnsiTheme="minorEastAsia"/>
                <w:color w:val="auto"/>
                <w:szCs w:val="21"/>
                <w:highlight w:val="none"/>
              </w:rPr>
              <w:t>10赫兹自适应扫描频率</w:t>
            </w:r>
          </w:p>
          <w:p>
            <w:pPr>
              <w:rPr>
                <w:rFonts w:asciiTheme="minorEastAsia" w:hAnsiTheme="minorEastAsia"/>
                <w:color w:val="auto"/>
                <w:szCs w:val="21"/>
                <w:highlight w:val="none"/>
              </w:rPr>
            </w:pPr>
            <w:r>
              <w:rPr>
                <w:rFonts w:hint="eastAsia" w:asciiTheme="minorEastAsia" w:hAnsiTheme="minorEastAsia"/>
                <w:color w:val="auto"/>
                <w:szCs w:val="21"/>
                <w:highlight w:val="none"/>
              </w:rPr>
              <w:t>激光测距每秒5000次</w:t>
            </w:r>
          </w:p>
          <w:p>
            <w:pPr>
              <w:rPr>
                <w:rFonts w:asciiTheme="minorEastAsia" w:hAnsiTheme="minorEastAsia"/>
                <w:color w:val="auto"/>
                <w:szCs w:val="21"/>
                <w:highlight w:val="none"/>
              </w:rPr>
            </w:pPr>
            <w:r>
              <w:rPr>
                <w:rFonts w:hint="eastAsia" w:asciiTheme="minorEastAsia" w:hAnsiTheme="minorEastAsia"/>
                <w:color w:val="auto"/>
                <w:szCs w:val="21"/>
                <w:highlight w:val="none"/>
              </w:rPr>
              <w:t>8米测量距离</w:t>
            </w:r>
          </w:p>
          <w:p>
            <w:pPr>
              <w:rPr>
                <w:rFonts w:asciiTheme="minorEastAsia" w:hAnsiTheme="minorEastAsia"/>
                <w:color w:val="auto"/>
                <w:szCs w:val="21"/>
                <w:highlight w:val="none"/>
              </w:rPr>
            </w:pPr>
            <w:r>
              <w:rPr>
                <w:rFonts w:hint="eastAsia" w:asciiTheme="minorEastAsia" w:hAnsiTheme="minorEastAsia"/>
                <w:color w:val="auto"/>
                <w:szCs w:val="21"/>
                <w:highlight w:val="none"/>
              </w:rPr>
              <w:t>Claass1激光安全标准，测量量程解析度0.1%</w:t>
            </w:r>
          </w:p>
          <w:p>
            <w:pPr>
              <w:rPr>
                <w:rFonts w:asciiTheme="minorEastAsia" w:hAnsiTheme="minorEastAsia"/>
                <w:color w:val="auto"/>
                <w:szCs w:val="21"/>
                <w:highlight w:val="none"/>
              </w:rPr>
            </w:pPr>
            <w:r>
              <w:rPr>
                <w:rFonts w:hint="eastAsia" w:asciiTheme="minorEastAsia" w:hAnsiTheme="minorEastAsia"/>
                <w:color w:val="auto"/>
                <w:szCs w:val="21"/>
                <w:highlight w:val="none"/>
              </w:rPr>
              <w:t>A6核ARM 64位处理器，主频高达2GHz 2G内存，支持惯性导航与激光雷达数据融合功能；</w:t>
            </w:r>
          </w:p>
          <w:p>
            <w:pPr>
              <w:rPr>
                <w:rFonts w:asciiTheme="minorEastAsia" w:hAnsiTheme="minorEastAsia"/>
                <w:color w:val="auto"/>
                <w:szCs w:val="21"/>
                <w:highlight w:val="none"/>
              </w:rPr>
            </w:pPr>
            <w:r>
              <w:rPr>
                <w:color w:val="auto"/>
                <w:highlight w:val="none"/>
              </w:rPr>
              <w:t>▲</w:t>
            </w:r>
            <w:r>
              <w:rPr>
                <w:rFonts w:hint="eastAsia" w:asciiTheme="minorEastAsia" w:hAnsiTheme="minorEastAsia"/>
                <w:color w:val="auto"/>
                <w:szCs w:val="21"/>
                <w:highlight w:val="none"/>
              </w:rPr>
              <w:t>1</w:t>
            </w:r>
            <w:r>
              <w:rPr>
                <w:rFonts w:asciiTheme="minorEastAsia" w:hAnsiTheme="minorEastAsia"/>
                <w:color w:val="auto"/>
                <w:szCs w:val="21"/>
                <w:highlight w:val="none"/>
              </w:rPr>
              <w:t>0</w:t>
            </w:r>
            <w:r>
              <w:rPr>
                <w:rFonts w:hint="eastAsia" w:asciiTheme="minorEastAsia" w:hAnsiTheme="minorEastAsia"/>
                <w:color w:val="auto"/>
                <w:szCs w:val="21"/>
                <w:highlight w:val="none"/>
              </w:rPr>
              <w:t>、软件平台</w:t>
            </w:r>
          </w:p>
          <w:p>
            <w:pPr>
              <w:rPr>
                <w:rFonts w:asciiTheme="minorEastAsia" w:hAnsiTheme="minorEastAsia"/>
                <w:color w:val="auto"/>
                <w:szCs w:val="21"/>
                <w:highlight w:val="none"/>
              </w:rPr>
            </w:pPr>
            <w:r>
              <w:rPr>
                <w:rFonts w:hint="eastAsia" w:asciiTheme="minorEastAsia" w:hAnsiTheme="minorEastAsia"/>
                <w:color w:val="auto"/>
                <w:szCs w:val="21"/>
                <w:highlight w:val="none"/>
              </w:rPr>
              <w:t xml:space="preserve">软件系统：Ubuntu16.04 </w:t>
            </w:r>
          </w:p>
          <w:p>
            <w:pPr>
              <w:rPr>
                <w:rFonts w:asciiTheme="minorEastAsia" w:hAnsiTheme="minorEastAsia"/>
                <w:color w:val="auto"/>
                <w:szCs w:val="21"/>
                <w:highlight w:val="none"/>
              </w:rPr>
            </w:pPr>
            <w:r>
              <w:rPr>
                <w:rFonts w:hint="eastAsia" w:asciiTheme="minorEastAsia" w:hAnsiTheme="minorEastAsia"/>
                <w:color w:val="auto"/>
                <w:szCs w:val="21"/>
                <w:highlight w:val="none"/>
              </w:rPr>
              <w:t>机器人操作系统：ROS_Kinetic</w:t>
            </w:r>
          </w:p>
          <w:p>
            <w:pPr>
              <w:rPr>
                <w:rFonts w:asciiTheme="minorEastAsia" w:hAnsiTheme="minorEastAsia"/>
                <w:color w:val="auto"/>
                <w:szCs w:val="21"/>
                <w:highlight w:val="none"/>
              </w:rPr>
            </w:pPr>
            <w:r>
              <w:rPr>
                <w:rFonts w:hint="eastAsia" w:asciiTheme="minorEastAsia" w:hAnsiTheme="minorEastAsia"/>
                <w:color w:val="auto"/>
                <w:szCs w:val="21"/>
                <w:highlight w:val="none"/>
              </w:rPr>
              <w:t>软件编程语言：Python3.6</w:t>
            </w:r>
          </w:p>
          <w:p>
            <w:pPr>
              <w:rPr>
                <w:rFonts w:asciiTheme="minorEastAsia" w:hAnsiTheme="minorEastAsia"/>
                <w:color w:val="auto"/>
                <w:szCs w:val="21"/>
                <w:highlight w:val="none"/>
              </w:rPr>
            </w:pPr>
            <w:r>
              <w:rPr>
                <w:rFonts w:hint="eastAsia"/>
                <w:color w:val="auto"/>
                <w:highlight w:val="none"/>
              </w:rPr>
              <w:t>★</w:t>
            </w:r>
            <w:r>
              <w:rPr>
                <w:rFonts w:hint="eastAsia" w:asciiTheme="minorEastAsia" w:hAnsiTheme="minorEastAsia"/>
                <w:color w:val="auto"/>
                <w:szCs w:val="21"/>
                <w:highlight w:val="none"/>
              </w:rPr>
              <w:t xml:space="preserve">11、提供教学课件、实验教材、大赛指导书； </w:t>
            </w:r>
          </w:p>
          <w:p>
            <w:pPr>
              <w:rPr>
                <w:color w:val="auto"/>
                <w:highlight w:val="none"/>
              </w:rPr>
            </w:pPr>
            <w:r>
              <w:rPr>
                <w:color w:val="auto"/>
                <w:highlight w:val="none"/>
              </w:rPr>
              <w:t>▲</w:t>
            </w:r>
            <w:r>
              <w:rPr>
                <w:rFonts w:hint="eastAsia" w:asciiTheme="minorEastAsia" w:hAnsiTheme="minorEastAsia"/>
                <w:color w:val="auto"/>
                <w:szCs w:val="21"/>
                <w:highlight w:val="none"/>
              </w:rPr>
              <w:t>12、</w:t>
            </w:r>
            <w:r>
              <w:rPr>
                <w:rFonts w:hint="eastAsia"/>
                <w:color w:val="auto"/>
                <w:highlight w:val="none"/>
              </w:rPr>
              <w:t>支持全国大学生智能汽车竞赛；</w:t>
            </w:r>
          </w:p>
          <w:p>
            <w:pPr>
              <w:rPr>
                <w:color w:val="auto"/>
                <w:highlight w:val="none"/>
              </w:rPr>
            </w:pPr>
            <w:r>
              <w:rPr>
                <w:color w:val="auto"/>
                <w:highlight w:val="none"/>
              </w:rPr>
              <w:t>▲</w:t>
            </w:r>
            <w:r>
              <w:rPr>
                <w:rFonts w:hint="eastAsia"/>
                <w:color w:val="auto"/>
                <w:highlight w:val="none"/>
              </w:rPr>
              <w:t>13、提供大赛现场视频；</w:t>
            </w:r>
          </w:p>
        </w:tc>
      </w:tr>
    </w:tbl>
    <w:p>
      <w:pPr>
        <w:spacing w:line="360" w:lineRule="auto"/>
        <w:rPr>
          <w:b/>
          <w:color w:val="auto"/>
          <w:highlight w:val="none"/>
        </w:rPr>
      </w:pPr>
      <w:r>
        <w:rPr>
          <w:rFonts w:hint="eastAsia" w:ascii="宋体" w:hAnsi="宋体" w:cs="宋体"/>
          <w:b/>
          <w:color w:val="auto"/>
          <w:kern w:val="0"/>
          <w:sz w:val="24"/>
          <w:highlight w:val="none"/>
        </w:rPr>
        <w:t>主要配置或技术参数</w:t>
      </w:r>
      <w:r>
        <w:rPr>
          <w:rFonts w:hint="eastAsia"/>
          <w:b/>
          <w:color w:val="auto"/>
          <w:highlight w:val="none"/>
        </w:rPr>
        <w:t>：（标注“</w:t>
      </w:r>
      <w:r>
        <w:rPr>
          <w:rFonts w:hint="eastAsia" w:ascii="宋体" w:hAnsi="宋体" w:cs="宋体"/>
          <w:color w:val="auto"/>
          <w:kern w:val="0"/>
          <w:sz w:val="20"/>
          <w:szCs w:val="20"/>
          <w:highlight w:val="none"/>
        </w:rPr>
        <w:t>★</w:t>
      </w:r>
      <w:r>
        <w:rPr>
          <w:rFonts w:hint="eastAsia"/>
          <w:b/>
          <w:color w:val="auto"/>
          <w:highlight w:val="none"/>
        </w:rPr>
        <w:t>”为核心指标，系必须满足项，否则，按</w:t>
      </w:r>
      <w:r>
        <w:rPr>
          <w:rFonts w:hint="eastAsia"/>
          <w:b/>
          <w:color w:val="auto"/>
          <w:highlight w:val="none"/>
          <w:lang w:val="en-US" w:eastAsia="zh-CN"/>
        </w:rPr>
        <w:t>无效</w:t>
      </w:r>
      <w:r>
        <w:rPr>
          <w:rFonts w:hint="eastAsia"/>
          <w:b/>
          <w:color w:val="auto"/>
          <w:highlight w:val="none"/>
        </w:rPr>
        <w:t>标处理。）</w:t>
      </w:r>
    </w:p>
    <w:p>
      <w:pPr>
        <w:spacing w:line="360" w:lineRule="auto"/>
        <w:rPr>
          <w:rFonts w:ascii="宋体" w:hAnsi="宋体"/>
          <w:b/>
          <w:color w:val="auto"/>
          <w:sz w:val="28"/>
          <w:szCs w:val="28"/>
          <w:highlight w:val="none"/>
        </w:rPr>
      </w:pPr>
      <w:r>
        <w:rPr>
          <w:rFonts w:hint="eastAsia" w:ascii="宋体" w:hAnsi="宋体"/>
          <w:b/>
          <w:color w:val="auto"/>
          <w:sz w:val="28"/>
          <w:szCs w:val="28"/>
          <w:highlight w:val="none"/>
        </w:rPr>
        <w:t>（标注“★”项目为设备核心技术，必须满足；标注“▲”为设备重要技术，超过5项不满足按照无效标处理），核心指标和重要指标需提供原厂加盖公章的参数证明资料。投标人需承诺在中标公示之日起，三个工作日内按用户需求提供产品测试样机与所投产品的原厂授权函、售后服务承诺函。测试样机经测试后若不满足要求，则取消中标资格。</w:t>
      </w: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9"/>
    <w:bookmarkEnd w:id="10"/>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pStyle w:val="41"/>
        <w:spacing w:after="0" w:line="400" w:lineRule="exact"/>
        <w:rPr>
          <w:rFonts w:ascii="Times New Roman" w:hAnsi="Times New Roman" w:cs="Times New Roman"/>
          <w:color w:val="auto"/>
          <w:sz w:val="21"/>
          <w:szCs w:val="21"/>
          <w:highlight w:val="none"/>
        </w:rPr>
      </w:pPr>
      <w:r>
        <w:rPr>
          <w:rFonts w:ascii="Times New Roman" w:hAnsi="Times New Roman" w:cs="Times New Roman"/>
          <w:color w:val="auto"/>
          <w:kern w:val="2"/>
          <w:sz w:val="21"/>
          <w:szCs w:val="21"/>
          <w:highlight w:val="none"/>
        </w:rPr>
        <w:t>1.</w:t>
      </w:r>
      <w:r>
        <w:rPr>
          <w:rFonts w:hint="eastAsia" w:ascii="Times New Roman" w:hAnsi="Times New Roman" w:cs="Times New Roman"/>
          <w:color w:val="auto"/>
          <w:kern w:val="2"/>
          <w:sz w:val="21"/>
          <w:szCs w:val="21"/>
          <w:highlight w:val="none"/>
        </w:rPr>
        <w:t xml:space="preserve"> </w:t>
      </w:r>
      <w:r>
        <w:rPr>
          <w:rFonts w:ascii="Times New Roman" w:hAnsi="Times New Roman" w:cs="Times New Roman"/>
          <w:color w:val="auto"/>
          <w:kern w:val="2"/>
          <w:sz w:val="21"/>
          <w:szCs w:val="21"/>
          <w:highlight w:val="none"/>
        </w:rPr>
        <w:t>交货期：</w:t>
      </w:r>
      <w:r>
        <w:rPr>
          <w:rFonts w:ascii="Times New Roman" w:hAnsi="Times New Roman" w:cs="Times New Roman"/>
          <w:color w:val="auto"/>
          <w:sz w:val="21"/>
          <w:szCs w:val="21"/>
          <w:highlight w:val="none"/>
        </w:rPr>
        <w:t>在合同签订后</w:t>
      </w:r>
      <w:r>
        <w:rPr>
          <w:rFonts w:hint="eastAsia" w:ascii="Times New Roman" w:hAnsi="Times New Roman" w:cs="Times New Roman"/>
          <w:color w:val="auto"/>
          <w:sz w:val="21"/>
          <w:szCs w:val="21"/>
          <w:highlight w:val="none"/>
        </w:rPr>
        <w:t>45</w:t>
      </w:r>
      <w:r>
        <w:rPr>
          <w:rFonts w:ascii="Times New Roman" w:hAnsi="Times New Roman" w:cs="Times New Roman"/>
          <w:color w:val="auto"/>
          <w:sz w:val="21"/>
          <w:szCs w:val="21"/>
          <w:highlight w:val="none"/>
        </w:rPr>
        <w:t>天内送货到用户指定地点</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60日内完成项目整体验收，否则</w:t>
      </w:r>
      <w:r>
        <w:rPr>
          <w:rFonts w:hint="eastAsia" w:ascii="Times New Roman" w:hAnsi="Times New Roman" w:cs="Times New Roman"/>
          <w:color w:val="auto"/>
          <w:sz w:val="21"/>
          <w:szCs w:val="21"/>
          <w:highlight w:val="none"/>
          <w:lang w:val="en-US" w:eastAsia="zh-CN"/>
        </w:rPr>
        <w:t>将没收履约保证金，并做相应处罚</w:t>
      </w:r>
      <w:r>
        <w:rPr>
          <w:rFonts w:ascii="Times New Roman" w:hAnsi="Times New Roman" w:cs="Times New Roman"/>
          <w:color w:val="auto"/>
          <w:sz w:val="21"/>
          <w:szCs w:val="21"/>
          <w:highlight w:val="none"/>
        </w:rPr>
        <w:t>；</w:t>
      </w:r>
    </w:p>
    <w:p>
      <w:pPr>
        <w:spacing w:line="400" w:lineRule="exact"/>
        <w:rPr>
          <w:color w:val="auto"/>
          <w:szCs w:val="21"/>
          <w:highlight w:val="none"/>
        </w:rPr>
      </w:pPr>
      <w:r>
        <w:rPr>
          <w:color w:val="auto"/>
          <w:szCs w:val="21"/>
          <w:highlight w:val="none"/>
        </w:rPr>
        <w:t>2.</w:t>
      </w:r>
      <w:r>
        <w:rPr>
          <w:rFonts w:hint="eastAsia"/>
          <w:color w:val="auto"/>
          <w:szCs w:val="21"/>
          <w:highlight w:val="none"/>
        </w:rPr>
        <w:t xml:space="preserve"> </w:t>
      </w:r>
      <w:r>
        <w:rPr>
          <w:color w:val="auto"/>
          <w:szCs w:val="21"/>
          <w:highlight w:val="none"/>
        </w:rPr>
        <w:t>产品到达最终用户现</w:t>
      </w:r>
      <w:bookmarkStart w:id="11" w:name="_GoBack"/>
      <w:bookmarkEnd w:id="11"/>
      <w:r>
        <w:rPr>
          <w:color w:val="auto"/>
          <w:szCs w:val="21"/>
          <w:highlight w:val="none"/>
        </w:rPr>
        <w:t>场后在接到用户通知后1周内，中标人（含产品制造商）需安排有经验的工程技术人员到用户现场安装调试仪器，按验收指标逐项测试直至合格通过验收。产品的安装调试及现场需在15日内完成；</w:t>
      </w:r>
    </w:p>
    <w:p>
      <w:pPr>
        <w:spacing w:line="400" w:lineRule="exact"/>
        <w:rPr>
          <w:color w:val="auto"/>
          <w:szCs w:val="21"/>
          <w:highlight w:val="none"/>
        </w:rPr>
      </w:pPr>
      <w:r>
        <w:rPr>
          <w:color w:val="auto"/>
          <w:szCs w:val="21"/>
          <w:highlight w:val="none"/>
        </w:rPr>
        <w:t>3.</w:t>
      </w:r>
      <w:r>
        <w:rPr>
          <w:rFonts w:hint="eastAsia"/>
          <w:color w:val="auto"/>
          <w:szCs w:val="21"/>
          <w:highlight w:val="none"/>
        </w:rPr>
        <w:t xml:space="preserve"> </w:t>
      </w:r>
      <w:r>
        <w:rPr>
          <w:color w:val="auto"/>
          <w:szCs w:val="21"/>
          <w:highlight w:val="none"/>
        </w:rPr>
        <w:t>设备安装、调试和验收服务：中标人（含产品制造商）负责仪器的现场安装调试，并同时在现场对用户进行操作及维护培训，包括仪器原理、使用方法和基本维护方法等，培训的人员不限，免费帮助用户解决应急的方法开发和技术指导，以上相关费用已含在投标报价中；</w:t>
      </w:r>
    </w:p>
    <w:p>
      <w:pPr>
        <w:spacing w:line="400" w:lineRule="exact"/>
        <w:rPr>
          <w:color w:val="auto"/>
          <w:szCs w:val="21"/>
          <w:highlight w:val="none"/>
        </w:rPr>
      </w:pPr>
      <w:r>
        <w:rPr>
          <w:color w:val="auto"/>
          <w:szCs w:val="21"/>
          <w:highlight w:val="none"/>
        </w:rPr>
        <w:t>4.</w:t>
      </w:r>
      <w:r>
        <w:rPr>
          <w:rFonts w:hint="eastAsia"/>
          <w:color w:val="auto"/>
          <w:szCs w:val="21"/>
          <w:highlight w:val="none"/>
        </w:rPr>
        <w:t xml:space="preserve"> </w:t>
      </w:r>
      <w:r>
        <w:rPr>
          <w:color w:val="auto"/>
          <w:szCs w:val="21"/>
          <w:highlight w:val="none"/>
        </w:rPr>
        <w:t>人员培训：除现场安装培训外，中标人（含产品制造商）还必须至少为2名操作人员，每人次不少于5天的机构培训，所需食宿费和培训费等由中标人全部承担；</w:t>
      </w:r>
    </w:p>
    <w:p>
      <w:pPr>
        <w:spacing w:line="400" w:lineRule="exact"/>
        <w:rPr>
          <w:color w:val="auto"/>
          <w:szCs w:val="21"/>
          <w:highlight w:val="none"/>
        </w:rPr>
      </w:pPr>
      <w:r>
        <w:rPr>
          <w:color w:val="auto"/>
          <w:szCs w:val="21"/>
          <w:highlight w:val="none"/>
        </w:rPr>
        <w:t>5.</w:t>
      </w:r>
      <w:r>
        <w:rPr>
          <w:rFonts w:hint="eastAsia"/>
          <w:color w:val="auto"/>
          <w:szCs w:val="21"/>
          <w:highlight w:val="none"/>
        </w:rPr>
        <w:t xml:space="preserve"> </w:t>
      </w:r>
      <w:r>
        <w:rPr>
          <w:color w:val="auto"/>
          <w:szCs w:val="21"/>
          <w:highlight w:val="none"/>
        </w:rPr>
        <w:t>质量保证期：免费质保</w:t>
      </w:r>
      <w:r>
        <w:rPr>
          <w:rFonts w:hint="eastAsia"/>
          <w:color w:val="auto"/>
          <w:szCs w:val="21"/>
          <w:highlight w:val="none"/>
          <w:lang w:val="en-US" w:eastAsia="zh-CN"/>
        </w:rPr>
        <w:t>3</w:t>
      </w:r>
      <w:r>
        <w:rPr>
          <w:color w:val="auto"/>
          <w:szCs w:val="21"/>
          <w:highlight w:val="none"/>
        </w:rPr>
        <w:t>年（自验收合格之日起计算），提供产品制造商</w:t>
      </w:r>
      <w:r>
        <w:rPr>
          <w:rFonts w:hint="eastAsia"/>
          <w:color w:val="auto"/>
          <w:szCs w:val="21"/>
          <w:highlight w:val="none"/>
          <w:lang w:val="en-US" w:eastAsia="zh-CN"/>
        </w:rPr>
        <w:t>3</w:t>
      </w:r>
      <w:r>
        <w:rPr>
          <w:color w:val="auto"/>
          <w:szCs w:val="21"/>
          <w:highlight w:val="none"/>
        </w:rPr>
        <w:t>年质保承诺函，在质保期内所有服务及配件全部免费。同时产品制造商承诺在质保期满后为产品提供保修服务，软件终生免费升级，并将以低于市场价的优惠价格提供仪器运行所需耗材以及零配件，具体折扣率应在承诺函中体现；</w:t>
      </w:r>
    </w:p>
    <w:p>
      <w:pPr>
        <w:spacing w:line="400" w:lineRule="exact"/>
        <w:rPr>
          <w:color w:val="auto"/>
          <w:szCs w:val="21"/>
          <w:highlight w:val="none"/>
        </w:rPr>
      </w:pPr>
      <w:r>
        <w:rPr>
          <w:rFonts w:hint="eastAsia"/>
          <w:color w:val="auto"/>
          <w:szCs w:val="21"/>
          <w:highlight w:val="none"/>
        </w:rPr>
        <w:t>6</w:t>
      </w:r>
      <w:r>
        <w:rPr>
          <w:color w:val="auto"/>
          <w:szCs w:val="21"/>
          <w:highlight w:val="none"/>
        </w:rPr>
        <w:t>.</w:t>
      </w:r>
      <w:r>
        <w:rPr>
          <w:rFonts w:hint="eastAsia"/>
          <w:color w:val="auto"/>
          <w:szCs w:val="21"/>
          <w:highlight w:val="none"/>
        </w:rPr>
        <w:t xml:space="preserve"> </w:t>
      </w:r>
      <w:r>
        <w:rPr>
          <w:color w:val="auto"/>
          <w:szCs w:val="21"/>
          <w:highlight w:val="none"/>
        </w:rPr>
        <w:t>仪器安装调试结束后，由业主方和安装或应用工程师现场按照招标文件对仪器性能进行测试，测试合格后，业主方签字验收合格；</w:t>
      </w:r>
    </w:p>
    <w:p>
      <w:pPr>
        <w:spacing w:line="400" w:lineRule="exact"/>
        <w:rPr>
          <w:color w:val="auto"/>
          <w:szCs w:val="21"/>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 xml:space="preserve"> 中标后3日内需</w:t>
      </w:r>
      <w:r>
        <w:rPr>
          <w:color w:val="auto"/>
          <w:szCs w:val="21"/>
          <w:highlight w:val="none"/>
        </w:rPr>
        <w:t>提供生产厂家针对本项目的授权书及售后服务承诺书原件。</w:t>
      </w:r>
    </w:p>
    <w:p>
      <w:pPr>
        <w:pStyle w:val="2"/>
        <w:ind w:left="0" w:leftChars="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hint="eastAsia" w:ascii="宋体" w:hAnsi="宋体" w:cs="仿宋"/>
          <w:b/>
          <w:bCs/>
          <w:color w:val="auto"/>
          <w:sz w:val="28"/>
          <w:szCs w:val="28"/>
          <w:highlight w:val="none"/>
        </w:rPr>
      </w:pPr>
    </w:p>
    <w:p>
      <w:pPr>
        <w:adjustRightInd w:val="0"/>
        <w:snapToGrid w:val="0"/>
        <w:spacing w:line="360" w:lineRule="auto"/>
        <w:rPr>
          <w:rFonts w:hint="eastAsia" w:ascii="宋体" w:hAnsi="宋体" w:cs="仿宋"/>
          <w:b/>
          <w:bCs/>
          <w:color w:val="auto"/>
          <w:sz w:val="28"/>
          <w:szCs w:val="28"/>
          <w:highlight w:val="none"/>
        </w:rPr>
      </w:pPr>
    </w:p>
    <w:p>
      <w:pPr>
        <w:adjustRightInd w:val="0"/>
        <w:snapToGrid w:val="0"/>
        <w:spacing w:line="360" w:lineRule="auto"/>
        <w:rPr>
          <w:rFonts w:hint="eastAsia" w:ascii="宋体" w:hAnsi="宋体" w:cs="仿宋"/>
          <w:b/>
          <w:bCs/>
          <w:color w:val="auto"/>
          <w:sz w:val="28"/>
          <w:szCs w:val="28"/>
          <w:highlight w:val="none"/>
        </w:rPr>
      </w:pPr>
    </w:p>
    <w:p>
      <w:pPr>
        <w:adjustRightInd w:val="0"/>
        <w:snapToGrid w:val="0"/>
        <w:spacing w:line="360" w:lineRule="auto"/>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本项目采用综合评分法，总分为：</w:t>
      </w:r>
      <w:r>
        <w:rPr>
          <w:rFonts w:ascii="宋体" w:hAnsi="宋体"/>
          <w:color w:val="auto"/>
          <w:sz w:val="24"/>
          <w:highlight w:val="none"/>
        </w:rPr>
        <w:t>100</w:t>
      </w:r>
      <w:r>
        <w:rPr>
          <w:rFonts w:hint="eastAsia" w:ascii="宋体" w:hAnsi="宋体"/>
          <w:color w:val="auto"/>
          <w:sz w:val="24"/>
          <w:highlight w:val="none"/>
        </w:rPr>
        <w:t>分。</w:t>
      </w:r>
    </w:p>
    <w:tbl>
      <w:tblPr>
        <w:tblStyle w:val="15"/>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ind w:firstLine="603"/>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ind w:right="34" w:rightChars="16" w:firstLine="603"/>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ind w:left="172"/>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szCs w:val="21"/>
                <w:highlight w:val="none"/>
              </w:rPr>
            </w:pPr>
            <w:r>
              <w:rPr>
                <w:rFonts w:hint="eastAsia" w:ascii="宋体" w:hAnsi="宋体" w:cs="宋体"/>
                <w:color w:val="auto"/>
                <w:kern w:val="0"/>
                <w:szCs w:val="21"/>
                <w:highlight w:val="none"/>
              </w:rPr>
              <w:t>1、价格部分（30分）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firstLine="603"/>
              <w:rPr>
                <w:rFonts w:ascii="宋体" w:hAnsi="宋体" w:cs="宋体"/>
                <w:color w:val="auto"/>
                <w:szCs w:val="21"/>
                <w:highlight w:val="none"/>
              </w:rPr>
            </w:pPr>
            <w:r>
              <w:rPr>
                <w:rFonts w:hint="eastAsia" w:ascii="宋体" w:hAnsi="宋体" w:cs="宋体"/>
                <w:color w:val="auto"/>
                <w:szCs w:val="21"/>
                <w:highlight w:val="none"/>
              </w:rPr>
              <w:t>1.1</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right="155"/>
              <w:rPr>
                <w:rFonts w:ascii="宋体" w:hAnsi="宋体" w:cs="宋体"/>
                <w:color w:val="auto"/>
                <w:szCs w:val="21"/>
                <w:highlight w:val="none"/>
              </w:rPr>
            </w:pPr>
            <w:r>
              <w:rPr>
                <w:rFonts w:hint="eastAsia" w:ascii="宋体" w:hAnsi="宋体" w:cs="宋体"/>
                <w:color w:val="auto"/>
                <w:szCs w:val="21"/>
                <w:highlight w:val="none"/>
              </w:rPr>
              <w:t>价格分</w:t>
            </w:r>
          </w:p>
        </w:tc>
        <w:tc>
          <w:tcPr>
            <w:tcW w:w="5103"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以通过资格审查、实质性响应招标文件要求的投标报价的最低价作为评标基准价（须未超过采购预算或最高限价），满分30分。其他投标人的价格分统一按照下列公式计算：投标报价得分=（评标基准价/投标报价）*价格权值* 100（价格权值为30%）。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2、技术部分（50分）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704"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技术参数</w:t>
            </w:r>
          </w:p>
        </w:tc>
        <w:tc>
          <w:tcPr>
            <w:tcW w:w="5103" w:type="dxa"/>
            <w:tcBorders>
              <w:top w:val="single" w:color="000000" w:sz="4" w:space="0"/>
              <w:left w:val="single" w:color="000000" w:sz="4" w:space="0"/>
              <w:bottom w:val="single" w:color="000000" w:sz="4" w:space="0"/>
              <w:right w:val="single" w:color="000000" w:sz="4" w:space="0"/>
            </w:tcBorders>
          </w:tcPr>
          <w:p>
            <w:pPr>
              <w:spacing w:line="360" w:lineRule="exact"/>
              <w:rPr>
                <w:rFonts w:hint="default" w:eastAsia="宋体"/>
                <w:color w:val="auto"/>
                <w:highlight w:val="none"/>
                <w:lang w:val="en-US" w:eastAsia="zh-CN"/>
              </w:rPr>
            </w:pPr>
            <w:r>
              <w:rPr>
                <w:rFonts w:hint="eastAsia" w:ascii="宋体" w:hAnsi="宋体" w:cs="宋体"/>
                <w:color w:val="auto"/>
                <w:kern w:val="0"/>
                <w:szCs w:val="21"/>
                <w:highlight w:val="none"/>
              </w:rPr>
              <w:t>设备技术参数全部满足招标要求的得满分；打★号指标为核心指标项，必须满足，否则按无效投标计；打▲为重要技术指标，如有1项偏离扣5分，超过五项不满足时按无效投标处理；非打★、</w:t>
            </w:r>
            <w:r>
              <w:rPr>
                <w:rFonts w:hint="eastAsia" w:asciiTheme="minorEastAsia" w:hAnsiTheme="minorEastAsia" w:eastAsiaTheme="minorEastAsia"/>
                <w:color w:val="auto"/>
                <w:sz w:val="24"/>
                <w:highlight w:val="none"/>
              </w:rPr>
              <w:t>▲</w:t>
            </w:r>
            <w:r>
              <w:rPr>
                <w:rFonts w:hint="eastAsia" w:ascii="宋体" w:hAnsi="宋体" w:cs="宋体"/>
                <w:color w:val="auto"/>
                <w:kern w:val="0"/>
                <w:szCs w:val="21"/>
                <w:highlight w:val="none"/>
              </w:rPr>
              <w:t>号指标，有一项负偏离扣</w:t>
            </w:r>
            <w:r>
              <w:rPr>
                <w:rFonts w:ascii="宋体" w:hAnsi="宋体" w:cs="宋体"/>
                <w:color w:val="auto"/>
                <w:kern w:val="0"/>
                <w:szCs w:val="21"/>
                <w:highlight w:val="none"/>
              </w:rPr>
              <w:t>2</w:t>
            </w:r>
            <w:r>
              <w:rPr>
                <w:rFonts w:hint="eastAsia" w:ascii="宋体" w:hAnsi="宋体" w:cs="宋体"/>
                <w:color w:val="auto"/>
                <w:kern w:val="0"/>
                <w:szCs w:val="21"/>
                <w:highlight w:val="none"/>
              </w:rPr>
              <w:t>分，扣完为止。</w:t>
            </w:r>
            <w:r>
              <w:rPr>
                <w:rFonts w:hint="eastAsia" w:ascii="宋体" w:hAnsi="宋体" w:cs="宋体"/>
                <w:color w:val="auto"/>
                <w:kern w:val="0"/>
                <w:szCs w:val="21"/>
                <w:highlight w:val="none"/>
                <w:lang w:val="en-US" w:eastAsia="zh-CN"/>
              </w:rPr>
              <w:t>负偏离超过10项，本项不得分。</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各投标供应商均应如实填写偏离情况，核心指标与重要指标需提供证明其应标参数的证明材料（加盖原厂公章），否则为无效投标，如虚假应标将追究其相关责任。</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p>
          <w:p>
            <w:pPr>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704" w:type="dxa"/>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产品专项授权</w:t>
            </w:r>
          </w:p>
        </w:tc>
        <w:tc>
          <w:tcPr>
            <w:tcW w:w="5103"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投标商取得原厂专项授权书的，每提供一个得1分，本项最多2分。</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rPr>
                <w:rFonts w:ascii="宋体" w:hAnsi="宋体" w:cs="宋体"/>
                <w:color w:val="auto"/>
                <w:szCs w:val="21"/>
                <w:highlight w:val="none"/>
              </w:rPr>
            </w:pPr>
            <w:r>
              <w:rPr>
                <w:rFonts w:hint="eastAsia" w:ascii="宋体" w:hAnsi="宋体" w:cs="宋体"/>
                <w:color w:val="auto"/>
                <w:szCs w:val="21"/>
                <w:highlight w:val="none"/>
              </w:rPr>
              <w:t>3、服务部分（8分）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left="213" w:firstLine="603"/>
              <w:jc w:val="center"/>
              <w:rPr>
                <w:rFonts w:ascii="宋体" w:hAnsi="宋体" w:cs="宋体"/>
                <w:color w:val="auto"/>
                <w:szCs w:val="21"/>
                <w:highlight w:val="none"/>
              </w:rPr>
            </w:pPr>
          </w:p>
          <w:p>
            <w:pPr>
              <w:pStyle w:val="5"/>
              <w:kinsoku w:val="0"/>
              <w:overflowPunct w:val="0"/>
              <w:spacing w:line="360" w:lineRule="exact"/>
              <w:ind w:firstLine="603"/>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p>
          <w:p>
            <w:pPr>
              <w:spacing w:line="360" w:lineRule="exact"/>
              <w:jc w:val="center"/>
              <w:rPr>
                <w:rFonts w:ascii="宋体" w:hAnsi="宋体" w:cs="宋体"/>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rPr>
                <w:rFonts w:ascii="宋体" w:hAnsi="宋体" w:cs="宋体"/>
                <w:color w:val="auto"/>
                <w:szCs w:val="21"/>
                <w:highlight w:val="none"/>
              </w:rPr>
            </w:pPr>
            <w:r>
              <w:rPr>
                <w:rFonts w:hint="eastAsia" w:ascii="宋体" w:hAnsi="宋体" w:cs="宋体"/>
                <w:color w:val="auto"/>
                <w:szCs w:val="21"/>
                <w:highlight w:val="none"/>
              </w:rPr>
              <w:t>安装调试方案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line="360" w:lineRule="exact"/>
              <w:ind w:right="245"/>
              <w:jc w:val="left"/>
              <w:rPr>
                <w:rFonts w:ascii="宋体" w:hAnsi="宋体" w:cs="宋体"/>
                <w:color w:val="auto"/>
                <w:szCs w:val="21"/>
                <w:highlight w:val="none"/>
              </w:rPr>
            </w:pPr>
            <w:r>
              <w:rPr>
                <w:rFonts w:hint="eastAsia" w:ascii="宋体" w:hAnsi="宋体" w:cs="宋体"/>
                <w:color w:val="auto"/>
                <w:szCs w:val="21"/>
                <w:highlight w:val="none"/>
              </w:rPr>
              <w:t>依据供应商提供的本次招标采购设备到校后的安装调试方案的完整性、合理性最优的得2分，一般得0.5分，其他不得分。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left="337" w:firstLine="603"/>
              <w:jc w:val="center"/>
              <w:rPr>
                <w:rFonts w:ascii="宋体" w:hAnsi="宋体" w:cs="宋体"/>
                <w:color w:val="auto"/>
                <w:szCs w:val="21"/>
                <w:highlight w:val="none"/>
              </w:rPr>
            </w:pPr>
          </w:p>
          <w:p>
            <w:pPr>
              <w:pStyle w:val="5"/>
              <w:kinsoku w:val="0"/>
              <w:overflowPunct w:val="0"/>
              <w:spacing w:line="360" w:lineRule="exact"/>
              <w:rPr>
                <w:rFonts w:ascii="宋体" w:hAnsi="宋体" w:cs="宋体"/>
                <w:color w:val="auto"/>
                <w:szCs w:val="21"/>
                <w:highlight w:val="none"/>
              </w:rPr>
            </w:pPr>
            <w:r>
              <w:rPr>
                <w:rFonts w:hint="eastAsia" w:ascii="宋体" w:hAnsi="宋体" w:cs="宋体"/>
                <w:color w:val="auto"/>
                <w:szCs w:val="21"/>
                <w:highlight w:val="none"/>
              </w:rPr>
              <w:t>售后服务方案</w:t>
            </w:r>
          </w:p>
          <w:p>
            <w:pPr>
              <w:spacing w:line="360" w:lineRule="exact"/>
              <w:jc w:val="center"/>
              <w:rPr>
                <w:rFonts w:ascii="宋体" w:hAnsi="宋体" w:cs="宋体"/>
                <w:color w:val="auto"/>
                <w:kern w:val="0"/>
                <w:szCs w:val="21"/>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line="360" w:lineRule="exact"/>
              <w:jc w:val="left"/>
              <w:rPr>
                <w:rFonts w:ascii="宋体" w:hAnsi="宋体" w:cs="宋体"/>
                <w:color w:val="auto"/>
                <w:szCs w:val="21"/>
                <w:highlight w:val="none"/>
              </w:rPr>
            </w:pPr>
            <w:r>
              <w:rPr>
                <w:rFonts w:hint="eastAsia" w:ascii="宋体" w:hAnsi="宋体" w:cs="宋体"/>
                <w:color w:val="auto"/>
                <w:szCs w:val="21"/>
                <w:highlight w:val="none"/>
              </w:rPr>
              <w:t>售后服务方案（服务体系、服务内容、故障解决方案、专业技术人员保障及服务电话）最优的得2分，一般得1分，其他不得分。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rPr>
                <w:rFonts w:ascii="宋体" w:hAnsi="宋体" w:cs="宋体"/>
                <w:color w:val="auto"/>
                <w:szCs w:val="21"/>
                <w:highlight w:val="none"/>
              </w:rPr>
            </w:pPr>
            <w:r>
              <w:rPr>
                <w:rFonts w:hint="eastAsia" w:ascii="宋体" w:hAnsi="宋体" w:cs="宋体"/>
                <w:color w:val="auto"/>
                <w:szCs w:val="21"/>
                <w:highlight w:val="none"/>
              </w:rPr>
              <w:t>培训方案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highlight w:val="none"/>
              </w:rPr>
            </w:pPr>
            <w:r>
              <w:rPr>
                <w:rFonts w:hint="eastAsia"/>
                <w:color w:val="auto"/>
                <w:highlight w:val="none"/>
              </w:rPr>
              <w:t>培训方案完善、详细、针对性及可实施性强，培训内容针对性强，得2分；</w:t>
            </w:r>
          </w:p>
          <w:p>
            <w:pPr>
              <w:rPr>
                <w:rFonts w:hint="eastAsia"/>
                <w:color w:val="auto"/>
                <w:highlight w:val="none"/>
              </w:rPr>
            </w:pPr>
            <w:r>
              <w:rPr>
                <w:rFonts w:hint="eastAsia"/>
                <w:color w:val="auto"/>
                <w:highlight w:val="none"/>
              </w:rPr>
              <w:t>培训方案内容简单粗糙，具有可实施性的，得1分；</w:t>
            </w:r>
          </w:p>
          <w:p>
            <w:pPr>
              <w:rPr>
                <w:rFonts w:hint="eastAsia"/>
                <w:color w:val="auto"/>
                <w:highlight w:val="none"/>
              </w:rPr>
            </w:pPr>
            <w:r>
              <w:rPr>
                <w:rFonts w:hint="eastAsia"/>
                <w:color w:val="auto"/>
                <w:highlight w:val="none"/>
              </w:rPr>
              <w:t>无培训方案，或与项目实际内容基本无关联或不具可实施性的，不得分。</w:t>
            </w:r>
          </w:p>
          <w:p>
            <w:pPr>
              <w:pStyle w:val="5"/>
              <w:kinsoku w:val="0"/>
              <w:overflowPunct w:val="0"/>
              <w:spacing w:before="88" w:line="360" w:lineRule="exact"/>
              <w:jc w:val="left"/>
              <w:rPr>
                <w:rFonts w:ascii="宋体" w:hAnsi="宋体" w:cs="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4</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rPr>
                <w:rFonts w:ascii="宋体" w:hAnsi="宋体" w:cs="宋体"/>
                <w:color w:val="auto"/>
                <w:szCs w:val="21"/>
                <w:highlight w:val="none"/>
              </w:rPr>
            </w:pPr>
            <w:r>
              <w:rPr>
                <w:rFonts w:hint="eastAsia" w:ascii="宋体" w:hAnsi="宋体" w:cs="宋体"/>
                <w:color w:val="auto"/>
                <w:szCs w:val="21"/>
                <w:highlight w:val="none"/>
              </w:rPr>
              <w:t>设备质保</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line="360" w:lineRule="exact"/>
              <w:jc w:val="left"/>
              <w:rPr>
                <w:rFonts w:ascii="宋体" w:hAnsi="宋体" w:cs="宋体"/>
                <w:color w:val="auto"/>
                <w:szCs w:val="21"/>
                <w:highlight w:val="none"/>
              </w:rPr>
            </w:pPr>
            <w:r>
              <w:rPr>
                <w:rFonts w:hint="eastAsia" w:ascii="宋体" w:hAnsi="宋体" w:cs="宋体"/>
                <w:color w:val="auto"/>
                <w:szCs w:val="21"/>
                <w:highlight w:val="none"/>
              </w:rPr>
              <w:t>满足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年质保基础上，每增加1年质保得1分，本项最多得2分。</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rPr>
                <w:rFonts w:ascii="宋体" w:hAnsi="宋体" w:cs="宋体"/>
                <w:color w:val="auto"/>
                <w:szCs w:val="21"/>
                <w:highlight w:val="none"/>
              </w:rPr>
            </w:pPr>
            <w:r>
              <w:rPr>
                <w:rFonts w:hint="eastAsia" w:ascii="宋体" w:hAnsi="宋体" w:cs="宋体"/>
                <w:color w:val="auto"/>
                <w:szCs w:val="21"/>
                <w:highlight w:val="none"/>
              </w:rPr>
              <w:t>4、业绩（5分）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Borders>
              <w:top w:val="single" w:color="000000" w:sz="4" w:space="0"/>
              <w:left w:val="single" w:color="000000" w:sz="4" w:space="0"/>
              <w:bottom w:val="single" w:color="000000" w:sz="4" w:space="0"/>
              <w:right w:val="single" w:color="000000" w:sz="4" w:space="0"/>
            </w:tcBorders>
          </w:tcPr>
          <w:p>
            <w:pPr>
              <w:pStyle w:val="5"/>
              <w:kinsoku w:val="0"/>
              <w:overflowPunct w:val="0"/>
              <w:spacing w:line="360" w:lineRule="exact"/>
              <w:ind w:left="213" w:firstLine="603"/>
              <w:rPr>
                <w:rFonts w:ascii="宋体" w:hAnsi="宋体" w:cs="宋体"/>
                <w:color w:val="auto"/>
                <w:szCs w:val="21"/>
                <w:highlight w:val="none"/>
              </w:rPr>
            </w:pPr>
          </w:p>
          <w:p>
            <w:pPr>
              <w:pStyle w:val="5"/>
              <w:kinsoku w:val="0"/>
              <w:overflowPunct w:val="0"/>
              <w:spacing w:line="360" w:lineRule="exact"/>
              <w:ind w:left="213" w:firstLine="603"/>
              <w:rPr>
                <w:rFonts w:ascii="宋体" w:hAnsi="宋体" w:cs="宋体"/>
                <w:color w:val="auto"/>
                <w:szCs w:val="21"/>
                <w:highlight w:val="none"/>
              </w:rPr>
            </w:pPr>
            <w:r>
              <w:rPr>
                <w:rFonts w:hint="eastAsia" w:ascii="宋体" w:hAnsi="宋体" w:cs="宋体"/>
                <w:color w:val="auto"/>
                <w:szCs w:val="21"/>
                <w:highlight w:val="none"/>
              </w:rPr>
              <w:t>4.1</w:t>
            </w:r>
          </w:p>
        </w:tc>
        <w:tc>
          <w:tcPr>
            <w:tcW w:w="1276" w:type="dxa"/>
            <w:tcBorders>
              <w:top w:val="single" w:color="000000" w:sz="4" w:space="0"/>
              <w:left w:val="single" w:color="000000" w:sz="4" w:space="0"/>
              <w:bottom w:val="single" w:color="000000" w:sz="4" w:space="0"/>
              <w:right w:val="single" w:color="000000" w:sz="4" w:space="0"/>
            </w:tcBorders>
          </w:tcPr>
          <w:p>
            <w:pPr>
              <w:pStyle w:val="5"/>
              <w:kinsoku w:val="0"/>
              <w:overflowPunct w:val="0"/>
              <w:spacing w:line="360" w:lineRule="exact"/>
              <w:ind w:left="155" w:right="155" w:firstLine="603"/>
              <w:jc w:val="center"/>
              <w:rPr>
                <w:rFonts w:ascii="宋体" w:hAnsi="宋体" w:cs="宋体"/>
                <w:color w:val="auto"/>
                <w:szCs w:val="21"/>
                <w:highlight w:val="none"/>
              </w:rPr>
            </w:pPr>
          </w:p>
          <w:p>
            <w:pPr>
              <w:pStyle w:val="5"/>
              <w:kinsoku w:val="0"/>
              <w:overflowPunct w:val="0"/>
              <w:spacing w:line="360" w:lineRule="exact"/>
              <w:ind w:left="155" w:right="155"/>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103" w:type="dxa"/>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ind w:right="155"/>
              <w:rPr>
                <w:rFonts w:ascii="宋体" w:hAnsi="宋体" w:cs="宋体"/>
                <w:color w:val="auto"/>
                <w:szCs w:val="21"/>
                <w:highlight w:val="none"/>
              </w:rPr>
            </w:pPr>
            <w:r>
              <w:rPr>
                <w:rFonts w:hint="eastAsia" w:ascii="宋体" w:hAnsi="宋体" w:cs="宋体"/>
                <w:color w:val="auto"/>
                <w:szCs w:val="21"/>
                <w:highlight w:val="none"/>
              </w:rPr>
              <w:t>依据投标人或所投产品生产厂家提供自2017年5月1日以来完成过同类项目案例，每提供一个得1分，最多</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分。须提供</w:t>
            </w:r>
            <w:r>
              <w:rPr>
                <w:rFonts w:hint="eastAsia" w:ascii="宋体" w:hAnsi="宋体" w:cs="宋体"/>
                <w:color w:val="auto"/>
                <w:szCs w:val="21"/>
                <w:highlight w:val="none"/>
                <w:lang w:eastAsia="zh-CN"/>
              </w:rPr>
              <w:t>中标通知书、</w:t>
            </w:r>
            <w:r>
              <w:rPr>
                <w:rFonts w:hint="eastAsia" w:ascii="宋体" w:hAnsi="宋体" w:cs="宋体"/>
                <w:color w:val="auto"/>
                <w:szCs w:val="21"/>
                <w:highlight w:val="none"/>
              </w:rPr>
              <w:t>有效的合同</w:t>
            </w:r>
            <w:r>
              <w:rPr>
                <w:rFonts w:hint="eastAsia" w:ascii="宋体" w:hAnsi="宋体" w:cs="宋体"/>
                <w:color w:val="auto"/>
                <w:szCs w:val="21"/>
                <w:highlight w:val="none"/>
                <w:lang w:eastAsia="zh-CN"/>
              </w:rPr>
              <w:t>以及验收合格证明</w:t>
            </w:r>
            <w:r>
              <w:rPr>
                <w:rFonts w:hint="eastAsia" w:ascii="宋体" w:hAnsi="宋体" w:cs="宋体"/>
                <w:color w:val="auto"/>
                <w:szCs w:val="21"/>
                <w:highlight w:val="none"/>
              </w:rPr>
              <w:t>（时间以合同签订日期为准）。</w:t>
            </w:r>
          </w:p>
        </w:tc>
        <w:tc>
          <w:tcPr>
            <w:tcW w:w="1134"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p>
          <w:p>
            <w:pPr>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rPr>
                <w:rFonts w:ascii="宋体" w:hAnsi="宋体" w:cs="宋体"/>
                <w:color w:val="auto"/>
                <w:szCs w:val="21"/>
                <w:highlight w:val="none"/>
              </w:rPr>
            </w:pPr>
            <w:r>
              <w:rPr>
                <w:rFonts w:hint="eastAsia" w:ascii="宋体" w:hAnsi="宋体" w:cs="宋体"/>
                <w:color w:val="auto"/>
                <w:szCs w:val="21"/>
                <w:highlight w:val="none"/>
              </w:rPr>
              <w:t>5、资质（5分）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line="360" w:lineRule="exact"/>
              <w:ind w:left="213" w:firstLine="603"/>
              <w:jc w:val="center"/>
              <w:rPr>
                <w:rFonts w:ascii="宋体" w:hAnsi="宋体" w:cs="宋体"/>
                <w:color w:val="auto"/>
                <w:szCs w:val="21"/>
                <w:highlight w:val="none"/>
              </w:rPr>
            </w:pPr>
            <w:r>
              <w:rPr>
                <w:rFonts w:hint="eastAsia" w:ascii="宋体" w:hAnsi="宋体" w:cs="宋体"/>
                <w:color w:val="auto"/>
                <w:szCs w:val="21"/>
                <w:highlight w:val="none"/>
              </w:rPr>
              <w:t>5.1</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line="360" w:lineRule="exact"/>
              <w:ind w:firstLine="603"/>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软著证明</w:t>
            </w:r>
            <w:r>
              <w:rPr>
                <w:rFonts w:hint="eastAsia" w:ascii="宋体" w:hAnsi="宋体" w:cs="宋体"/>
                <w:color w:val="auto"/>
                <w:szCs w:val="21"/>
                <w:highlight w:val="none"/>
                <w:lang w:val="en-US" w:eastAsia="zh-CN"/>
              </w:rPr>
              <w:t>1</w:t>
            </w:r>
          </w:p>
        </w:tc>
        <w:tc>
          <w:tcPr>
            <w:tcW w:w="5103" w:type="dxa"/>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rPr>
                <w:rFonts w:ascii="宋体" w:hAnsi="宋体" w:cs="宋体"/>
                <w:color w:val="auto"/>
                <w:szCs w:val="21"/>
                <w:highlight w:val="none"/>
              </w:rPr>
            </w:pPr>
            <w:r>
              <w:rPr>
                <w:rFonts w:hint="eastAsia" w:ascii="宋体" w:hAnsi="宋体" w:cs="宋体"/>
                <w:color w:val="auto"/>
                <w:szCs w:val="21"/>
                <w:highlight w:val="none"/>
              </w:rPr>
              <w:t>提供计算机软件著作智能电子硬件操作系统相关证明，提供一项可得2分，没有不得分</w:t>
            </w:r>
          </w:p>
        </w:tc>
        <w:tc>
          <w:tcPr>
            <w:tcW w:w="1134" w:type="dxa"/>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firstLine="603"/>
              <w:rPr>
                <w:rFonts w:ascii="宋体" w:hAnsi="宋体" w:cs="宋体"/>
                <w:color w:val="auto"/>
                <w:szCs w:val="21"/>
                <w:highlight w:val="none"/>
              </w:rPr>
            </w:pPr>
          </w:p>
          <w:p>
            <w:pPr>
              <w:pStyle w:val="5"/>
              <w:kinsoku w:val="0"/>
              <w:overflowPunct w:val="0"/>
              <w:spacing w:line="360" w:lineRule="exact"/>
              <w:ind w:left="213" w:firstLine="603"/>
              <w:jc w:val="center"/>
              <w:rPr>
                <w:rFonts w:ascii="宋体" w:hAnsi="宋体" w:cs="宋体"/>
                <w:color w:val="auto"/>
                <w:szCs w:val="21"/>
                <w:highlight w:val="none"/>
              </w:rPr>
            </w:pPr>
            <w:r>
              <w:rPr>
                <w:rFonts w:hint="eastAsia" w:ascii="宋体" w:hAnsi="宋体" w:cs="宋体"/>
                <w:color w:val="auto"/>
                <w:szCs w:val="21"/>
                <w:highlight w:val="none"/>
              </w:rPr>
              <w:t>5.2</w:t>
            </w:r>
          </w:p>
          <w:p>
            <w:pPr>
              <w:spacing w:line="360" w:lineRule="exact"/>
              <w:jc w:val="center"/>
              <w:rPr>
                <w:rFonts w:ascii="宋体" w:hAnsi="宋体" w:cs="宋体"/>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firstLine="603"/>
              <w:jc w:val="center"/>
              <w:rPr>
                <w:rFonts w:ascii="宋体" w:hAnsi="宋体" w:cs="宋体"/>
                <w:color w:val="auto"/>
                <w:kern w:val="0"/>
                <w:szCs w:val="21"/>
                <w:highlight w:val="none"/>
              </w:rPr>
            </w:pPr>
            <w:r>
              <w:rPr>
                <w:rFonts w:hint="eastAsia" w:ascii="宋体" w:hAnsi="宋体" w:cs="宋体"/>
                <w:color w:val="auto"/>
                <w:kern w:val="0"/>
                <w:szCs w:val="21"/>
                <w:highlight w:val="none"/>
              </w:rPr>
              <w:t>软著证明2</w:t>
            </w:r>
          </w:p>
        </w:tc>
        <w:tc>
          <w:tcPr>
            <w:tcW w:w="5103" w:type="dxa"/>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ind w:right="155"/>
              <w:rPr>
                <w:rFonts w:ascii="宋体" w:hAnsi="宋体" w:cs="宋体"/>
                <w:color w:val="auto"/>
                <w:szCs w:val="21"/>
                <w:highlight w:val="none"/>
              </w:rPr>
            </w:pPr>
            <w:r>
              <w:rPr>
                <w:rFonts w:hint="eastAsia" w:ascii="宋体" w:hAnsi="宋体" w:cs="宋体"/>
                <w:color w:val="auto"/>
                <w:szCs w:val="21"/>
                <w:highlight w:val="none"/>
              </w:rPr>
              <w:t>提供计算机软件著作机器人智能操作管理系统相关证明，提供一项可得3分，没有不得分</w:t>
            </w:r>
          </w:p>
        </w:tc>
        <w:tc>
          <w:tcPr>
            <w:tcW w:w="1134"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p>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6、投标文件制作分（2分）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auto"/>
                <w:highlight w:val="none"/>
                <w:lang w:val="en-US" w:eastAsia="zh-CN"/>
              </w:rPr>
            </w:pPr>
            <w:r>
              <w:rPr>
                <w:rFonts w:hint="eastAsia"/>
                <w:color w:val="auto"/>
                <w:highlight w:val="none"/>
                <w:lang w:val="en-US" w:eastAsia="zh-CN"/>
              </w:rPr>
              <w:t>6.1</w:t>
            </w:r>
          </w:p>
          <w:p>
            <w:pPr>
              <w:pStyle w:val="2"/>
              <w:rPr>
                <w:rFonts w:hint="default"/>
                <w:color w:val="auto"/>
                <w:highlight w:val="none"/>
                <w:lang w:val="en-US" w:eastAsia="zh-CN"/>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Cs w:val="21"/>
                <w:highlight w:val="none"/>
                <w:lang w:val="en-US"/>
              </w:rPr>
            </w:pPr>
            <w:r>
              <w:rPr>
                <w:rFonts w:hint="eastAsia" w:hAnsi="宋体"/>
                <w:color w:val="auto"/>
                <w:szCs w:val="21"/>
                <w:highlight w:val="none"/>
              </w:rPr>
              <w:t>投标文件便于评审</w:t>
            </w:r>
          </w:p>
        </w:tc>
        <w:tc>
          <w:tcPr>
            <w:tcW w:w="51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宋体" w:hAnsi="宋体"/>
                <w:color w:val="auto"/>
                <w:szCs w:val="21"/>
                <w:highlight w:val="none"/>
                <w:lang w:val="en-US"/>
              </w:rPr>
            </w:pPr>
            <w:r>
              <w:rPr>
                <w:rFonts w:hint="eastAsia" w:ascii="宋体" w:hAnsi="宋体" w:cs="宋体"/>
                <w:color w:val="auto"/>
                <w:szCs w:val="21"/>
                <w:highlight w:val="none"/>
              </w:rPr>
              <w:t>文件内容完备，格式规范，封装整齐，满足招标文件要求得2分。没有目录或目录与内文不对应扣1分；编排混乱、前后矛盾，评审委员会允许且需要通过询标等程序进行澄清的，扣0.5分；字迹模糊难辨扣0.5分。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r>
    </w:tbl>
    <w:p>
      <w:pPr>
        <w:pStyle w:val="2"/>
        <w:rPr>
          <w:rFonts w:hint="eastAsia" w:ascii="宋体" w:hAnsi="宋体" w:cs="仿宋"/>
          <w:b/>
          <w:bCs/>
          <w:color w:val="auto"/>
          <w:sz w:val="28"/>
          <w:szCs w:val="28"/>
          <w:highlight w:val="none"/>
        </w:rPr>
      </w:pPr>
    </w:p>
    <w:p>
      <w:pPr>
        <w:pStyle w:val="2"/>
        <w:rPr>
          <w:rFonts w:hint="eastAsia" w:ascii="宋体" w:hAnsi="宋体" w:cs="仿宋"/>
          <w:b/>
          <w:bCs/>
          <w:color w:val="auto"/>
          <w:sz w:val="28"/>
          <w:szCs w:val="28"/>
          <w:highlight w:val="none"/>
        </w:rPr>
      </w:pPr>
    </w:p>
    <w:p>
      <w:pPr>
        <w:pStyle w:val="2"/>
        <w:rPr>
          <w:rFonts w:hint="eastAsia" w:ascii="宋体" w:hAnsi="宋体" w:cs="仿宋"/>
          <w:b/>
          <w:bCs/>
          <w:color w:val="auto"/>
          <w:sz w:val="28"/>
          <w:szCs w:val="28"/>
          <w:highlight w:val="none"/>
        </w:rPr>
      </w:pPr>
    </w:p>
    <w:p>
      <w:pPr>
        <w:spacing w:line="360" w:lineRule="auto"/>
        <w:rPr>
          <w:rFonts w:hint="eastAsia"/>
          <w:b/>
          <w:color w:val="auto"/>
          <w:sz w:val="28"/>
          <w:szCs w:val="28"/>
          <w:highlight w:val="none"/>
        </w:rPr>
      </w:pPr>
    </w:p>
    <w:p>
      <w:pPr>
        <w:spacing w:line="360" w:lineRule="auto"/>
        <w:rPr>
          <w:rFonts w:hint="eastAsia"/>
          <w:b/>
          <w:color w:val="auto"/>
          <w:sz w:val="28"/>
          <w:szCs w:val="28"/>
          <w:highlight w:val="none"/>
        </w:rPr>
      </w:pPr>
    </w:p>
    <w:p>
      <w:pPr>
        <w:spacing w:line="360" w:lineRule="auto"/>
        <w:rPr>
          <w:rFonts w:hint="eastAsia"/>
          <w:b/>
          <w:color w:val="auto"/>
          <w:sz w:val="28"/>
          <w:szCs w:val="28"/>
          <w:highlight w:val="none"/>
        </w:rPr>
      </w:pPr>
    </w:p>
    <w:p>
      <w:pPr>
        <w:spacing w:line="360" w:lineRule="auto"/>
        <w:rPr>
          <w:rFonts w:hint="eastAsia"/>
          <w:b/>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8"/>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w:t>
      </w:r>
      <w:r>
        <w:rPr>
          <w:rFonts w:hint="eastAsia" w:hAnsi="宋体"/>
          <w:color w:val="auto"/>
          <w:sz w:val="24"/>
          <w:szCs w:val="24"/>
          <w:highlight w:val="none"/>
          <w:lang w:val="en-US" w:eastAsia="zh-CN"/>
        </w:rPr>
        <w:t>3</w:t>
      </w:r>
      <w:r>
        <w:rPr>
          <w:rFonts w:hint="eastAsia" w:hAnsi="宋体"/>
          <w:color w:val="auto"/>
          <w:sz w:val="24"/>
          <w:szCs w:val="24"/>
          <w:highlight w:val="none"/>
        </w:rPr>
        <w:t>年。（自交货验收合格之日起计）</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8"/>
        <w:adjustRightInd w:val="0"/>
        <w:snapToGrid w:val="0"/>
        <w:spacing w:before="120" w:after="120" w:line="360" w:lineRule="auto"/>
        <w:ind w:left="48" w:firstLine="658"/>
        <w:rPr>
          <w:rFonts w:hint="eastAsia"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w:t>
      </w:r>
      <w:r>
        <w:rPr>
          <w:rFonts w:hint="eastAsia" w:hAnsi="宋体"/>
          <w:color w:val="auto"/>
          <w:sz w:val="24"/>
          <w:szCs w:val="24"/>
          <w:highlight w:val="none"/>
          <w:lang w:eastAsia="zh-CN"/>
        </w:rPr>
        <w:t>，</w:t>
      </w:r>
      <w:r>
        <w:rPr>
          <w:rFonts w:hint="eastAsia" w:hAnsi="宋体"/>
          <w:color w:val="auto"/>
          <w:sz w:val="24"/>
          <w:szCs w:val="24"/>
          <w:highlight w:val="none"/>
        </w:rPr>
        <w:t>签订合同后，20日内预付合同金额的30%，全部货物交货并验收合格后，凭验收凭证和货物验收合格等文件20内支付至合同金额的100%，质量保证金返还5%，剩余5%质量保证金质保期满后</w:t>
      </w:r>
      <w:r>
        <w:rPr>
          <w:rFonts w:hint="eastAsia" w:hAnsi="宋体"/>
          <w:color w:val="auto"/>
          <w:sz w:val="24"/>
          <w:szCs w:val="24"/>
          <w:highlight w:val="none"/>
          <w:lang w:eastAsia="zh-CN"/>
        </w:rPr>
        <w:t>，</w:t>
      </w:r>
      <w:r>
        <w:rPr>
          <w:rFonts w:hAnsi="宋体"/>
          <w:color w:val="auto"/>
          <w:sz w:val="24"/>
          <w:szCs w:val="24"/>
          <w:highlight w:val="none"/>
        </w:rPr>
        <w:t>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none"/>
          <w:lang w:eastAsia="zh-CN"/>
        </w:rPr>
        <w:t>年</w:t>
      </w:r>
      <w:r>
        <w:rPr>
          <w:rFonts w:hint="eastAsia" w:hAnsi="宋体"/>
          <w:color w:val="auto"/>
          <w:sz w:val="24"/>
          <w:szCs w:val="24"/>
          <w:highlight w:val="none"/>
        </w:rPr>
        <w:t>，因人为因素出现的故障不在免费保修范围内。超过保修期的机器设备，终生维修，维修时只收部件成本费。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w:t>
      </w:r>
      <w:r>
        <w:rPr>
          <w:rFonts w:hint="eastAsia" w:hAnsi="宋体"/>
          <w:color w:val="auto"/>
          <w:sz w:val="24"/>
          <w:szCs w:val="24"/>
          <w:highlight w:val="none"/>
          <w:lang w:val="en-US" w:eastAsia="zh-CN"/>
        </w:rPr>
        <w:t>并经甲方验收合格</w:t>
      </w:r>
      <w:r>
        <w:rPr>
          <w:rFonts w:hint="eastAsia" w:hAnsi="宋体"/>
          <w:color w:val="auto"/>
          <w:sz w:val="24"/>
          <w:szCs w:val="24"/>
          <w:highlight w:val="none"/>
        </w:rPr>
        <w:t>视为交付，乙方同时需通知甲方货物已送达。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int="eastAsia"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 xml:space="preserve">（1）合同协议书； </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（2）中标通知书；</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（3）招标文件；</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（4）投标函及其附录（如果有）；</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（5）专用合同条款及其附件；</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 xml:space="preserve">（6）通用合同条款； </w:t>
      </w:r>
    </w:p>
    <w:p>
      <w:pPr>
        <w:pStyle w:val="8"/>
        <w:adjustRightInd w:val="0"/>
        <w:snapToGrid w:val="0"/>
        <w:spacing w:before="120" w:after="120" w:line="360" w:lineRule="auto"/>
        <w:ind w:left="1" w:firstLine="658"/>
        <w:rPr>
          <w:rFonts w:hint="eastAsia" w:hAnsi="宋体"/>
          <w:color w:val="auto"/>
          <w:sz w:val="24"/>
          <w:szCs w:val="24"/>
          <w:highlight w:val="none"/>
        </w:rPr>
      </w:pPr>
      <w:r>
        <w:rPr>
          <w:rFonts w:hint="eastAsia" w:hAnsi="宋体"/>
          <w:color w:val="auto"/>
          <w:sz w:val="24"/>
          <w:szCs w:val="24"/>
          <w:highlight w:val="none"/>
        </w:rPr>
        <w:t>（7）技术标准和要求；</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8"/>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9637941"/>
    <w:rsid w:val="0BDF51D7"/>
    <w:rsid w:val="0C3615C8"/>
    <w:rsid w:val="0C4861BD"/>
    <w:rsid w:val="0D873213"/>
    <w:rsid w:val="0D9425DE"/>
    <w:rsid w:val="0D99361C"/>
    <w:rsid w:val="107D340A"/>
    <w:rsid w:val="10EB4170"/>
    <w:rsid w:val="10F05838"/>
    <w:rsid w:val="113C24CA"/>
    <w:rsid w:val="119D0D41"/>
    <w:rsid w:val="12162C3B"/>
    <w:rsid w:val="130F1D58"/>
    <w:rsid w:val="146723C1"/>
    <w:rsid w:val="14896182"/>
    <w:rsid w:val="155010AB"/>
    <w:rsid w:val="1584594C"/>
    <w:rsid w:val="15907301"/>
    <w:rsid w:val="15A90346"/>
    <w:rsid w:val="16AA09BD"/>
    <w:rsid w:val="17833DE3"/>
    <w:rsid w:val="1C121D57"/>
    <w:rsid w:val="1C4A137C"/>
    <w:rsid w:val="1F11313D"/>
    <w:rsid w:val="1F956998"/>
    <w:rsid w:val="20DC5C02"/>
    <w:rsid w:val="20FE711F"/>
    <w:rsid w:val="21A70E96"/>
    <w:rsid w:val="22891E2D"/>
    <w:rsid w:val="22D33607"/>
    <w:rsid w:val="23FD2509"/>
    <w:rsid w:val="243943F8"/>
    <w:rsid w:val="24E05430"/>
    <w:rsid w:val="267A7579"/>
    <w:rsid w:val="27961F1E"/>
    <w:rsid w:val="27AD7C03"/>
    <w:rsid w:val="29062B05"/>
    <w:rsid w:val="29127A38"/>
    <w:rsid w:val="2AB43BC5"/>
    <w:rsid w:val="2B556F15"/>
    <w:rsid w:val="2B7F4BC3"/>
    <w:rsid w:val="2CE81BAF"/>
    <w:rsid w:val="2DAC05D8"/>
    <w:rsid w:val="2E726843"/>
    <w:rsid w:val="2EDC02FF"/>
    <w:rsid w:val="3172033E"/>
    <w:rsid w:val="3227588C"/>
    <w:rsid w:val="325F6558"/>
    <w:rsid w:val="331653E5"/>
    <w:rsid w:val="351529A9"/>
    <w:rsid w:val="355A74E9"/>
    <w:rsid w:val="35FD1F7A"/>
    <w:rsid w:val="366D672C"/>
    <w:rsid w:val="36E3150F"/>
    <w:rsid w:val="385D644E"/>
    <w:rsid w:val="38F33167"/>
    <w:rsid w:val="39C83C69"/>
    <w:rsid w:val="39CE5E1D"/>
    <w:rsid w:val="3A9701E9"/>
    <w:rsid w:val="3C003247"/>
    <w:rsid w:val="3C8E6F2D"/>
    <w:rsid w:val="3D6145DC"/>
    <w:rsid w:val="3EDB4EA4"/>
    <w:rsid w:val="3FC31914"/>
    <w:rsid w:val="42643A73"/>
    <w:rsid w:val="42AA1012"/>
    <w:rsid w:val="43FB66E3"/>
    <w:rsid w:val="44DC7F4B"/>
    <w:rsid w:val="45651876"/>
    <w:rsid w:val="46AA377D"/>
    <w:rsid w:val="49363676"/>
    <w:rsid w:val="4A4B48E3"/>
    <w:rsid w:val="4B5137BF"/>
    <w:rsid w:val="4DA86B45"/>
    <w:rsid w:val="51497070"/>
    <w:rsid w:val="51E025FE"/>
    <w:rsid w:val="52FD675A"/>
    <w:rsid w:val="532B7AD5"/>
    <w:rsid w:val="53D80FA7"/>
    <w:rsid w:val="5473349C"/>
    <w:rsid w:val="54B6223B"/>
    <w:rsid w:val="54E15A0F"/>
    <w:rsid w:val="55344B23"/>
    <w:rsid w:val="56C21B98"/>
    <w:rsid w:val="57360F05"/>
    <w:rsid w:val="581F495D"/>
    <w:rsid w:val="58484116"/>
    <w:rsid w:val="58DA78C0"/>
    <w:rsid w:val="5AC859BF"/>
    <w:rsid w:val="5C0F2072"/>
    <w:rsid w:val="5CFC1D50"/>
    <w:rsid w:val="5E6C25B6"/>
    <w:rsid w:val="5E84123F"/>
    <w:rsid w:val="607E0927"/>
    <w:rsid w:val="619D5BCC"/>
    <w:rsid w:val="6233128F"/>
    <w:rsid w:val="62635DDC"/>
    <w:rsid w:val="62FE3555"/>
    <w:rsid w:val="63D7368B"/>
    <w:rsid w:val="665A104A"/>
    <w:rsid w:val="68A603CF"/>
    <w:rsid w:val="69E27B06"/>
    <w:rsid w:val="6A0F3694"/>
    <w:rsid w:val="6A5C1E75"/>
    <w:rsid w:val="6AB76CFB"/>
    <w:rsid w:val="6BC1702A"/>
    <w:rsid w:val="6C282248"/>
    <w:rsid w:val="6CBD55AC"/>
    <w:rsid w:val="6DE86594"/>
    <w:rsid w:val="753E278B"/>
    <w:rsid w:val="75BE6EB5"/>
    <w:rsid w:val="7815375E"/>
    <w:rsid w:val="7AE40810"/>
    <w:rsid w:val="7BBB6C68"/>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6">
    <w:name w:val="A14"/>
    <w:qFormat/>
    <w:uiPriority w:val="99"/>
    <w:rPr>
      <w:rFonts w:cs="Open Sans Light"/>
      <w:color w:val="FFFFFF"/>
      <w:sz w:val="13"/>
      <w:szCs w:val="13"/>
    </w:rPr>
  </w:style>
  <w:style w:type="paragraph" w:customStyle="1" w:styleId="47">
    <w:name w:val="表格文字"/>
    <w:basedOn w:val="1"/>
    <w:next w:val="5"/>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97882-66DC-498E-8F2C-4331615DF10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2293</Words>
  <Characters>13072</Characters>
  <Lines>108</Lines>
  <Paragraphs>30</Paragraphs>
  <TotalTime>46</TotalTime>
  <ScaleCrop>false</ScaleCrop>
  <LinksUpToDate>false</LinksUpToDate>
  <CharactersWithSpaces>15335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2020-06-28T01:48:32Z</dcterms:modified>
  <dc:title>淮海工学院A8-10号楼学生宿舍家具招标书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