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44"/>
          <w:szCs w:val="44"/>
        </w:rPr>
      </w:pPr>
      <w:bookmarkStart w:id="0" w:name="OLE_LINK2"/>
      <w:bookmarkStart w:id="1" w:name="OLE_LINK1"/>
      <w:r>
        <w:rPr>
          <w:b/>
          <w:color w:val="auto"/>
          <w:sz w:val="44"/>
          <w:szCs w:val="44"/>
        </w:rPr>
        <w:t>南京信息工程大学</w:t>
      </w:r>
      <w:bookmarkEnd w:id="0"/>
      <w:bookmarkEnd w:id="1"/>
      <w:r>
        <w:rPr>
          <w:rFonts w:hint="eastAsia"/>
          <w:b/>
          <w:color w:val="auto"/>
          <w:sz w:val="44"/>
          <w:szCs w:val="44"/>
        </w:rPr>
        <w:t>大气数据模拟系统平台建设</w:t>
      </w:r>
      <w:r>
        <w:rPr>
          <w:b/>
          <w:color w:val="auto"/>
          <w:sz w:val="44"/>
          <w:szCs w:val="44"/>
        </w:rPr>
        <w:t>采购</w:t>
      </w:r>
      <w:r>
        <w:rPr>
          <w:rFonts w:hint="eastAsia"/>
          <w:b/>
          <w:color w:val="auto"/>
          <w:sz w:val="44"/>
          <w:szCs w:val="44"/>
        </w:rPr>
        <w:t>项目</w:t>
      </w:r>
      <w:r>
        <w:rPr>
          <w:rFonts w:hint="eastAsia"/>
          <w:b/>
          <w:color w:val="auto"/>
          <w:sz w:val="44"/>
          <w:szCs w:val="44"/>
          <w:lang w:val="en-US" w:eastAsia="zh-CN"/>
        </w:rPr>
        <w:t>竞争性磋商</w:t>
      </w:r>
      <w:r>
        <w:rPr>
          <w:b/>
          <w:color w:val="auto"/>
          <w:sz w:val="44"/>
          <w:szCs w:val="44"/>
        </w:rPr>
        <w:t>文件</w:t>
      </w:r>
    </w:p>
    <w:p>
      <w:pPr>
        <w:pStyle w:val="8"/>
        <w:ind w:left="1470" w:right="1470"/>
        <w:rPr>
          <w:color w:val="auto"/>
        </w:rPr>
      </w:pPr>
    </w:p>
    <w:p>
      <w:pPr>
        <w:adjustRightInd w:val="0"/>
        <w:snapToGrid w:val="0"/>
        <w:spacing w:line="360" w:lineRule="auto"/>
        <w:jc w:val="center"/>
        <w:rPr>
          <w:rFonts w:ascii="宋体" w:hAnsi="宋体" w:cs="仿宋"/>
          <w:color w:val="auto"/>
          <w:sz w:val="28"/>
          <w:szCs w:val="28"/>
        </w:rPr>
      </w:pPr>
      <w:r>
        <w:rPr>
          <w:rFonts w:hint="eastAsia" w:ascii="宋体" w:hAnsi="宋体" w:cs="仿宋"/>
          <w:color w:val="auto"/>
          <w:sz w:val="28"/>
          <w:szCs w:val="28"/>
        </w:rPr>
        <w:t>（招标编号：SBC2020</w:t>
      </w:r>
      <w:r>
        <w:rPr>
          <w:rFonts w:hint="eastAsia" w:ascii="宋体" w:hAnsi="宋体" w:cs="仿宋"/>
          <w:color w:val="auto"/>
          <w:sz w:val="28"/>
          <w:szCs w:val="28"/>
          <w:lang w:val="en-US" w:eastAsia="zh-CN"/>
        </w:rPr>
        <w:t>113</w:t>
      </w:r>
      <w:r>
        <w:rPr>
          <w:rFonts w:hint="eastAsia" w:ascii="宋体" w:hAnsi="宋体" w:cs="仿宋"/>
          <w:color w:val="auto"/>
          <w:sz w:val="28"/>
          <w:szCs w:val="28"/>
        </w:rPr>
        <w:t>）</w:t>
      </w:r>
    </w:p>
    <w:p>
      <w:pPr>
        <w:adjustRightInd w:val="0"/>
        <w:snapToGrid w:val="0"/>
        <w:spacing w:line="360" w:lineRule="auto"/>
        <w:jc w:val="center"/>
        <w:rPr>
          <w:rFonts w:ascii="宋体" w:cs="仿宋"/>
          <w:color w:val="auto"/>
          <w:sz w:val="28"/>
          <w:szCs w:val="28"/>
        </w:rPr>
      </w:pPr>
    </w:p>
    <w:p>
      <w:pPr>
        <w:adjustRightInd w:val="0"/>
        <w:snapToGrid w:val="0"/>
        <w:spacing w:line="360" w:lineRule="auto"/>
        <w:jc w:val="center"/>
        <w:rPr>
          <w:rFonts w:ascii="宋体" w:cs="仿宋"/>
          <w:color w:val="auto"/>
          <w:sz w:val="28"/>
          <w:szCs w:val="28"/>
        </w:rPr>
      </w:pPr>
      <w:r>
        <w:rPr>
          <w:rFonts w:ascii="宋体" w:hAnsi="宋体" w:cs="仿宋"/>
          <w:color w:val="auto"/>
          <w:sz w:val="28"/>
          <w:szCs w:val="28"/>
        </w:rPr>
        <w:t>(</w:t>
      </w:r>
      <w:r>
        <w:rPr>
          <w:rFonts w:ascii="宋体" w:hAnsi="宋体" w:cs="仿宋"/>
          <w:color w:val="auto"/>
          <w:sz w:val="28"/>
          <w:szCs w:val="28"/>
          <w:u w:val="single"/>
        </w:rPr>
        <w:t>20</w:t>
      </w:r>
      <w:r>
        <w:rPr>
          <w:rFonts w:hint="eastAsia" w:ascii="宋体" w:hAnsi="宋体" w:cs="仿宋"/>
          <w:color w:val="auto"/>
          <w:sz w:val="28"/>
          <w:szCs w:val="28"/>
          <w:u w:val="single"/>
        </w:rPr>
        <w:t>20年11月2</w:t>
      </w:r>
      <w:r>
        <w:rPr>
          <w:rFonts w:hint="eastAsia" w:ascii="宋体" w:hAnsi="宋体" w:cs="仿宋"/>
          <w:color w:val="auto"/>
          <w:sz w:val="28"/>
          <w:szCs w:val="28"/>
          <w:u w:val="single"/>
          <w:lang w:val="en-US" w:eastAsia="zh-CN"/>
        </w:rPr>
        <w:t>6</w:t>
      </w:r>
      <w:r>
        <w:rPr>
          <w:rFonts w:hint="eastAsia" w:ascii="宋体" w:hAnsi="宋体" w:cs="仿宋"/>
          <w:color w:val="auto"/>
          <w:sz w:val="28"/>
          <w:szCs w:val="28"/>
          <w:u w:val="single"/>
        </w:rPr>
        <w:t>日17：</w:t>
      </w:r>
      <w:r>
        <w:rPr>
          <w:rFonts w:ascii="宋体" w:cs="仿宋"/>
          <w:color w:val="auto"/>
          <w:sz w:val="28"/>
          <w:szCs w:val="28"/>
          <w:u w:val="single"/>
        </w:rPr>
        <w:t>00</w:t>
      </w:r>
      <w:r>
        <w:rPr>
          <w:rFonts w:hint="eastAsia" w:ascii="宋体" w:hAnsi="宋体" w:cs="仿宋"/>
          <w:color w:val="auto"/>
          <w:sz w:val="28"/>
          <w:szCs w:val="28"/>
          <w:u w:val="single"/>
        </w:rPr>
        <w:t>定标发标版</w:t>
      </w:r>
      <w:r>
        <w:rPr>
          <w:rFonts w:ascii="宋体" w:hAnsi="宋体" w:cs="仿宋"/>
          <w:color w:val="auto"/>
          <w:sz w:val="28"/>
          <w:szCs w:val="28"/>
        </w:rPr>
        <w:t>)</w:t>
      </w:r>
    </w:p>
    <w:p>
      <w:pPr>
        <w:jc w:val="center"/>
        <w:rPr>
          <w:b/>
          <w:color w:val="auto"/>
          <w:sz w:val="28"/>
          <w:szCs w:val="28"/>
        </w:rPr>
      </w:pPr>
    </w:p>
    <w:p>
      <w:pPr>
        <w:spacing w:line="360" w:lineRule="auto"/>
        <w:ind w:firstLine="560" w:firstLineChars="200"/>
        <w:rPr>
          <w:rFonts w:ascii="宋体" w:hAnsi="宋体"/>
          <w:color w:val="auto"/>
          <w:sz w:val="28"/>
          <w:szCs w:val="28"/>
        </w:rPr>
      </w:pPr>
      <w:r>
        <w:rPr>
          <w:rFonts w:ascii="宋体" w:hAnsi="宋体"/>
          <w:color w:val="auto"/>
          <w:sz w:val="28"/>
          <w:szCs w:val="28"/>
        </w:rPr>
        <w:t>为满足学校相关</w:t>
      </w:r>
      <w:r>
        <w:rPr>
          <w:rFonts w:hint="eastAsia" w:ascii="宋体" w:hAnsi="宋体"/>
          <w:color w:val="auto"/>
          <w:sz w:val="28"/>
          <w:szCs w:val="28"/>
        </w:rPr>
        <w:t>教学</w:t>
      </w:r>
      <w:r>
        <w:rPr>
          <w:rFonts w:ascii="宋体" w:hAnsi="宋体"/>
          <w:color w:val="auto"/>
          <w:sz w:val="28"/>
          <w:szCs w:val="28"/>
        </w:rPr>
        <w:t>科研工作需要，受校实验室与设备管理处委托，就</w:t>
      </w:r>
      <w:r>
        <w:rPr>
          <w:rFonts w:hint="eastAsia" w:ascii="宋体" w:hAnsi="宋体"/>
          <w:color w:val="auto"/>
          <w:sz w:val="28"/>
          <w:szCs w:val="28"/>
        </w:rPr>
        <w:t>大气数据模拟系统平台建设</w:t>
      </w:r>
      <w:r>
        <w:rPr>
          <w:rFonts w:ascii="宋体" w:hAnsi="宋体"/>
          <w:color w:val="auto"/>
          <w:sz w:val="28"/>
          <w:szCs w:val="28"/>
        </w:rPr>
        <w:t>采购</w:t>
      </w:r>
      <w:r>
        <w:rPr>
          <w:rFonts w:hint="eastAsia" w:ascii="宋体" w:hAnsi="宋体"/>
          <w:color w:val="auto"/>
          <w:sz w:val="28"/>
          <w:szCs w:val="28"/>
        </w:rPr>
        <w:t>项目</w:t>
      </w:r>
      <w:r>
        <w:rPr>
          <w:rFonts w:ascii="宋体" w:hAnsi="宋体"/>
          <w:color w:val="auto"/>
          <w:sz w:val="28"/>
          <w:szCs w:val="28"/>
        </w:rPr>
        <w:t>进行</w:t>
      </w:r>
      <w:r>
        <w:rPr>
          <w:rFonts w:hint="eastAsia" w:ascii="宋体" w:hAnsi="宋体"/>
          <w:color w:val="auto"/>
          <w:sz w:val="28"/>
          <w:szCs w:val="28"/>
          <w:lang w:val="en-US" w:eastAsia="zh-CN"/>
        </w:rPr>
        <w:t>竞争性磋商</w:t>
      </w:r>
      <w:r>
        <w:rPr>
          <w:rFonts w:ascii="宋体" w:hAnsi="宋体"/>
          <w:color w:val="auto"/>
          <w:sz w:val="28"/>
          <w:szCs w:val="28"/>
        </w:rPr>
        <w:t>，欢迎符合条件的供应商报名投标，现将有关情况说明如下：</w:t>
      </w:r>
    </w:p>
    <w:p>
      <w:pPr>
        <w:spacing w:line="360" w:lineRule="auto"/>
        <w:ind w:firstLine="480" w:firstLineChars="200"/>
        <w:rPr>
          <w:color w:val="auto"/>
          <w:sz w:val="24"/>
        </w:rPr>
      </w:pPr>
    </w:p>
    <w:p>
      <w:pPr>
        <w:pStyle w:val="35"/>
        <w:spacing w:line="360" w:lineRule="auto"/>
        <w:ind w:firstLine="0" w:firstLineChars="0"/>
        <w:jc w:val="center"/>
        <w:rPr>
          <w:rFonts w:ascii="宋体" w:hAnsi="宋体" w:cs="仿宋"/>
          <w:b/>
          <w:bCs/>
          <w:color w:val="auto"/>
          <w:kern w:val="2"/>
          <w:sz w:val="28"/>
          <w:szCs w:val="28"/>
        </w:rPr>
      </w:pPr>
      <w:r>
        <w:rPr>
          <w:rFonts w:hint="eastAsia" w:ascii="宋体" w:hAnsi="宋体" w:cs="仿宋"/>
          <w:b/>
          <w:bCs/>
          <w:color w:val="auto"/>
          <w:kern w:val="2"/>
          <w:sz w:val="28"/>
          <w:szCs w:val="28"/>
        </w:rPr>
        <w:t>一、招标项目名称及简要说明</w:t>
      </w:r>
    </w:p>
    <w:p>
      <w:pPr>
        <w:pStyle w:val="35"/>
        <w:spacing w:line="360" w:lineRule="auto"/>
        <w:ind w:firstLine="560"/>
        <w:rPr>
          <w:rFonts w:ascii="宋体" w:hAnsi="宋体"/>
          <w:color w:val="auto"/>
          <w:kern w:val="2"/>
          <w:sz w:val="28"/>
          <w:szCs w:val="28"/>
        </w:rPr>
      </w:pPr>
      <w:r>
        <w:rPr>
          <w:rFonts w:ascii="宋体" w:hAnsi="宋体"/>
          <w:color w:val="auto"/>
          <w:kern w:val="2"/>
          <w:sz w:val="28"/>
          <w:szCs w:val="28"/>
        </w:rPr>
        <w:t>1. 项目名称：南京信息工程大学</w:t>
      </w:r>
      <w:r>
        <w:rPr>
          <w:rFonts w:hint="eastAsia" w:ascii="宋体" w:hAnsi="宋体"/>
          <w:color w:val="auto"/>
          <w:sz w:val="28"/>
          <w:szCs w:val="28"/>
        </w:rPr>
        <w:t>大气数据模拟系统平台建设</w:t>
      </w:r>
      <w:r>
        <w:rPr>
          <w:rFonts w:ascii="宋体" w:hAnsi="宋体"/>
          <w:color w:val="auto"/>
          <w:sz w:val="28"/>
          <w:szCs w:val="28"/>
        </w:rPr>
        <w:t>采购</w:t>
      </w:r>
      <w:r>
        <w:rPr>
          <w:rFonts w:hint="eastAsia" w:ascii="宋体" w:hAnsi="宋体"/>
          <w:color w:val="auto"/>
          <w:sz w:val="28"/>
          <w:szCs w:val="28"/>
        </w:rPr>
        <w:t>项目。</w:t>
      </w:r>
    </w:p>
    <w:p>
      <w:pPr>
        <w:spacing w:line="300" w:lineRule="auto"/>
        <w:ind w:firstLine="560" w:firstLineChars="200"/>
        <w:rPr>
          <w:rFonts w:ascii="宋体" w:hAnsi="宋体" w:cs="仿宋"/>
          <w:color w:val="auto"/>
          <w:sz w:val="28"/>
          <w:szCs w:val="28"/>
        </w:rPr>
      </w:pPr>
      <w:r>
        <w:rPr>
          <w:rFonts w:ascii="宋体" w:hAnsi="宋体"/>
          <w:color w:val="auto"/>
          <w:sz w:val="28"/>
          <w:szCs w:val="28"/>
        </w:rPr>
        <w:t xml:space="preserve">2. </w:t>
      </w:r>
      <w:r>
        <w:rPr>
          <w:rFonts w:hint="eastAsia" w:ascii="宋体" w:hAnsi="宋体" w:cs="仿宋"/>
          <w:color w:val="auto"/>
          <w:sz w:val="28"/>
          <w:szCs w:val="28"/>
        </w:rPr>
        <w:t>项目说明：</w:t>
      </w:r>
    </w:p>
    <w:p>
      <w:pPr>
        <w:spacing w:line="300" w:lineRule="auto"/>
        <w:ind w:firstLine="560" w:firstLineChars="200"/>
        <w:rPr>
          <w:rFonts w:ascii="宋体" w:hAnsi="宋体" w:cs="仿宋"/>
          <w:color w:val="auto"/>
          <w:sz w:val="28"/>
          <w:szCs w:val="28"/>
        </w:rPr>
      </w:pPr>
      <w:r>
        <w:rPr>
          <w:rFonts w:hint="eastAsia" w:ascii="宋体" w:hAnsi="宋体"/>
          <w:color w:val="auto"/>
          <w:sz w:val="28"/>
          <w:szCs w:val="28"/>
        </w:rPr>
        <w:t>（1）本次</w:t>
      </w:r>
      <w:r>
        <w:rPr>
          <w:rFonts w:hint="eastAsia" w:ascii="宋体" w:hAnsi="宋体"/>
          <w:color w:val="auto"/>
          <w:sz w:val="28"/>
          <w:szCs w:val="28"/>
          <w:lang w:val="en-US" w:eastAsia="zh-CN"/>
        </w:rPr>
        <w:t>磋商</w:t>
      </w:r>
      <w:r>
        <w:rPr>
          <w:rFonts w:hint="eastAsia" w:ascii="宋体" w:hAnsi="宋体" w:cs="仿宋"/>
          <w:color w:val="auto"/>
          <w:sz w:val="28"/>
          <w:szCs w:val="28"/>
        </w:rPr>
        <w:t>项目必须由中标单位自行完成，严禁转包和擅自分包。否则我校有权单方面终止本合同的执行，并且中标人支付按合同价款20%的违约金，由此所造成的一切后果和经济损失均由中标人自行负责和承担。</w:t>
      </w:r>
    </w:p>
    <w:p>
      <w:pPr>
        <w:pStyle w:val="8"/>
        <w:ind w:left="0" w:leftChars="0" w:right="1470" w:firstLine="560" w:firstLineChars="200"/>
        <w:rPr>
          <w:color w:val="auto"/>
          <w:sz w:val="28"/>
          <w:szCs w:val="28"/>
          <w:highlight w:val="none"/>
        </w:rPr>
      </w:pPr>
      <w:r>
        <w:rPr>
          <w:rFonts w:hint="eastAsia" w:ascii="宋体" w:hAnsi="宋体" w:cs="仿宋"/>
          <w:color w:val="auto"/>
          <w:sz w:val="28"/>
          <w:szCs w:val="28"/>
        </w:rPr>
        <w:t>（2）</w:t>
      </w:r>
      <w:r>
        <w:rPr>
          <w:rFonts w:hint="eastAsia"/>
          <w:color w:val="auto"/>
          <w:sz w:val="28"/>
          <w:szCs w:val="28"/>
        </w:rPr>
        <w:t>本项目</w:t>
      </w:r>
      <w:r>
        <w:rPr>
          <w:rFonts w:hint="eastAsia"/>
          <w:color w:val="auto"/>
          <w:sz w:val="28"/>
          <w:szCs w:val="28"/>
          <w:highlight w:val="none"/>
        </w:rPr>
        <w:t>不接受联合体投标；</w:t>
      </w:r>
    </w:p>
    <w:p>
      <w:pPr>
        <w:spacing w:line="360" w:lineRule="auto"/>
        <w:ind w:firstLine="570"/>
        <w:jc w:val="left"/>
        <w:rPr>
          <w:rFonts w:ascii="宋体"/>
          <w:color w:val="auto"/>
          <w:sz w:val="28"/>
          <w:szCs w:val="28"/>
        </w:rPr>
      </w:pPr>
      <w:r>
        <w:rPr>
          <w:rFonts w:ascii="宋体" w:hAnsi="宋体"/>
          <w:color w:val="auto"/>
          <w:sz w:val="28"/>
          <w:szCs w:val="28"/>
        </w:rPr>
        <w:t>3</w:t>
      </w:r>
      <w:bookmarkStart w:id="2" w:name="_Hlk9865971"/>
      <w:r>
        <w:rPr>
          <w:rFonts w:hint="eastAsia" w:ascii="宋体" w:hAnsi="宋体"/>
          <w:color w:val="auto"/>
          <w:sz w:val="28"/>
          <w:szCs w:val="28"/>
        </w:rPr>
        <w:t>.本次</w:t>
      </w:r>
      <w:r>
        <w:rPr>
          <w:rFonts w:hint="eastAsia" w:ascii="宋体" w:hAnsi="宋体"/>
          <w:color w:val="auto"/>
          <w:sz w:val="28"/>
          <w:szCs w:val="28"/>
          <w:lang w:val="en-US" w:eastAsia="zh-CN"/>
        </w:rPr>
        <w:t>采购</w:t>
      </w:r>
      <w:r>
        <w:rPr>
          <w:rFonts w:hint="eastAsia" w:ascii="宋体" w:hAnsi="宋体"/>
          <w:color w:val="auto"/>
          <w:sz w:val="28"/>
          <w:szCs w:val="28"/>
        </w:rPr>
        <w:t>采取</w:t>
      </w:r>
      <w:r>
        <w:rPr>
          <w:rFonts w:hint="eastAsia" w:ascii="宋体" w:hAnsi="宋体"/>
          <w:color w:val="auto"/>
          <w:sz w:val="28"/>
          <w:szCs w:val="28"/>
          <w:lang w:val="en-US" w:eastAsia="zh-CN"/>
        </w:rPr>
        <w:t>竞争性磋商</w:t>
      </w:r>
      <w:r>
        <w:rPr>
          <w:rFonts w:hint="eastAsia" w:ascii="宋体" w:hAnsi="宋体"/>
          <w:color w:val="auto"/>
          <w:sz w:val="28"/>
          <w:szCs w:val="28"/>
        </w:rPr>
        <w:t>方式，不承诺最低价（最高价）中标。</w:t>
      </w:r>
      <w:r>
        <w:rPr>
          <w:rFonts w:hint="eastAsia" w:ascii="宋体" w:hAnsi="宋体"/>
          <w:color w:val="auto"/>
          <w:sz w:val="28"/>
          <w:szCs w:val="28"/>
          <w:lang w:val="en-US" w:eastAsia="zh-CN"/>
        </w:rPr>
        <w:t>磋商</w:t>
      </w:r>
      <w:r>
        <w:rPr>
          <w:rFonts w:hint="eastAsia" w:ascii="宋体" w:hAnsi="宋体"/>
          <w:color w:val="auto"/>
          <w:sz w:val="28"/>
          <w:szCs w:val="28"/>
        </w:rPr>
        <w:t>公告和中标公示信息均在</w:t>
      </w:r>
      <w:r>
        <w:rPr>
          <w:color w:val="auto"/>
        </w:rPr>
        <w:fldChar w:fldCharType="begin"/>
      </w:r>
      <w:r>
        <w:rPr>
          <w:color w:val="auto"/>
        </w:rPr>
        <w:instrText xml:space="preserve"> HYPERLINK "https://bulletin.nuist.edu.cn/779/list.htm" </w:instrText>
      </w:r>
      <w:r>
        <w:rPr>
          <w:color w:val="auto"/>
        </w:rPr>
        <w:fldChar w:fldCharType="separate"/>
      </w:r>
      <w:r>
        <w:rPr>
          <w:rStyle w:val="20"/>
          <w:b/>
          <w:color w:val="auto"/>
          <w:sz w:val="24"/>
        </w:rPr>
        <w:t>https://bulletin.nuist.edu.cn/779/lis</w:t>
      </w:r>
      <w:r>
        <w:rPr>
          <w:rStyle w:val="20"/>
          <w:color w:val="auto"/>
          <w:sz w:val="24"/>
        </w:rPr>
        <w:t>t.htm</w:t>
      </w:r>
      <w:r>
        <w:rPr>
          <w:rStyle w:val="20"/>
          <w:color w:val="auto"/>
          <w:sz w:val="24"/>
        </w:rPr>
        <w:fldChar w:fldCharType="end"/>
      </w:r>
      <w:r>
        <w:rPr>
          <w:rFonts w:hint="eastAsia" w:ascii="宋体" w:hAnsi="宋体"/>
          <w:color w:val="auto"/>
          <w:sz w:val="28"/>
          <w:szCs w:val="28"/>
        </w:rPr>
        <w:t>和</w:t>
      </w:r>
      <w:r>
        <w:rPr>
          <w:color w:val="auto"/>
        </w:rPr>
        <w:fldChar w:fldCharType="begin"/>
      </w:r>
      <w:r>
        <w:rPr>
          <w:color w:val="auto"/>
        </w:rPr>
        <w:instrText xml:space="preserve"> HYPERLINK "http://zbc.nuist.edu.cn" </w:instrText>
      </w:r>
      <w:r>
        <w:rPr>
          <w:color w:val="auto"/>
        </w:rPr>
        <w:fldChar w:fldCharType="separate"/>
      </w:r>
      <w:r>
        <w:rPr>
          <w:rFonts w:ascii="宋体" w:hAnsi="宋体"/>
          <w:b/>
          <w:color w:val="auto"/>
          <w:sz w:val="24"/>
          <w:szCs w:val="28"/>
        </w:rPr>
        <w:t>zbc.nuist.edu.cn</w:t>
      </w:r>
      <w:r>
        <w:rPr>
          <w:rFonts w:ascii="宋体" w:hAnsi="宋体"/>
          <w:b/>
          <w:color w:val="auto"/>
          <w:sz w:val="24"/>
          <w:szCs w:val="28"/>
        </w:rPr>
        <w:fldChar w:fldCharType="end"/>
      </w:r>
      <w:r>
        <w:rPr>
          <w:rFonts w:hint="eastAsia" w:ascii="宋体" w:hAnsi="宋体"/>
          <w:color w:val="auto"/>
          <w:sz w:val="28"/>
          <w:szCs w:val="28"/>
        </w:rPr>
        <w:t>网页上公开发布</w:t>
      </w:r>
      <w:r>
        <w:rPr>
          <w:rFonts w:ascii="宋体"/>
          <w:color w:val="auto"/>
          <w:sz w:val="28"/>
          <w:szCs w:val="28"/>
        </w:rPr>
        <w:t>,</w:t>
      </w:r>
      <w:r>
        <w:rPr>
          <w:rFonts w:hint="eastAsia" w:ascii="宋体" w:hAnsi="宋体"/>
          <w:color w:val="auto"/>
          <w:sz w:val="28"/>
          <w:szCs w:val="28"/>
        </w:rPr>
        <w:t>接受监督。欢迎社会招标机构和网站转载，转载信息与我校网站信息不一致时，以我校网站为准。</w:t>
      </w:r>
    </w:p>
    <w:bookmarkEnd w:id="2"/>
    <w:p>
      <w:pPr>
        <w:spacing w:line="360" w:lineRule="auto"/>
        <w:ind w:firstLine="570"/>
        <w:jc w:val="left"/>
        <w:rPr>
          <w:rFonts w:ascii="宋体" w:cs="宋体"/>
          <w:color w:val="auto"/>
          <w:sz w:val="28"/>
          <w:szCs w:val="28"/>
        </w:rPr>
      </w:pPr>
      <w:r>
        <w:rPr>
          <w:rFonts w:ascii="宋体" w:hAnsi="宋体"/>
          <w:color w:val="auto"/>
          <w:sz w:val="28"/>
          <w:szCs w:val="28"/>
        </w:rPr>
        <w:t>4</w:t>
      </w:r>
      <w:bookmarkStart w:id="3" w:name="_Hlk9866054"/>
      <w:r>
        <w:rPr>
          <w:rFonts w:hint="eastAsia" w:ascii="宋体" w:hAnsi="宋体"/>
          <w:color w:val="auto"/>
          <w:sz w:val="28"/>
          <w:szCs w:val="28"/>
        </w:rPr>
        <w:t>.</w:t>
      </w:r>
      <w:r>
        <w:rPr>
          <w:rFonts w:hint="eastAsia" w:ascii="宋体" w:hAnsi="宋体"/>
          <w:color w:val="auto"/>
          <w:sz w:val="28"/>
          <w:szCs w:val="28"/>
          <w:lang w:val="en-US" w:eastAsia="zh-CN"/>
        </w:rPr>
        <w:t>磋商</w:t>
      </w:r>
      <w:r>
        <w:rPr>
          <w:rFonts w:hint="eastAsia" w:ascii="宋体" w:hAnsi="宋体"/>
          <w:color w:val="auto"/>
          <w:sz w:val="28"/>
          <w:szCs w:val="28"/>
        </w:rPr>
        <w:t>文件由我校采购人、项目归口管理部门和招标办联合起草；经学校相关职能部门会审通过形成正式</w:t>
      </w:r>
      <w:r>
        <w:rPr>
          <w:rFonts w:hint="eastAsia" w:ascii="宋体" w:hAnsi="宋体"/>
          <w:color w:val="auto"/>
          <w:sz w:val="28"/>
          <w:szCs w:val="28"/>
          <w:lang w:val="en-US" w:eastAsia="zh-CN"/>
        </w:rPr>
        <w:t>磋商</w:t>
      </w:r>
      <w:r>
        <w:rPr>
          <w:rFonts w:hint="eastAsia" w:ascii="宋体" w:hAnsi="宋体"/>
          <w:color w:val="auto"/>
          <w:sz w:val="28"/>
          <w:szCs w:val="28"/>
        </w:rPr>
        <w:t>文件。同时</w:t>
      </w:r>
      <w:r>
        <w:rPr>
          <w:rFonts w:hint="eastAsia" w:ascii="宋体" w:hAnsi="宋体" w:cs="宋体"/>
          <w:color w:val="auto"/>
          <w:sz w:val="28"/>
          <w:szCs w:val="28"/>
        </w:rPr>
        <w:t>打印</w:t>
      </w:r>
      <w:r>
        <w:rPr>
          <w:rFonts w:ascii="宋体" w:hAnsi="宋体" w:cs="宋体"/>
          <w:color w:val="auto"/>
          <w:sz w:val="28"/>
          <w:szCs w:val="28"/>
        </w:rPr>
        <w:t>3</w:t>
      </w:r>
      <w:r>
        <w:rPr>
          <w:rFonts w:hint="eastAsia" w:ascii="宋体" w:hAnsi="宋体" w:cs="宋体"/>
          <w:color w:val="auto"/>
          <w:sz w:val="28"/>
          <w:szCs w:val="28"/>
        </w:rPr>
        <w:t>份纸质的正式</w:t>
      </w:r>
      <w:r>
        <w:rPr>
          <w:rFonts w:hint="eastAsia" w:ascii="宋体" w:hAnsi="宋体" w:cs="宋体"/>
          <w:color w:val="auto"/>
          <w:sz w:val="28"/>
          <w:szCs w:val="28"/>
          <w:lang w:val="en-US" w:eastAsia="zh-CN"/>
        </w:rPr>
        <w:t>磋商</w:t>
      </w:r>
      <w:r>
        <w:rPr>
          <w:rFonts w:hint="eastAsia" w:ascii="宋体" w:hAnsi="宋体" w:cs="宋体"/>
          <w:color w:val="auto"/>
          <w:sz w:val="28"/>
          <w:szCs w:val="28"/>
        </w:rPr>
        <w:t>文件，由招标办负责人和招标办工作人员同时签字并加盖财务处骑缝章后，分别交招标办、项目归口管理部门（或采购人）、审计处各</w:t>
      </w:r>
      <w:r>
        <w:rPr>
          <w:rFonts w:ascii="宋体" w:hAnsi="宋体" w:cs="宋体"/>
          <w:color w:val="auto"/>
          <w:sz w:val="28"/>
          <w:szCs w:val="28"/>
        </w:rPr>
        <w:t>1</w:t>
      </w:r>
      <w:r>
        <w:rPr>
          <w:rFonts w:hint="eastAsia" w:ascii="宋体" w:hAnsi="宋体" w:cs="宋体"/>
          <w:color w:val="auto"/>
          <w:sz w:val="28"/>
          <w:szCs w:val="28"/>
        </w:rPr>
        <w:t>份，作为相关部门存档、合同签订、项目竣工验收和决（结）算审计，以及处理纠纷等的依据。</w:t>
      </w:r>
    </w:p>
    <w:bookmarkEnd w:id="3"/>
    <w:p>
      <w:pPr>
        <w:spacing w:line="360" w:lineRule="auto"/>
        <w:ind w:firstLine="570"/>
        <w:jc w:val="left"/>
        <w:rPr>
          <w:rFonts w:ascii="宋体" w:hAnsi="宋体"/>
          <w:color w:val="auto"/>
          <w:sz w:val="28"/>
          <w:szCs w:val="28"/>
        </w:rPr>
      </w:pPr>
      <w:r>
        <w:rPr>
          <w:rFonts w:ascii="宋体" w:hAnsi="宋体"/>
          <w:color w:val="auto"/>
          <w:sz w:val="28"/>
          <w:szCs w:val="28"/>
        </w:rPr>
        <w:t>5.</w:t>
      </w:r>
      <w:r>
        <w:rPr>
          <w:rFonts w:hint="eastAsia" w:ascii="宋体" w:hAnsi="宋体"/>
          <w:color w:val="auto"/>
          <w:sz w:val="28"/>
          <w:szCs w:val="28"/>
        </w:rPr>
        <w:t>正式的答疑回复文件也按上述方式处理留存。</w:t>
      </w:r>
    </w:p>
    <w:p>
      <w:pPr>
        <w:pStyle w:val="43"/>
        <w:adjustRightInd w:val="0"/>
        <w:snapToGrid w:val="0"/>
        <w:spacing w:before="0" w:beforeAutospacing="0" w:after="0" w:afterAutospacing="0" w:line="360" w:lineRule="auto"/>
        <w:ind w:firstLine="560" w:firstLineChars="200"/>
        <w:rPr>
          <w:rFonts w:cs="Times New Roman"/>
          <w:color w:val="auto"/>
          <w:kern w:val="2"/>
          <w:sz w:val="28"/>
          <w:szCs w:val="28"/>
        </w:rPr>
      </w:pPr>
      <w:r>
        <w:rPr>
          <w:rFonts w:cs="Times New Roman"/>
          <w:color w:val="auto"/>
          <w:kern w:val="2"/>
          <w:sz w:val="28"/>
          <w:szCs w:val="28"/>
        </w:rPr>
        <w:t>6.</w:t>
      </w:r>
      <w:r>
        <w:rPr>
          <w:rFonts w:hint="eastAsia" w:cs="Times New Roman"/>
          <w:color w:val="auto"/>
          <w:kern w:val="2"/>
          <w:sz w:val="28"/>
          <w:szCs w:val="28"/>
        </w:rPr>
        <w:t>投标有效期：自开标之日起90天内投标有效。</w:t>
      </w:r>
    </w:p>
    <w:p>
      <w:pPr>
        <w:pStyle w:val="43"/>
        <w:adjustRightInd w:val="0"/>
        <w:snapToGrid w:val="0"/>
        <w:spacing w:before="0" w:beforeAutospacing="0" w:after="0" w:afterAutospacing="0" w:line="360" w:lineRule="auto"/>
        <w:ind w:firstLine="560" w:firstLineChars="200"/>
        <w:rPr>
          <w:rFonts w:cs="Times New Roman"/>
          <w:color w:val="auto"/>
          <w:sz w:val="28"/>
          <w:szCs w:val="28"/>
        </w:rPr>
      </w:pPr>
      <w:r>
        <w:rPr>
          <w:rFonts w:hint="eastAsia" w:cs="Times New Roman"/>
          <w:color w:val="auto"/>
          <w:kern w:val="2"/>
          <w:sz w:val="28"/>
          <w:szCs w:val="28"/>
        </w:rPr>
        <w:t>7.</w:t>
      </w:r>
      <w:r>
        <w:rPr>
          <w:rFonts w:hint="eastAsia" w:cs="Times New Roman"/>
          <w:color w:val="auto"/>
          <w:sz w:val="28"/>
          <w:szCs w:val="28"/>
          <w:lang w:val="en-US" w:eastAsia="zh-CN"/>
        </w:rPr>
        <w:t>磋商</w:t>
      </w:r>
      <w:r>
        <w:rPr>
          <w:rFonts w:hint="eastAsia" w:cs="Times New Roman"/>
          <w:color w:val="auto"/>
          <w:sz w:val="28"/>
          <w:szCs w:val="28"/>
        </w:rPr>
        <w:t>过程接受学校纪检监察部门监督检查。</w:t>
      </w:r>
    </w:p>
    <w:p>
      <w:pPr>
        <w:adjustRightInd w:val="0"/>
        <w:snapToGrid w:val="0"/>
        <w:spacing w:before="312" w:beforeLines="100" w:after="312" w:afterLines="100" w:line="360" w:lineRule="auto"/>
        <w:jc w:val="center"/>
        <w:rPr>
          <w:rFonts w:ascii="宋体" w:cs="仿宋"/>
          <w:b/>
          <w:bCs/>
          <w:color w:val="auto"/>
          <w:sz w:val="28"/>
          <w:szCs w:val="28"/>
        </w:rPr>
      </w:pPr>
      <w:r>
        <w:rPr>
          <w:rFonts w:hint="eastAsia" w:ascii="宋体" w:hAnsi="宋体" w:cs="仿宋"/>
          <w:b/>
          <w:bCs/>
          <w:color w:val="auto"/>
          <w:sz w:val="28"/>
          <w:szCs w:val="28"/>
        </w:rPr>
        <w:t>二、对</w:t>
      </w:r>
      <w:r>
        <w:rPr>
          <w:rFonts w:hint="eastAsia" w:ascii="宋体" w:hAnsi="宋体" w:cs="仿宋"/>
          <w:b/>
          <w:bCs/>
          <w:color w:val="auto"/>
          <w:sz w:val="28"/>
          <w:szCs w:val="28"/>
          <w:lang w:val="en-US" w:eastAsia="zh-CN"/>
        </w:rPr>
        <w:t>供应商</w:t>
      </w:r>
      <w:r>
        <w:rPr>
          <w:rFonts w:hint="eastAsia" w:ascii="宋体" w:hAnsi="宋体" w:cs="仿宋"/>
          <w:b/>
          <w:bCs/>
          <w:color w:val="auto"/>
          <w:sz w:val="28"/>
          <w:szCs w:val="28"/>
        </w:rPr>
        <w:t>及投标报价的要求</w:t>
      </w:r>
    </w:p>
    <w:p>
      <w:pPr>
        <w:snapToGrid w:val="0"/>
        <w:spacing w:line="360" w:lineRule="auto"/>
        <w:ind w:firstLine="540" w:firstLineChars="192"/>
        <w:rPr>
          <w:rFonts w:ascii="宋体" w:hAnsi="宋体"/>
          <w:b/>
          <w:color w:val="auto"/>
          <w:kern w:val="0"/>
          <w:sz w:val="28"/>
          <w:szCs w:val="28"/>
        </w:rPr>
      </w:pPr>
      <w:r>
        <w:rPr>
          <w:rFonts w:hint="eastAsia" w:ascii="宋体" w:hAnsi="宋体"/>
          <w:b/>
          <w:color w:val="auto"/>
          <w:kern w:val="0"/>
          <w:sz w:val="28"/>
          <w:szCs w:val="28"/>
        </w:rPr>
        <w:t>一、</w:t>
      </w:r>
      <w:r>
        <w:rPr>
          <w:rFonts w:hint="eastAsia" w:ascii="宋体" w:hAnsi="宋体"/>
          <w:b/>
          <w:color w:val="auto"/>
          <w:kern w:val="0"/>
          <w:sz w:val="28"/>
          <w:szCs w:val="28"/>
          <w:lang w:val="en-US" w:eastAsia="zh-CN"/>
        </w:rPr>
        <w:t>供应商</w:t>
      </w:r>
      <w:r>
        <w:rPr>
          <w:rFonts w:hint="eastAsia" w:ascii="宋体" w:hAnsi="宋体"/>
          <w:b/>
          <w:color w:val="auto"/>
          <w:kern w:val="0"/>
          <w:sz w:val="28"/>
          <w:szCs w:val="28"/>
        </w:rPr>
        <w:t>必须符合以下能力、信誉和资质要求：</w:t>
      </w:r>
    </w:p>
    <w:p>
      <w:pPr>
        <w:widowControl/>
        <w:snapToGrid w:val="0"/>
        <w:spacing w:line="360" w:lineRule="auto"/>
        <w:ind w:firstLine="560" w:firstLineChars="200"/>
        <w:jc w:val="left"/>
        <w:rPr>
          <w:rFonts w:ascii="宋体" w:hAnsi="宋体" w:cs="宋体"/>
          <w:b/>
          <w:bCs/>
          <w:i/>
          <w:iCs/>
          <w:color w:val="auto"/>
          <w:kern w:val="0"/>
          <w:sz w:val="28"/>
          <w:szCs w:val="28"/>
          <w:u w:val="single"/>
        </w:rPr>
      </w:pPr>
      <w:r>
        <w:rPr>
          <w:rFonts w:hint="eastAsia" w:ascii="宋体" w:hAnsi="宋体" w:cs="Arial"/>
          <w:i/>
          <w:iCs/>
          <w:color w:val="auto"/>
          <w:sz w:val="28"/>
          <w:szCs w:val="28"/>
          <w:u w:val="single"/>
        </w:rPr>
        <w:t>（一）</w:t>
      </w:r>
      <w:r>
        <w:rPr>
          <w:rFonts w:hint="eastAsia" w:ascii="宋体" w:hAnsi="宋体" w:cs="Arial"/>
          <w:i/>
          <w:iCs/>
          <w:color w:val="auto"/>
          <w:sz w:val="28"/>
          <w:szCs w:val="28"/>
          <w:u w:val="single"/>
          <w:lang w:val="en-US" w:eastAsia="zh-CN"/>
        </w:rPr>
        <w:t>供应商</w:t>
      </w:r>
      <w:r>
        <w:rPr>
          <w:rFonts w:hint="eastAsia" w:ascii="宋体" w:hAnsi="宋体" w:cs="Arial"/>
          <w:i/>
          <w:color w:val="auto"/>
          <w:sz w:val="28"/>
          <w:szCs w:val="28"/>
          <w:highlight w:val="none"/>
          <w:u w:val="single"/>
        </w:rPr>
        <w:t>应当具备以下条件，并提供下列材料：</w:t>
      </w:r>
    </w:p>
    <w:p>
      <w:pPr>
        <w:adjustRightInd w:val="0"/>
        <w:snapToGrid w:val="0"/>
        <w:spacing w:line="360" w:lineRule="auto"/>
        <w:ind w:firstLine="560" w:firstLineChars="200"/>
        <w:rPr>
          <w:rFonts w:ascii="宋体" w:hAnsi="宋体"/>
          <w:i/>
          <w:iCs/>
          <w:color w:val="auto"/>
          <w:sz w:val="28"/>
          <w:szCs w:val="28"/>
          <w:u w:val="single"/>
        </w:rPr>
      </w:pPr>
      <w:r>
        <w:rPr>
          <w:rFonts w:hint="eastAsia" w:ascii="宋体" w:hAnsi="宋体" w:cs="Arial"/>
          <w:i/>
          <w:iCs/>
          <w:color w:val="auto"/>
          <w:sz w:val="28"/>
          <w:szCs w:val="28"/>
          <w:u w:val="single"/>
        </w:rPr>
        <w:t>1.具有独立承担民事责任的能力</w:t>
      </w:r>
      <w:r>
        <w:rPr>
          <w:rFonts w:hint="eastAsia" w:ascii="宋体" w:hAnsi="宋体"/>
          <w:i/>
          <w:iCs/>
          <w:color w:val="auto"/>
          <w:sz w:val="28"/>
          <w:szCs w:val="28"/>
          <w:u w:val="single"/>
        </w:rPr>
        <w:t>：须为独立法人企业，需提供企业法人营业执照；</w:t>
      </w:r>
    </w:p>
    <w:p>
      <w:pPr>
        <w:adjustRightInd w:val="0"/>
        <w:snapToGrid w:val="0"/>
        <w:spacing w:line="360" w:lineRule="auto"/>
        <w:ind w:firstLine="560" w:firstLineChars="200"/>
        <w:rPr>
          <w:rFonts w:ascii="宋体" w:hAnsi="宋体"/>
          <w:i/>
          <w:iCs/>
          <w:color w:val="auto"/>
          <w:sz w:val="28"/>
          <w:szCs w:val="28"/>
          <w:u w:val="single"/>
        </w:rPr>
      </w:pPr>
      <w:r>
        <w:rPr>
          <w:rFonts w:hint="eastAsia" w:ascii="宋体" w:hAnsi="宋体" w:cs="宋体"/>
          <w:i/>
          <w:iCs/>
          <w:color w:val="auto"/>
          <w:kern w:val="0"/>
          <w:sz w:val="28"/>
          <w:szCs w:val="28"/>
          <w:u w:val="single"/>
        </w:rPr>
        <w:t>2.具有良好的商业信誉和健全的财务会计制度</w:t>
      </w:r>
      <w:r>
        <w:rPr>
          <w:rFonts w:hint="eastAsia" w:ascii="宋体" w:hAnsi="宋体"/>
          <w:i/>
          <w:iCs/>
          <w:color w:val="auto"/>
          <w:sz w:val="28"/>
          <w:szCs w:val="28"/>
          <w:u w:val="single"/>
        </w:rPr>
        <w:t>：需提供参加本次投标活动前近六个月内（2020年05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i/>
          <w:iCs/>
          <w:color w:val="auto"/>
          <w:kern w:val="0"/>
          <w:sz w:val="28"/>
          <w:szCs w:val="28"/>
          <w:u w:val="single"/>
        </w:rPr>
      </w:pPr>
      <w:r>
        <w:rPr>
          <w:rFonts w:hint="eastAsia" w:ascii="宋体" w:hAnsi="宋体" w:cs="宋体"/>
          <w:i/>
          <w:iCs/>
          <w:color w:val="auto"/>
          <w:kern w:val="0"/>
          <w:sz w:val="28"/>
          <w:szCs w:val="28"/>
          <w:u w:val="singl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i/>
          <w:iCs/>
          <w:color w:val="auto"/>
          <w:sz w:val="28"/>
          <w:szCs w:val="28"/>
          <w:u w:val="single"/>
        </w:rPr>
      </w:pPr>
      <w:r>
        <w:rPr>
          <w:rFonts w:hint="eastAsia" w:ascii="宋体" w:hAnsi="宋体" w:cs="宋体"/>
          <w:i/>
          <w:iCs/>
          <w:color w:val="auto"/>
          <w:kern w:val="0"/>
          <w:sz w:val="28"/>
          <w:szCs w:val="28"/>
          <w:u w:val="single"/>
        </w:rPr>
        <w:t>4.有依法缴纳税收和社会保障资金的良好记录</w:t>
      </w:r>
      <w:r>
        <w:rPr>
          <w:rFonts w:hint="eastAsia" w:ascii="宋体" w:hAnsi="宋体"/>
          <w:i/>
          <w:iCs/>
          <w:color w:val="auto"/>
          <w:sz w:val="28"/>
          <w:szCs w:val="28"/>
          <w:u w:val="single"/>
        </w:rPr>
        <w:t>：提供参加本次投标活动前近六个月内（2020年05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i/>
          <w:color w:val="auto"/>
          <w:sz w:val="28"/>
          <w:szCs w:val="28"/>
          <w:highlight w:val="none"/>
          <w:u w:val="single"/>
        </w:rPr>
      </w:pPr>
      <w:r>
        <w:rPr>
          <w:rFonts w:hint="eastAsia" w:ascii="宋体" w:hAnsi="宋体" w:cs="宋体"/>
          <w:i/>
          <w:iCs/>
          <w:color w:val="auto"/>
          <w:kern w:val="0"/>
          <w:sz w:val="28"/>
          <w:szCs w:val="28"/>
          <w:u w:val="single"/>
        </w:rPr>
        <w:t>5.</w:t>
      </w:r>
      <w:r>
        <w:rPr>
          <w:rFonts w:hint="eastAsia" w:ascii="宋体" w:hAnsi="宋体" w:cs="宋体"/>
          <w:i/>
          <w:color w:val="auto"/>
          <w:kern w:val="0"/>
          <w:sz w:val="28"/>
          <w:szCs w:val="28"/>
          <w:highlight w:val="none"/>
          <w:u w:val="single"/>
        </w:rPr>
        <w:t>参加本次</w:t>
      </w:r>
      <w:r>
        <w:rPr>
          <w:rFonts w:hint="eastAsia" w:ascii="宋体" w:hAnsi="宋体" w:cs="宋体"/>
          <w:i/>
          <w:color w:val="auto"/>
          <w:kern w:val="0"/>
          <w:sz w:val="28"/>
          <w:szCs w:val="28"/>
          <w:highlight w:val="none"/>
          <w:u w:val="single"/>
          <w:lang w:val="en-US" w:eastAsia="zh-CN"/>
        </w:rPr>
        <w:t>采购</w:t>
      </w:r>
      <w:r>
        <w:rPr>
          <w:rFonts w:hint="eastAsia" w:ascii="宋体" w:hAnsi="宋体" w:cs="宋体"/>
          <w:i/>
          <w:color w:val="auto"/>
          <w:kern w:val="0"/>
          <w:sz w:val="28"/>
          <w:szCs w:val="28"/>
          <w:highlight w:val="none"/>
          <w:u w:val="single"/>
        </w:rPr>
        <w:t>活动前三年内，在经营活动中没有重大违法记录</w:t>
      </w:r>
      <w:r>
        <w:rPr>
          <w:rFonts w:hint="eastAsia" w:ascii="宋体" w:hAnsi="宋体"/>
          <w:i/>
          <w:color w:val="auto"/>
          <w:sz w:val="28"/>
          <w:szCs w:val="28"/>
          <w:highlight w:val="none"/>
          <w:u w:val="single"/>
        </w:rPr>
        <w:t>：需提供参加本次</w:t>
      </w:r>
      <w:r>
        <w:rPr>
          <w:rFonts w:hint="eastAsia" w:ascii="宋体" w:hAnsi="宋体"/>
          <w:i/>
          <w:color w:val="auto"/>
          <w:sz w:val="28"/>
          <w:szCs w:val="28"/>
          <w:highlight w:val="none"/>
          <w:u w:val="single"/>
          <w:lang w:val="en-US" w:eastAsia="zh-CN"/>
        </w:rPr>
        <w:t>采购</w:t>
      </w:r>
      <w:r>
        <w:rPr>
          <w:rFonts w:hint="eastAsia" w:ascii="宋体" w:hAnsi="宋体"/>
          <w:i/>
          <w:color w:val="auto"/>
          <w:sz w:val="28"/>
          <w:szCs w:val="28"/>
          <w:highlight w:val="none"/>
          <w:u w:val="single"/>
        </w:rPr>
        <w:t>活动前3年内在经营活动中没有重大违法记录的书面声明；</w:t>
      </w:r>
    </w:p>
    <w:p>
      <w:pPr>
        <w:snapToGrid w:val="0"/>
        <w:spacing w:line="360" w:lineRule="auto"/>
        <w:ind w:firstLine="560" w:firstLineChars="200"/>
        <w:rPr>
          <w:rFonts w:ascii="宋体" w:hAnsi="宋体" w:cs="宋体"/>
          <w:i/>
          <w:iCs/>
          <w:color w:val="auto"/>
          <w:kern w:val="0"/>
          <w:sz w:val="28"/>
          <w:szCs w:val="28"/>
          <w:u w:val="single"/>
        </w:rPr>
      </w:pPr>
      <w:r>
        <w:rPr>
          <w:rFonts w:hint="eastAsia" w:ascii="宋体" w:hAnsi="宋体" w:cs="宋体"/>
          <w:i/>
          <w:iCs/>
          <w:color w:val="auto"/>
          <w:kern w:val="0"/>
          <w:sz w:val="28"/>
          <w:szCs w:val="28"/>
          <w:u w:val="single"/>
        </w:rPr>
        <w:t>6.法律、行政法规规定的其他条件：无。</w:t>
      </w:r>
    </w:p>
    <w:p>
      <w:pPr>
        <w:snapToGrid w:val="0"/>
        <w:spacing w:line="360" w:lineRule="auto"/>
        <w:ind w:firstLine="560" w:firstLineChars="200"/>
        <w:rPr>
          <w:rFonts w:ascii="宋体" w:hAnsi="宋体" w:cs="宋体"/>
          <w:i/>
          <w:iCs/>
          <w:color w:val="auto"/>
          <w:kern w:val="0"/>
          <w:sz w:val="28"/>
          <w:szCs w:val="28"/>
          <w:u w:val="single"/>
        </w:rPr>
      </w:pPr>
      <w:r>
        <w:rPr>
          <w:rFonts w:hint="eastAsia" w:ascii="宋体" w:hAnsi="宋体" w:cs="宋体"/>
          <w:i/>
          <w:iCs/>
          <w:color w:val="auto"/>
          <w:kern w:val="0"/>
          <w:sz w:val="28"/>
          <w:szCs w:val="28"/>
          <w:u w:val="single"/>
        </w:rPr>
        <w:t>（二）</w:t>
      </w:r>
      <w:r>
        <w:rPr>
          <w:rFonts w:hint="eastAsia" w:ascii="宋体" w:hAnsi="宋体" w:cs="宋体"/>
          <w:i/>
          <w:iCs/>
          <w:color w:val="auto"/>
          <w:kern w:val="0"/>
          <w:sz w:val="28"/>
          <w:szCs w:val="28"/>
          <w:u w:val="single"/>
          <w:lang w:val="en-US" w:eastAsia="zh-CN"/>
        </w:rPr>
        <w:t>供应商</w:t>
      </w:r>
      <w:r>
        <w:rPr>
          <w:rFonts w:hint="eastAsia" w:ascii="宋体" w:hAnsi="宋体" w:cs="宋体"/>
          <w:i/>
          <w:iCs/>
          <w:color w:val="auto"/>
          <w:kern w:val="0"/>
          <w:sz w:val="28"/>
          <w:szCs w:val="28"/>
          <w:u w:val="single"/>
        </w:rPr>
        <w:t>不得存在下列情形之一</w:t>
      </w:r>
      <w:r>
        <w:rPr>
          <w:rFonts w:hint="eastAsia" w:ascii="宋体" w:hAnsi="宋体"/>
          <w:i/>
          <w:iCs/>
          <w:color w:val="auto"/>
          <w:sz w:val="28"/>
          <w:szCs w:val="28"/>
          <w:u w:val="single"/>
        </w:rPr>
        <w:t>（</w:t>
      </w:r>
      <w:r>
        <w:rPr>
          <w:rFonts w:hint="eastAsia" w:ascii="宋体" w:hAnsi="宋体"/>
          <w:b/>
          <w:i/>
          <w:iCs/>
          <w:color w:val="auto"/>
          <w:sz w:val="28"/>
          <w:szCs w:val="28"/>
          <w:u w:val="single"/>
        </w:rPr>
        <w:t>提供加盖投标人公章的承诺书）</w:t>
      </w:r>
      <w:r>
        <w:rPr>
          <w:rFonts w:hint="eastAsia" w:ascii="宋体" w:hAnsi="宋体" w:cs="宋体"/>
          <w:i/>
          <w:iCs/>
          <w:color w:val="auto"/>
          <w:kern w:val="0"/>
          <w:sz w:val="28"/>
          <w:szCs w:val="28"/>
          <w:u w:val="single"/>
        </w:rPr>
        <w:t>：</w:t>
      </w:r>
    </w:p>
    <w:p>
      <w:pPr>
        <w:snapToGrid w:val="0"/>
        <w:spacing w:line="360" w:lineRule="auto"/>
        <w:ind w:firstLine="560" w:firstLineChars="200"/>
        <w:rPr>
          <w:rFonts w:ascii="宋体" w:hAnsi="宋体" w:cs="宋体"/>
          <w:i/>
          <w:iCs/>
          <w:color w:val="auto"/>
          <w:kern w:val="0"/>
          <w:sz w:val="28"/>
          <w:szCs w:val="28"/>
          <w:u w:val="single"/>
        </w:rPr>
      </w:pPr>
      <w:r>
        <w:rPr>
          <w:rFonts w:hint="eastAsia" w:ascii="宋体" w:hAnsi="宋体" w:cs="宋体"/>
          <w:i/>
          <w:iCs/>
          <w:color w:val="auto"/>
          <w:kern w:val="0"/>
          <w:sz w:val="28"/>
          <w:szCs w:val="28"/>
          <w:u w:val="single"/>
        </w:rPr>
        <w:t>（1）为</w:t>
      </w:r>
      <w:r>
        <w:rPr>
          <w:rFonts w:hint="eastAsia" w:ascii="宋体" w:hAnsi="宋体" w:cs="宋体"/>
          <w:i/>
          <w:iCs/>
          <w:color w:val="auto"/>
          <w:kern w:val="0"/>
          <w:sz w:val="28"/>
          <w:szCs w:val="28"/>
          <w:u w:val="single"/>
          <w:lang w:val="en-US" w:eastAsia="zh-CN"/>
        </w:rPr>
        <w:t>采购</w:t>
      </w:r>
      <w:r>
        <w:rPr>
          <w:rFonts w:hint="eastAsia" w:ascii="宋体" w:hAnsi="宋体" w:cs="宋体"/>
          <w:i/>
          <w:iCs/>
          <w:color w:val="auto"/>
          <w:kern w:val="0"/>
          <w:sz w:val="28"/>
          <w:szCs w:val="28"/>
          <w:u w:val="single"/>
        </w:rPr>
        <w:t>人不具有独立法人资格的附属机构（单位）；</w:t>
      </w:r>
    </w:p>
    <w:p>
      <w:pPr>
        <w:snapToGrid w:val="0"/>
        <w:spacing w:line="360" w:lineRule="auto"/>
        <w:ind w:firstLine="560" w:firstLineChars="200"/>
        <w:rPr>
          <w:rFonts w:ascii="宋体" w:hAnsi="宋体" w:cs="宋体"/>
          <w:i/>
          <w:iCs/>
          <w:color w:val="auto"/>
          <w:kern w:val="0"/>
          <w:sz w:val="28"/>
          <w:szCs w:val="28"/>
          <w:u w:val="single"/>
        </w:rPr>
      </w:pPr>
      <w:r>
        <w:rPr>
          <w:rFonts w:hint="eastAsia" w:ascii="宋体" w:hAnsi="宋体" w:cs="宋体"/>
          <w:i/>
          <w:iCs/>
          <w:color w:val="auto"/>
          <w:kern w:val="0"/>
          <w:sz w:val="28"/>
          <w:szCs w:val="28"/>
          <w:u w:val="single"/>
        </w:rPr>
        <w:t>（2）与</w:t>
      </w:r>
      <w:r>
        <w:rPr>
          <w:rFonts w:hint="eastAsia" w:ascii="宋体" w:hAnsi="宋体" w:cs="宋体"/>
          <w:i/>
          <w:iCs/>
          <w:color w:val="auto"/>
          <w:kern w:val="0"/>
          <w:sz w:val="28"/>
          <w:szCs w:val="28"/>
          <w:u w:val="single"/>
          <w:lang w:val="en-US" w:eastAsia="zh-CN"/>
        </w:rPr>
        <w:t>采购</w:t>
      </w:r>
      <w:r>
        <w:rPr>
          <w:rFonts w:hint="eastAsia" w:ascii="宋体" w:hAnsi="宋体" w:cs="宋体"/>
          <w:i/>
          <w:iCs/>
          <w:color w:val="auto"/>
          <w:kern w:val="0"/>
          <w:sz w:val="28"/>
          <w:szCs w:val="28"/>
          <w:u w:val="single"/>
        </w:rPr>
        <w:t>人存在利害关系可能影响招标公正性的；</w:t>
      </w:r>
    </w:p>
    <w:p>
      <w:pPr>
        <w:snapToGrid w:val="0"/>
        <w:spacing w:line="360" w:lineRule="auto"/>
        <w:ind w:firstLine="560" w:firstLineChars="200"/>
        <w:rPr>
          <w:rFonts w:ascii="宋体" w:hAnsi="宋体" w:cs="宋体"/>
          <w:i/>
          <w:iCs/>
          <w:color w:val="auto"/>
          <w:kern w:val="0"/>
          <w:sz w:val="28"/>
          <w:szCs w:val="28"/>
          <w:u w:val="single"/>
        </w:rPr>
      </w:pPr>
      <w:r>
        <w:rPr>
          <w:rFonts w:hint="eastAsia" w:ascii="宋体" w:hAnsi="宋体" w:cs="宋体"/>
          <w:i/>
          <w:iCs/>
          <w:color w:val="auto"/>
          <w:kern w:val="0"/>
          <w:sz w:val="28"/>
          <w:szCs w:val="28"/>
          <w:u w:val="single"/>
        </w:rPr>
        <w:t>（3）单位负责人为同一人或者存在控股、管理关系的不同单位；</w:t>
      </w:r>
    </w:p>
    <w:p>
      <w:pPr>
        <w:snapToGrid w:val="0"/>
        <w:spacing w:line="360" w:lineRule="auto"/>
        <w:ind w:firstLine="560" w:firstLineChars="200"/>
        <w:rPr>
          <w:rFonts w:ascii="宋体" w:hAnsi="宋体" w:cs="宋体"/>
          <w:i/>
          <w:iCs/>
          <w:color w:val="auto"/>
          <w:kern w:val="0"/>
          <w:sz w:val="28"/>
          <w:szCs w:val="28"/>
          <w:u w:val="single"/>
        </w:rPr>
      </w:pPr>
      <w:r>
        <w:rPr>
          <w:rFonts w:hint="eastAsia" w:ascii="宋体" w:hAnsi="宋体" w:cs="宋体"/>
          <w:i/>
          <w:iCs/>
          <w:color w:val="auto"/>
          <w:kern w:val="0"/>
          <w:sz w:val="28"/>
          <w:szCs w:val="28"/>
          <w:u w:val="singl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i/>
          <w:iCs/>
          <w:color w:val="auto"/>
          <w:kern w:val="0"/>
          <w:sz w:val="28"/>
          <w:szCs w:val="28"/>
          <w:u w:val="single"/>
        </w:rPr>
      </w:pPr>
      <w:r>
        <w:rPr>
          <w:rFonts w:hint="eastAsia" w:ascii="宋体" w:hAnsi="宋体" w:cs="宋体"/>
          <w:i/>
          <w:iCs/>
          <w:color w:val="auto"/>
          <w:kern w:val="0"/>
          <w:sz w:val="28"/>
          <w:szCs w:val="28"/>
          <w:u w:val="single"/>
        </w:rPr>
        <w:t>（5）</w:t>
      </w:r>
      <w:r>
        <w:rPr>
          <w:rFonts w:hint="eastAsia" w:ascii="宋体" w:hAnsi="宋体" w:cs="宋体"/>
          <w:i/>
          <w:iCs/>
          <w:color w:val="auto"/>
          <w:kern w:val="0"/>
          <w:sz w:val="28"/>
          <w:szCs w:val="28"/>
          <w:u w:val="single"/>
          <w:lang w:val="en-US" w:eastAsia="zh-CN"/>
        </w:rPr>
        <w:t>供应商</w:t>
      </w:r>
      <w:r>
        <w:rPr>
          <w:rFonts w:hint="eastAsia" w:ascii="宋体" w:hAnsi="宋体" w:cs="宋体"/>
          <w:i/>
          <w:iCs/>
          <w:color w:val="auto"/>
          <w:kern w:val="0"/>
          <w:sz w:val="28"/>
          <w:szCs w:val="28"/>
          <w:u w:val="single"/>
        </w:rPr>
        <w:t>近3年内有行贿犯罪行为且被记录，或者法定代表人有行贿犯罪记录且自记录之日起未超过 5年的。</w:t>
      </w:r>
    </w:p>
    <w:p>
      <w:pPr>
        <w:snapToGrid w:val="0"/>
        <w:spacing w:line="360" w:lineRule="auto"/>
        <w:ind w:firstLine="560" w:firstLineChars="200"/>
        <w:rPr>
          <w:rFonts w:ascii="宋体" w:hAnsi="宋体" w:cs="宋体"/>
          <w:i/>
          <w:iCs/>
          <w:color w:val="auto"/>
          <w:kern w:val="0"/>
          <w:sz w:val="28"/>
          <w:szCs w:val="28"/>
          <w:u w:val="single"/>
        </w:rPr>
      </w:pPr>
      <w:r>
        <w:rPr>
          <w:rFonts w:hint="eastAsia" w:ascii="宋体" w:hAnsi="宋体" w:cs="宋体"/>
          <w:i/>
          <w:iCs/>
          <w:color w:val="auto"/>
          <w:kern w:val="0"/>
          <w:sz w:val="28"/>
          <w:szCs w:val="28"/>
          <w:u w:val="single"/>
        </w:rPr>
        <w:t>（三）</w:t>
      </w:r>
      <w:r>
        <w:rPr>
          <w:rFonts w:hint="eastAsia" w:ascii="宋体" w:hAnsi="宋体" w:cs="宋体"/>
          <w:bCs/>
          <w:i/>
          <w:iCs/>
          <w:color w:val="auto"/>
          <w:kern w:val="0"/>
          <w:sz w:val="28"/>
          <w:szCs w:val="28"/>
          <w:u w:val="singl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i/>
          <w:iCs/>
          <w:color w:val="auto"/>
          <w:kern w:val="0"/>
          <w:sz w:val="28"/>
          <w:szCs w:val="28"/>
          <w:u w:val="single"/>
        </w:rPr>
      </w:pPr>
      <w:r>
        <w:rPr>
          <w:rFonts w:hint="eastAsia" w:ascii="宋体" w:hAnsi="宋体" w:cs="宋体"/>
          <w:i/>
          <w:iCs/>
          <w:color w:val="auto"/>
          <w:sz w:val="28"/>
          <w:szCs w:val="28"/>
          <w:u w:val="single"/>
          <w:lang w:val="en-US" w:eastAsia="zh-CN"/>
        </w:rPr>
        <w:t>投标人</w:t>
      </w:r>
      <w:r>
        <w:rPr>
          <w:rFonts w:hint="eastAsia" w:ascii="宋体" w:hAnsi="宋体" w:cs="宋体"/>
          <w:i/>
          <w:iCs/>
          <w:color w:val="auto"/>
          <w:sz w:val="28"/>
          <w:szCs w:val="28"/>
          <w:u w:val="single"/>
        </w:rPr>
        <w:t>被“信用中国”网站（www.creditchina.gov.cn）列入失信被执行人、重大税收违法案件当事人名单。</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二、本项目采用资格后审法，唱标后，进行资格审定。</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三、投标人应按附件</w:t>
      </w:r>
      <w:r>
        <w:rPr>
          <w:rFonts w:ascii="宋体" w:hAnsi="宋体" w:cs="宋体"/>
          <w:color w:val="auto"/>
          <w:sz w:val="28"/>
          <w:szCs w:val="28"/>
        </w:rPr>
        <w:t>2</w:t>
      </w:r>
      <w:r>
        <w:rPr>
          <w:rFonts w:hint="eastAsia" w:ascii="宋体" w:hAnsi="宋体" w:cs="宋体"/>
          <w:color w:val="auto"/>
          <w:sz w:val="28"/>
          <w:szCs w:val="28"/>
        </w:rPr>
        <w:t>、附件</w:t>
      </w:r>
      <w:r>
        <w:rPr>
          <w:rFonts w:ascii="宋体" w:hAnsi="宋体" w:cs="宋体"/>
          <w:color w:val="auto"/>
          <w:sz w:val="28"/>
          <w:szCs w:val="28"/>
        </w:rPr>
        <w:t>3</w:t>
      </w:r>
      <w:r>
        <w:rPr>
          <w:rFonts w:hint="eastAsia" w:ascii="宋体" w:hAnsi="宋体" w:cs="宋体"/>
          <w:color w:val="auto"/>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color w:val="auto"/>
          <w:sz w:val="28"/>
          <w:szCs w:val="28"/>
        </w:rPr>
      </w:pPr>
      <w:r>
        <w:rPr>
          <w:rFonts w:hint="eastAsia" w:ascii="宋体" w:hAnsi="宋体" w:cs="宋体"/>
          <w:color w:val="auto"/>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w:t>
      </w:r>
      <w:r>
        <w:rPr>
          <w:rFonts w:hint="eastAsia" w:ascii="宋体" w:hAnsi="宋体" w:cs="宋体"/>
          <w:color w:val="auto"/>
          <w:sz w:val="28"/>
          <w:szCs w:val="28"/>
          <w:highlight w:val="none"/>
        </w:rPr>
        <w:t>起</w:t>
      </w:r>
      <w:r>
        <w:rPr>
          <w:rFonts w:hint="eastAsia" w:ascii="宋体" w:hAnsi="宋体" w:cs="宋体"/>
          <w:color w:val="auto"/>
          <w:sz w:val="28"/>
          <w:szCs w:val="28"/>
          <w:highlight w:val="none"/>
          <w:lang w:val="en-US" w:eastAsia="zh-CN"/>
        </w:rPr>
        <w:t>15</w:t>
      </w:r>
      <w:r>
        <w:rPr>
          <w:rFonts w:hint="eastAsia" w:ascii="宋体" w:hAnsi="宋体" w:cs="宋体"/>
          <w:color w:val="auto"/>
          <w:sz w:val="28"/>
          <w:szCs w:val="28"/>
          <w:highlight w:val="none"/>
        </w:rPr>
        <w:t>天内</w:t>
      </w:r>
      <w:r>
        <w:rPr>
          <w:rFonts w:hint="eastAsia" w:ascii="宋体" w:hAnsi="宋体" w:cs="宋体"/>
          <w:color w:val="auto"/>
          <w:sz w:val="28"/>
          <w:szCs w:val="28"/>
        </w:rPr>
        <w:t>完成设备运输（含上、下力）、安装调试等，所有费用由供方承担，安装调试完毕后需方用户负责试用并签收。</w:t>
      </w:r>
    </w:p>
    <w:p>
      <w:pPr>
        <w:pStyle w:val="43"/>
        <w:numPr>
          <w:ilvl w:val="0"/>
          <w:numId w:val="2"/>
        </w:numPr>
        <w:adjustRightInd w:val="0"/>
        <w:snapToGrid w:val="0"/>
        <w:spacing w:before="0" w:beforeAutospacing="0" w:after="0" w:afterAutospacing="0" w:line="360" w:lineRule="auto"/>
        <w:ind w:firstLine="560" w:firstLineChars="200"/>
        <w:rPr>
          <w:color w:val="auto"/>
          <w:kern w:val="2"/>
          <w:sz w:val="28"/>
          <w:szCs w:val="28"/>
        </w:rPr>
      </w:pPr>
      <w:r>
        <w:rPr>
          <w:rFonts w:hint="eastAsia"/>
          <w:color w:val="auto"/>
          <w:kern w:val="2"/>
          <w:sz w:val="28"/>
          <w:szCs w:val="28"/>
        </w:rPr>
        <w:t>本项目预算价为15</w:t>
      </w:r>
      <w:r>
        <w:rPr>
          <w:color w:val="auto"/>
          <w:kern w:val="2"/>
          <w:sz w:val="28"/>
          <w:szCs w:val="28"/>
        </w:rPr>
        <w:t>0</w:t>
      </w:r>
      <w:r>
        <w:rPr>
          <w:rFonts w:hint="eastAsia"/>
          <w:color w:val="auto"/>
          <w:kern w:val="2"/>
          <w:sz w:val="28"/>
          <w:szCs w:val="28"/>
        </w:rPr>
        <w:t>万元，本项目只接受人民币报价。</w:t>
      </w:r>
    </w:p>
    <w:p>
      <w:pPr>
        <w:spacing w:line="360" w:lineRule="auto"/>
        <w:ind w:firstLine="548" w:firstLineChars="196"/>
        <w:rPr>
          <w:color w:val="auto"/>
          <w:sz w:val="28"/>
          <w:szCs w:val="28"/>
        </w:rPr>
      </w:pPr>
      <w:r>
        <w:rPr>
          <w:rFonts w:hint="eastAsia" w:ascii="宋体" w:hAnsi="宋体" w:cs="宋体"/>
          <w:color w:val="auto"/>
          <w:sz w:val="28"/>
          <w:szCs w:val="28"/>
        </w:rPr>
        <w:t>七、进口货物的外贸代理公司由投标人（中标人）在我校确定的两家外贸代理公司中自行选择（江苏苏美达仪器设备有限公司，练经理：025-84531280，15205153042；江苏海外集团国际技术工程有限公司，方经理：025-84795955，15996350251），代理费由投标人与所选外贸公司协商确定并含在报价中。我校协助办理入关、免税等相关证明材料手续。</w:t>
      </w:r>
    </w:p>
    <w:p>
      <w:pPr>
        <w:spacing w:before="312" w:beforeLines="100" w:after="312" w:afterLines="100" w:line="360" w:lineRule="auto"/>
        <w:ind w:firstLine="548" w:firstLineChars="196"/>
        <w:jc w:val="center"/>
        <w:rPr>
          <w:rFonts w:ascii="黑体" w:hAnsi="黑体" w:eastAsia="黑体" w:cs="宋体"/>
          <w:color w:val="auto"/>
          <w:sz w:val="28"/>
          <w:szCs w:val="28"/>
        </w:rPr>
      </w:pPr>
      <w:bookmarkStart w:id="4" w:name="_Hlk9866140"/>
      <w:r>
        <w:rPr>
          <w:rFonts w:hint="eastAsia" w:ascii="黑体" w:hAnsi="黑体" w:eastAsia="黑体" w:cs="宋体"/>
          <w:color w:val="auto"/>
          <w:sz w:val="28"/>
          <w:szCs w:val="28"/>
        </w:rPr>
        <w:t>三、对投标文件的要求</w:t>
      </w:r>
    </w:p>
    <w:p>
      <w:pPr>
        <w:spacing w:line="360" w:lineRule="auto"/>
        <w:ind w:firstLine="548" w:firstLineChars="196"/>
        <w:rPr>
          <w:rFonts w:ascii="宋体" w:hAns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投标人根据</w:t>
      </w:r>
      <w:r>
        <w:rPr>
          <w:rFonts w:hint="eastAsia" w:ascii="宋体" w:hAnsi="宋体" w:cs="宋体"/>
          <w:color w:val="auto"/>
          <w:sz w:val="28"/>
          <w:szCs w:val="28"/>
          <w:lang w:val="en-US" w:eastAsia="zh-CN"/>
        </w:rPr>
        <w:t>磋商</w:t>
      </w:r>
      <w:r>
        <w:rPr>
          <w:rFonts w:hint="eastAsia" w:ascii="宋体" w:hAnsi="宋体" w:cs="宋体"/>
          <w:color w:val="auto"/>
          <w:sz w:val="28"/>
          <w:szCs w:val="28"/>
        </w:rPr>
        <w:t>公告向我校提出报名后，从我校取得正式</w:t>
      </w:r>
      <w:r>
        <w:rPr>
          <w:rFonts w:hint="eastAsia" w:ascii="宋体" w:hAnsi="宋体" w:cs="宋体"/>
          <w:color w:val="auto"/>
          <w:sz w:val="28"/>
          <w:szCs w:val="28"/>
          <w:lang w:val="en-US" w:eastAsia="zh-CN"/>
        </w:rPr>
        <w:t>磋商</w:t>
      </w:r>
      <w:r>
        <w:rPr>
          <w:rFonts w:hint="eastAsia" w:ascii="宋体" w:hAnsi="宋体" w:cs="宋体"/>
          <w:color w:val="auto"/>
          <w:sz w:val="28"/>
          <w:szCs w:val="28"/>
        </w:rPr>
        <w:t>文件（纸质或电子版），并按招标文件的要求认真编制投标文件。</w:t>
      </w:r>
    </w:p>
    <w:p>
      <w:pPr>
        <w:spacing w:line="360" w:lineRule="auto"/>
        <w:ind w:firstLine="548" w:firstLineChars="196"/>
        <w:rPr>
          <w:rFonts w:asci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投标文件一正四副，正、副本均须列出目录，内容不得有插行、涂抹、粘贴等，并打印装订成册。</w:t>
      </w:r>
    </w:p>
    <w:p>
      <w:pPr>
        <w:spacing w:line="360" w:lineRule="auto"/>
        <w:ind w:firstLine="548" w:firstLineChars="196"/>
        <w:rPr>
          <w:rFonts w:ascii="宋体" w:cs="宋体"/>
          <w:color w:val="auto"/>
          <w:sz w:val="28"/>
          <w:szCs w:val="28"/>
        </w:rPr>
      </w:pPr>
      <w:r>
        <w:rPr>
          <w:rFonts w:ascii="宋体" w:hAnsi="宋体" w:cs="宋体"/>
          <w:color w:val="auto"/>
          <w:sz w:val="28"/>
          <w:szCs w:val="28"/>
        </w:rPr>
        <w:t>3.</w:t>
      </w:r>
      <w:r>
        <w:rPr>
          <w:rFonts w:hint="eastAsia" w:ascii="宋体" w:hAnsi="宋体" w:cs="宋体"/>
          <w:color w:val="auto"/>
          <w:sz w:val="28"/>
          <w:szCs w:val="28"/>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color w:val="auto"/>
          <w:sz w:val="28"/>
          <w:szCs w:val="28"/>
        </w:rPr>
      </w:pPr>
      <w:r>
        <w:rPr>
          <w:rFonts w:ascii="宋体" w:hAnsi="宋体" w:cs="宋体"/>
          <w:color w:val="auto"/>
          <w:sz w:val="28"/>
          <w:szCs w:val="28"/>
        </w:rPr>
        <w:t>4.</w:t>
      </w:r>
      <w:r>
        <w:rPr>
          <w:rFonts w:hint="eastAsia" w:ascii="宋体" w:hAnsi="宋体" w:cs="宋体"/>
          <w:color w:val="auto"/>
          <w:sz w:val="28"/>
          <w:szCs w:val="28"/>
        </w:rPr>
        <w:t>为便于唱标和减少浪费，请将</w:t>
      </w:r>
      <w:r>
        <w:rPr>
          <w:rFonts w:ascii="宋体" w:hAnsi="宋体" w:cs="宋体"/>
          <w:color w:val="auto"/>
          <w:sz w:val="28"/>
          <w:szCs w:val="28"/>
        </w:rPr>
        <w:t>1</w:t>
      </w:r>
      <w:r>
        <w:rPr>
          <w:rFonts w:hint="eastAsia" w:ascii="宋体" w:hAnsi="宋体" w:cs="宋体"/>
          <w:color w:val="auto"/>
          <w:sz w:val="28"/>
          <w:szCs w:val="28"/>
        </w:rPr>
        <w:t>份正本单独封装，另外</w:t>
      </w:r>
      <w:r>
        <w:rPr>
          <w:rFonts w:ascii="宋体" w:hAnsi="宋体" w:cs="宋体"/>
          <w:color w:val="auto"/>
          <w:sz w:val="28"/>
          <w:szCs w:val="28"/>
        </w:rPr>
        <w:t>4</w:t>
      </w:r>
      <w:r>
        <w:rPr>
          <w:rFonts w:hint="eastAsia" w:ascii="宋体" w:hAnsi="宋体" w:cs="宋体"/>
          <w:color w:val="auto"/>
          <w:sz w:val="28"/>
          <w:szCs w:val="28"/>
        </w:rPr>
        <w:t>份副本可叠加封装在一个大的档案袋中（</w:t>
      </w:r>
      <w:r>
        <w:rPr>
          <w:rFonts w:ascii="宋体" w:hAnsi="宋体" w:cs="宋体"/>
          <w:color w:val="auto"/>
          <w:sz w:val="28"/>
          <w:szCs w:val="28"/>
        </w:rPr>
        <w:t>4</w:t>
      </w:r>
      <w:r>
        <w:rPr>
          <w:rFonts w:hint="eastAsia" w:ascii="宋体" w:hAnsi="宋体" w:cs="宋体"/>
          <w:color w:val="auto"/>
          <w:sz w:val="28"/>
          <w:szCs w:val="28"/>
        </w:rPr>
        <w:t>份副本无需分别封装在</w:t>
      </w:r>
      <w:r>
        <w:rPr>
          <w:rFonts w:ascii="宋体" w:hAnsi="宋体" w:cs="宋体"/>
          <w:color w:val="auto"/>
          <w:sz w:val="28"/>
          <w:szCs w:val="28"/>
        </w:rPr>
        <w:t>4</w:t>
      </w:r>
      <w:r>
        <w:rPr>
          <w:rFonts w:hint="eastAsia" w:ascii="宋体" w:hAnsi="宋体" w:cs="宋体"/>
          <w:color w:val="auto"/>
          <w:sz w:val="28"/>
          <w:szCs w:val="28"/>
        </w:rPr>
        <w:t>个档案袋中，一个大档案袋封装不下的除外）。每家投标人在送交投标文件时，只需交</w:t>
      </w:r>
      <w:r>
        <w:rPr>
          <w:rFonts w:ascii="宋体" w:hAnsi="宋体" w:cs="宋体"/>
          <w:color w:val="auto"/>
          <w:sz w:val="28"/>
          <w:szCs w:val="28"/>
        </w:rPr>
        <w:t>2</w:t>
      </w:r>
      <w:r>
        <w:rPr>
          <w:rFonts w:hint="eastAsia" w:ascii="宋体" w:hAnsi="宋体" w:cs="宋体"/>
          <w:color w:val="auto"/>
          <w:sz w:val="28"/>
          <w:szCs w:val="28"/>
        </w:rPr>
        <w:t>个档案袋即可，即</w:t>
      </w:r>
      <w:r>
        <w:rPr>
          <w:rFonts w:ascii="宋体" w:hAnsi="宋体" w:cs="宋体"/>
          <w:color w:val="auto"/>
          <w:sz w:val="28"/>
          <w:szCs w:val="28"/>
        </w:rPr>
        <w:t>1</w:t>
      </w:r>
      <w:r>
        <w:rPr>
          <w:rFonts w:hint="eastAsia" w:ascii="宋体" w:hAnsi="宋体" w:cs="宋体"/>
          <w:color w:val="auto"/>
          <w:sz w:val="28"/>
          <w:szCs w:val="28"/>
        </w:rPr>
        <w:t>个正本档案袋，</w:t>
      </w:r>
      <w:r>
        <w:rPr>
          <w:rFonts w:ascii="宋体" w:hAnsi="宋体" w:cs="宋体"/>
          <w:color w:val="auto"/>
          <w:sz w:val="28"/>
          <w:szCs w:val="28"/>
        </w:rPr>
        <w:t>1</w:t>
      </w:r>
      <w:r>
        <w:rPr>
          <w:rFonts w:hint="eastAsia" w:ascii="宋体" w:hAnsi="宋体" w:cs="宋体"/>
          <w:color w:val="auto"/>
          <w:sz w:val="28"/>
          <w:szCs w:val="28"/>
        </w:rPr>
        <w:t>个大的副本档案袋。</w:t>
      </w:r>
    </w:p>
    <w:p>
      <w:pPr>
        <w:spacing w:line="360" w:lineRule="auto"/>
        <w:ind w:firstLine="548" w:firstLineChars="196"/>
        <w:rPr>
          <w:rFonts w:ascii="宋体" w:cs="宋体"/>
          <w:color w:val="auto"/>
          <w:sz w:val="28"/>
          <w:szCs w:val="28"/>
        </w:rPr>
      </w:pPr>
      <w:r>
        <w:rPr>
          <w:rFonts w:ascii="宋体" w:hAnsi="宋体" w:cs="宋体"/>
          <w:color w:val="auto"/>
          <w:sz w:val="28"/>
          <w:szCs w:val="28"/>
        </w:rPr>
        <w:t>5.</w:t>
      </w:r>
      <w:r>
        <w:rPr>
          <w:rFonts w:hint="eastAsia" w:ascii="宋体" w:hAnsi="宋体" w:cs="宋体"/>
          <w:color w:val="auto"/>
          <w:sz w:val="28"/>
          <w:szCs w:val="28"/>
        </w:rPr>
        <w:t>投标文件应包含以下内容（所有材料必须加盖投标单位公章）：</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）经投标单位法人或委托代理人代表签字并加盖单位公章的投标函（附件</w:t>
      </w:r>
      <w:r>
        <w:rPr>
          <w:rFonts w:ascii="宋体" w:hAnsi="宋体" w:cs="宋体"/>
          <w:color w:val="auto"/>
          <w:sz w:val="28"/>
          <w:szCs w:val="28"/>
        </w:rPr>
        <w:t>2</w:t>
      </w:r>
      <w:r>
        <w:rPr>
          <w:rFonts w:hint="eastAsia" w:ascii="宋体" w:hAnsi="宋体" w:cs="宋体"/>
          <w:color w:val="auto"/>
          <w:sz w:val="28"/>
          <w:szCs w:val="28"/>
        </w:rPr>
        <w:t>格式，为便于唱标，此函件请务必放置在投标文件内页的第一页）；</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）投标价格明细表（附件</w:t>
      </w:r>
      <w:r>
        <w:rPr>
          <w:rFonts w:ascii="宋体" w:hAnsi="宋体" w:cs="宋体"/>
          <w:color w:val="auto"/>
          <w:sz w:val="28"/>
          <w:szCs w:val="28"/>
        </w:rPr>
        <w:t>3</w:t>
      </w:r>
      <w:r>
        <w:rPr>
          <w:rFonts w:hint="eastAsia" w:ascii="宋体" w:hAnsi="宋体" w:cs="宋体"/>
          <w:color w:val="auto"/>
          <w:sz w:val="28"/>
          <w:szCs w:val="28"/>
        </w:rPr>
        <w:t>）；</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3</w:t>
      </w:r>
      <w:r>
        <w:rPr>
          <w:rFonts w:hint="eastAsia" w:ascii="宋体" w:hAnsi="宋体" w:cs="宋体"/>
          <w:color w:val="auto"/>
          <w:sz w:val="28"/>
          <w:szCs w:val="28"/>
        </w:rPr>
        <w:t>）</w:t>
      </w:r>
      <w:r>
        <w:rPr>
          <w:rFonts w:ascii="宋体" w:hAnsi="宋体" w:cs="宋体"/>
          <w:color w:val="auto"/>
          <w:sz w:val="28"/>
          <w:szCs w:val="28"/>
        </w:rPr>
        <w:t>300</w:t>
      </w:r>
      <w:r>
        <w:rPr>
          <w:rFonts w:hint="eastAsia" w:ascii="宋体" w:hAnsi="宋体" w:cs="宋体"/>
          <w:color w:val="auto"/>
          <w:sz w:val="28"/>
          <w:szCs w:val="28"/>
        </w:rPr>
        <w:t>元报名资料费银行转账回单（复印件）；</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4</w:t>
      </w:r>
      <w:r>
        <w:rPr>
          <w:rFonts w:hint="eastAsia" w:ascii="宋体" w:hAnsi="宋体" w:cs="宋体"/>
          <w:color w:val="auto"/>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5</w:t>
      </w:r>
      <w:r>
        <w:rPr>
          <w:rFonts w:hint="eastAsia" w:ascii="宋体" w:hAnsi="宋体" w:cs="宋体"/>
          <w:color w:val="auto"/>
          <w:sz w:val="28"/>
          <w:szCs w:val="28"/>
        </w:rPr>
        <w:t>）授权委托书、被委托人身份证复印件；</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6</w:t>
      </w:r>
      <w:r>
        <w:rPr>
          <w:rFonts w:hint="eastAsia" w:ascii="宋体" w:hAnsi="宋体" w:cs="宋体"/>
          <w:color w:val="auto"/>
          <w:sz w:val="28"/>
          <w:szCs w:val="28"/>
        </w:rPr>
        <w:t>）产品（或服务，下同）技术性能参数的详细描述一览表（投标文件在对投标标的物进行技术和商务描述时，必须完全按照</w:t>
      </w:r>
      <w:r>
        <w:rPr>
          <w:rFonts w:hint="eastAsia" w:ascii="宋体" w:hAnsi="宋体" w:cs="宋体"/>
          <w:color w:val="auto"/>
          <w:sz w:val="28"/>
          <w:szCs w:val="28"/>
          <w:lang w:val="en-US" w:eastAsia="zh-CN"/>
        </w:rPr>
        <w:t>磋商</w:t>
      </w:r>
      <w:r>
        <w:rPr>
          <w:rFonts w:hint="eastAsia" w:ascii="宋体" w:hAnsi="宋体" w:cs="宋体"/>
          <w:color w:val="auto"/>
          <w:sz w:val="28"/>
          <w:szCs w:val="28"/>
        </w:rPr>
        <w:t>文件附件</w:t>
      </w:r>
      <w:r>
        <w:rPr>
          <w:rFonts w:ascii="宋体" w:hAnsi="宋体" w:cs="宋体"/>
          <w:color w:val="auto"/>
          <w:sz w:val="28"/>
          <w:szCs w:val="28"/>
        </w:rPr>
        <w:t>1</w:t>
      </w:r>
      <w:r>
        <w:rPr>
          <w:rFonts w:hint="eastAsia" w:ascii="宋体" w:hAnsi="宋体" w:cs="宋体"/>
          <w:color w:val="auto"/>
          <w:sz w:val="28"/>
          <w:szCs w:val="28"/>
        </w:rPr>
        <w:t>中的章节顺序依次逐条响应，不得颠倒顺序，不得有漏项，不得原封不动地引用</w:t>
      </w:r>
      <w:r>
        <w:rPr>
          <w:rFonts w:hint="eastAsia" w:ascii="宋体" w:hAnsi="宋体" w:cs="宋体"/>
          <w:color w:val="auto"/>
          <w:sz w:val="28"/>
          <w:szCs w:val="28"/>
          <w:lang w:val="en-US" w:eastAsia="zh-CN"/>
        </w:rPr>
        <w:t>磋商</w:t>
      </w:r>
      <w:r>
        <w:rPr>
          <w:rFonts w:hint="eastAsia" w:ascii="宋体" w:hAnsi="宋体" w:cs="宋体"/>
          <w:color w:val="auto"/>
          <w:sz w:val="28"/>
          <w:szCs w:val="28"/>
        </w:rPr>
        <w:t>文件附件</w:t>
      </w:r>
      <w:r>
        <w:rPr>
          <w:rFonts w:ascii="宋体" w:hAnsi="宋体" w:cs="宋体"/>
          <w:color w:val="auto"/>
          <w:sz w:val="28"/>
          <w:szCs w:val="28"/>
        </w:rPr>
        <w:t>1</w:t>
      </w:r>
      <w:r>
        <w:rPr>
          <w:rFonts w:hint="eastAsia" w:ascii="宋体" w:hAnsi="宋体" w:cs="宋体"/>
          <w:color w:val="auto"/>
          <w:sz w:val="28"/>
          <w:szCs w:val="28"/>
        </w:rPr>
        <w:t>中的章节、句段；投标文件应采用文字加图片或图形描述的方式对标的物进行必要的、详尽的说明；</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7</w:t>
      </w:r>
      <w:r>
        <w:rPr>
          <w:rFonts w:hint="eastAsia" w:ascii="宋体" w:hAnsi="宋体" w:cs="宋体"/>
          <w:color w:val="auto"/>
          <w:sz w:val="28"/>
          <w:szCs w:val="28"/>
        </w:rPr>
        <w:t>）产品技术和商务指标偏差表；</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8</w:t>
      </w:r>
      <w:r>
        <w:rPr>
          <w:rFonts w:hint="eastAsia" w:ascii="宋体" w:hAnsi="宋体" w:cs="宋体"/>
          <w:color w:val="auto"/>
          <w:sz w:val="28"/>
          <w:szCs w:val="28"/>
        </w:rPr>
        <w:t>）产品服务方案；</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9</w:t>
      </w:r>
      <w:r>
        <w:rPr>
          <w:rFonts w:hint="eastAsia" w:ascii="宋体" w:hAnsi="宋体" w:cs="宋体"/>
          <w:color w:val="auto"/>
          <w:sz w:val="28"/>
          <w:szCs w:val="28"/>
        </w:rPr>
        <w:t>）产品销售授权书或代理证书（如系代理公司的）；</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10)</w:t>
      </w:r>
      <w:r>
        <w:rPr>
          <w:rFonts w:hint="eastAsia" w:ascii="宋体" w:hAnsi="宋体" w:cs="宋体"/>
          <w:color w:val="auto"/>
          <w:sz w:val="28"/>
          <w:szCs w:val="28"/>
        </w:rPr>
        <w:t xml:space="preserve"> 产品质量、工期、安全、管理及售后服务承诺书；</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11</w:t>
      </w:r>
      <w:r>
        <w:rPr>
          <w:rFonts w:hint="eastAsia" w:ascii="宋体" w:hAnsi="宋体" w:cs="宋体"/>
          <w:color w:val="auto"/>
          <w:sz w:val="28"/>
          <w:szCs w:val="28"/>
        </w:rPr>
        <w:t>）产品质量检测报告、质保、认证等证书；</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12</w:t>
      </w:r>
      <w:r>
        <w:rPr>
          <w:rFonts w:hint="eastAsia" w:ascii="宋体" w:hAnsi="宋体" w:cs="宋体"/>
          <w:color w:val="auto"/>
          <w:sz w:val="28"/>
          <w:szCs w:val="28"/>
        </w:rPr>
        <w:t>）投标单位或产品或服务近三年相关业绩证明材料（</w:t>
      </w:r>
      <w:r>
        <w:rPr>
          <w:rFonts w:hint="eastAsia" w:ascii="宋体" w:hAnsi="宋体" w:cs="宋体"/>
          <w:color w:val="auto"/>
          <w:sz w:val="28"/>
          <w:szCs w:val="28"/>
          <w:lang w:val="en-US" w:eastAsia="zh-CN"/>
        </w:rPr>
        <w:t>提供</w:t>
      </w:r>
      <w:r>
        <w:rPr>
          <w:rFonts w:hint="eastAsia" w:ascii="宋体" w:hAnsi="宋体" w:cs="宋体"/>
          <w:color w:val="auto"/>
          <w:sz w:val="28"/>
          <w:szCs w:val="28"/>
        </w:rPr>
        <w:t>合同</w:t>
      </w:r>
      <w:r>
        <w:rPr>
          <w:rFonts w:hint="eastAsia" w:ascii="宋体" w:hAnsi="宋体" w:cs="宋体"/>
          <w:color w:val="auto"/>
          <w:sz w:val="28"/>
          <w:szCs w:val="28"/>
          <w:lang w:val="en-US" w:eastAsia="zh-CN"/>
        </w:rPr>
        <w:t>复印件加盖公章</w:t>
      </w:r>
      <w:r>
        <w:rPr>
          <w:rFonts w:hint="eastAsia" w:ascii="宋体" w:hAnsi="宋体" w:cs="宋体"/>
          <w:color w:val="auto"/>
          <w:sz w:val="28"/>
          <w:szCs w:val="28"/>
        </w:rPr>
        <w:t>，</w:t>
      </w:r>
      <w:r>
        <w:rPr>
          <w:rFonts w:hint="eastAsia" w:ascii="宋体" w:hAnsi="宋体" w:cs="宋体"/>
          <w:color w:val="auto"/>
          <w:sz w:val="28"/>
          <w:szCs w:val="28"/>
          <w:lang w:val="en-US" w:eastAsia="zh-CN"/>
        </w:rPr>
        <w:t>原件备查</w:t>
      </w:r>
      <w:r>
        <w:rPr>
          <w:rFonts w:hint="eastAsia" w:ascii="宋体" w:hAnsi="宋体" w:cs="宋体"/>
          <w:color w:val="auto"/>
          <w:sz w:val="28"/>
          <w:szCs w:val="28"/>
        </w:rPr>
        <w:t>）；</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13</w:t>
      </w:r>
      <w:r>
        <w:rPr>
          <w:rFonts w:hint="eastAsia" w:ascii="宋体" w:hAnsi="宋体" w:cs="宋体"/>
          <w:color w:val="auto"/>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14</w:t>
      </w:r>
      <w:r>
        <w:rPr>
          <w:rFonts w:hint="eastAsia" w:ascii="宋体" w:hAnsi="宋体" w:cs="宋体"/>
          <w:color w:val="auto"/>
          <w:sz w:val="28"/>
          <w:szCs w:val="28"/>
        </w:rPr>
        <w:t>）</w:t>
      </w:r>
      <w:r>
        <w:rPr>
          <w:rFonts w:hint="eastAsia" w:ascii="宋体" w:hAnsi="宋体" w:cs="宋体"/>
          <w:color w:val="auto"/>
          <w:sz w:val="28"/>
          <w:szCs w:val="28"/>
          <w:lang w:val="en-US" w:eastAsia="zh-CN"/>
        </w:rPr>
        <w:t>磋商</w:t>
      </w:r>
      <w:r>
        <w:rPr>
          <w:rFonts w:hint="eastAsia" w:ascii="宋体" w:hAnsi="宋体" w:cs="宋体"/>
          <w:color w:val="auto"/>
          <w:sz w:val="28"/>
          <w:szCs w:val="28"/>
        </w:rPr>
        <w:t>文件规定或投标人对照评标办法的得分因素以及附件</w:t>
      </w:r>
      <w:r>
        <w:rPr>
          <w:rFonts w:ascii="宋体" w:hAnsi="宋体" w:cs="宋体"/>
          <w:color w:val="auto"/>
          <w:sz w:val="28"/>
          <w:szCs w:val="28"/>
        </w:rPr>
        <w:t>1</w:t>
      </w:r>
      <w:r>
        <w:rPr>
          <w:rFonts w:hint="eastAsia" w:ascii="宋体" w:hAnsi="宋体" w:cs="宋体"/>
          <w:color w:val="auto"/>
          <w:sz w:val="28"/>
          <w:szCs w:val="28"/>
        </w:rPr>
        <w:t>相关要求认为应提交的其他资料和文件。</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15</w:t>
      </w:r>
      <w:r>
        <w:rPr>
          <w:rFonts w:hint="eastAsia" w:ascii="宋体" w:hAnsi="宋体" w:cs="宋体"/>
          <w:color w:val="auto"/>
          <w:sz w:val="28"/>
          <w:szCs w:val="28"/>
        </w:rPr>
        <w:t>）</w:t>
      </w:r>
      <w:r>
        <w:rPr>
          <w:rFonts w:hint="eastAsia"/>
          <w:color w:val="auto"/>
          <w:sz w:val="28"/>
          <w:szCs w:val="28"/>
        </w:rPr>
        <w:t>投标人必须投本标书所有标段的设备，不允许分标段投标；标书中服务器标段必须满足所有参数要求，其余标段标</w:t>
      </w:r>
      <w:r>
        <w:rPr>
          <w:rFonts w:hint="eastAsia" w:ascii="宋体" w:hAnsi="宋体" w:cs="Arial"/>
          <w:color w:val="auto"/>
          <w:kern w:val="0"/>
          <w:sz w:val="18"/>
          <w:szCs w:val="18"/>
        </w:rPr>
        <w:t>★</w:t>
      </w:r>
      <w:r>
        <w:rPr>
          <w:rFonts w:hint="eastAsia"/>
          <w:color w:val="auto"/>
          <w:sz w:val="28"/>
          <w:szCs w:val="28"/>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color w:val="auto"/>
          <w:sz w:val="28"/>
          <w:szCs w:val="28"/>
        </w:rPr>
      </w:pPr>
      <w:r>
        <w:rPr>
          <w:rFonts w:ascii="宋体" w:hAnsi="宋体" w:cs="宋体"/>
          <w:color w:val="auto"/>
          <w:sz w:val="28"/>
          <w:szCs w:val="28"/>
        </w:rPr>
        <w:t>6.</w:t>
      </w:r>
      <w:r>
        <w:rPr>
          <w:rFonts w:hint="eastAsia" w:ascii="宋体" w:hAnsi="宋体" w:cs="宋体"/>
          <w:color w:val="auto"/>
          <w:sz w:val="28"/>
          <w:szCs w:val="28"/>
        </w:rPr>
        <w:t>投标人在投标文件中应承诺对如下内容已完全理解，如不承诺，视为认可：</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）在参与我校相关项目的招投标活动中，遵纪守法，诚信经营，公平竞争；</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3</w:t>
      </w:r>
      <w:r>
        <w:rPr>
          <w:rFonts w:hint="eastAsia" w:ascii="宋体" w:hAnsi="宋体" w:cs="宋体"/>
          <w:color w:val="auto"/>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4</w:t>
      </w:r>
      <w:r>
        <w:rPr>
          <w:rFonts w:hint="eastAsia" w:ascii="宋体" w:hAnsi="宋体" w:cs="宋体"/>
          <w:color w:val="auto"/>
          <w:sz w:val="28"/>
          <w:szCs w:val="28"/>
        </w:rPr>
        <w:t>）不采取不正当手段诋毁、排挤其他投标人；</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5</w:t>
      </w:r>
      <w:r>
        <w:rPr>
          <w:rFonts w:hint="eastAsia" w:ascii="宋体" w:hAnsi="宋体" w:cs="宋体"/>
          <w:color w:val="auto"/>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6</w:t>
      </w:r>
      <w:r>
        <w:rPr>
          <w:rFonts w:hint="eastAsia" w:ascii="宋体" w:hAnsi="宋体" w:cs="宋体"/>
          <w:color w:val="auto"/>
          <w:sz w:val="28"/>
          <w:szCs w:val="28"/>
        </w:rPr>
        <w:t>）本项目的中标单位由本校评标专家组按规定程序确定（采用“评定分离”制的项目除外）；</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7</w:t>
      </w:r>
      <w:r>
        <w:rPr>
          <w:rFonts w:hint="eastAsia" w:ascii="宋体" w:hAnsi="宋体" w:cs="宋体"/>
          <w:color w:val="auto"/>
          <w:sz w:val="28"/>
          <w:szCs w:val="28"/>
        </w:rPr>
        <w:t>）未能中标单位，本校对其原因不作解释；</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8</w:t>
      </w:r>
      <w:r>
        <w:rPr>
          <w:rFonts w:hint="eastAsia" w:ascii="宋体" w:hAnsi="宋体" w:cs="宋体"/>
          <w:color w:val="auto"/>
          <w:sz w:val="28"/>
          <w:szCs w:val="28"/>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color w:val="auto"/>
          <w:sz w:val="28"/>
          <w:szCs w:val="28"/>
        </w:rPr>
      </w:pPr>
      <w:bookmarkStart w:id="5" w:name="_Hlk9866206"/>
      <w:r>
        <w:rPr>
          <w:rFonts w:hint="eastAsia" w:ascii="黑体" w:hAnsi="黑体" w:eastAsia="黑体" w:cs="宋体"/>
          <w:color w:val="auto"/>
          <w:sz w:val="28"/>
          <w:szCs w:val="28"/>
        </w:rPr>
        <w:t>四、开标程序</w:t>
      </w:r>
    </w:p>
    <w:bookmarkEnd w:id="5"/>
    <w:p>
      <w:pPr>
        <w:spacing w:line="360" w:lineRule="auto"/>
        <w:ind w:firstLine="548" w:firstLineChars="196"/>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lang w:val="en-US" w:eastAsia="zh-CN"/>
        </w:rPr>
        <w:t>磋商</w:t>
      </w:r>
      <w:r>
        <w:rPr>
          <w:rFonts w:hint="eastAsia" w:ascii="宋体" w:hAnsi="宋体" w:cs="宋体"/>
          <w:color w:val="auto"/>
          <w:sz w:val="28"/>
          <w:szCs w:val="28"/>
        </w:rPr>
        <w:t>文件给出评标办法（见附件</w:t>
      </w:r>
      <w:r>
        <w:rPr>
          <w:rFonts w:ascii="宋体" w:hAnsi="宋体" w:cs="宋体"/>
          <w:color w:val="auto"/>
          <w:sz w:val="28"/>
          <w:szCs w:val="28"/>
        </w:rPr>
        <w:t>5</w:t>
      </w:r>
      <w:r>
        <w:rPr>
          <w:rFonts w:hint="eastAsia" w:ascii="宋体" w:hAnsi="宋体" w:cs="宋体"/>
          <w:color w:val="auto"/>
          <w:sz w:val="28"/>
          <w:szCs w:val="28"/>
        </w:rPr>
        <w:t>）</w:t>
      </w:r>
      <w:r>
        <w:rPr>
          <w:rFonts w:ascii="宋体" w:cs="宋体"/>
          <w:color w:val="auto"/>
          <w:sz w:val="28"/>
          <w:szCs w:val="28"/>
        </w:rPr>
        <w:t>,</w:t>
      </w:r>
      <w:r>
        <w:rPr>
          <w:rFonts w:hint="eastAsia" w:ascii="宋体" w:hAnsi="宋体" w:cs="宋体"/>
          <w:color w:val="auto"/>
          <w:sz w:val="28"/>
          <w:szCs w:val="28"/>
        </w:rPr>
        <w:t>供投标人和评标专家组参考。</w:t>
      </w:r>
    </w:p>
    <w:p>
      <w:pPr>
        <w:spacing w:line="360" w:lineRule="auto"/>
        <w:ind w:firstLine="548" w:firstLineChars="196"/>
        <w:rPr>
          <w:rFonts w:asci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rPr>
      </w:pPr>
      <w:r>
        <w:rPr>
          <w:rFonts w:ascii="宋体" w:hAnsi="宋体" w:cs="宋体"/>
          <w:color w:val="auto"/>
          <w:sz w:val="28"/>
          <w:szCs w:val="28"/>
        </w:rPr>
        <w:t>3.</w:t>
      </w:r>
      <w:r>
        <w:rPr>
          <w:rFonts w:hint="eastAsia" w:ascii="宋体" w:hAnsi="宋体" w:cs="宋体"/>
          <w:color w:val="auto"/>
          <w:sz w:val="28"/>
          <w:szCs w:val="28"/>
        </w:rPr>
        <w:t>由招标办根据政府和行业相关规定，以及招标工作经验，在起草</w:t>
      </w:r>
      <w:r>
        <w:rPr>
          <w:rFonts w:hint="eastAsia" w:ascii="宋体" w:hAnsi="宋体" w:cs="宋体"/>
          <w:color w:val="auto"/>
          <w:sz w:val="28"/>
          <w:szCs w:val="28"/>
          <w:lang w:val="en-US" w:eastAsia="zh-CN"/>
        </w:rPr>
        <w:t>磋商</w:t>
      </w:r>
      <w:r>
        <w:rPr>
          <w:rFonts w:hint="eastAsia" w:ascii="宋体" w:hAnsi="宋体" w:cs="宋体"/>
          <w:color w:val="auto"/>
          <w:sz w:val="28"/>
          <w:szCs w:val="28"/>
        </w:rPr>
        <w:t>文件时提出建议评标办法。</w:t>
      </w:r>
      <w:r>
        <w:rPr>
          <w:rFonts w:hint="eastAsia" w:ascii="宋体" w:hAnsi="宋体" w:cs="宋体"/>
          <w:color w:val="auto"/>
          <w:sz w:val="28"/>
          <w:szCs w:val="28"/>
          <w:lang w:val="en-US" w:eastAsia="zh-CN"/>
        </w:rPr>
        <w:t>磋商</w:t>
      </w:r>
      <w:r>
        <w:rPr>
          <w:rFonts w:hint="eastAsia" w:ascii="宋体" w:hAnsi="宋体" w:cs="宋体"/>
          <w:color w:val="auto"/>
          <w:sz w:val="28"/>
          <w:szCs w:val="28"/>
        </w:rPr>
        <w:t>文件传阅过程中，相关部门可对建议评标办法提出修改意见。投标人也可以在答疑过程中对评标办法提出修改建议。经过上述程序确定</w:t>
      </w:r>
      <w:r>
        <w:rPr>
          <w:rFonts w:hint="eastAsia" w:ascii="宋体" w:hAnsi="宋体" w:cs="宋体"/>
          <w:color w:val="auto"/>
          <w:sz w:val="28"/>
          <w:szCs w:val="28"/>
          <w:lang w:val="en-US" w:eastAsia="zh-CN"/>
        </w:rPr>
        <w:t>磋商</w:t>
      </w:r>
      <w:r>
        <w:rPr>
          <w:rFonts w:hint="eastAsia" w:ascii="宋体" w:hAnsi="宋体" w:cs="宋体"/>
          <w:color w:val="auto"/>
          <w:sz w:val="28"/>
          <w:szCs w:val="28"/>
        </w:rPr>
        <w:t>文件和评标办法。</w:t>
      </w:r>
    </w:p>
    <w:p>
      <w:pPr>
        <w:spacing w:line="360" w:lineRule="auto"/>
        <w:ind w:firstLine="548" w:firstLineChars="196"/>
        <w:rPr>
          <w:rFonts w:ascii="宋体" w:cs="宋体"/>
          <w:color w:val="auto"/>
          <w:sz w:val="28"/>
          <w:szCs w:val="28"/>
        </w:rPr>
      </w:pPr>
      <w:r>
        <w:rPr>
          <w:rFonts w:ascii="宋体" w:hAnsi="宋体" w:cs="宋体"/>
          <w:color w:val="auto"/>
          <w:sz w:val="28"/>
          <w:szCs w:val="28"/>
        </w:rPr>
        <w:t>4.</w:t>
      </w:r>
      <w:r>
        <w:rPr>
          <w:rFonts w:hint="eastAsia" w:ascii="宋体" w:hAnsi="宋体" w:cs="宋体"/>
          <w:color w:val="auto"/>
          <w:sz w:val="28"/>
          <w:szCs w:val="28"/>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color w:val="auto"/>
          <w:sz w:val="28"/>
          <w:szCs w:val="28"/>
        </w:rPr>
      </w:pPr>
      <w:r>
        <w:rPr>
          <w:rFonts w:ascii="宋体" w:hAnsi="宋体" w:cs="宋体"/>
          <w:color w:val="auto"/>
          <w:sz w:val="28"/>
          <w:szCs w:val="28"/>
        </w:rPr>
        <w:t>5.</w:t>
      </w:r>
      <w:r>
        <w:rPr>
          <w:rFonts w:hint="eastAsia" w:ascii="宋体" w:hAnsi="宋体" w:cs="宋体"/>
          <w:color w:val="auto"/>
          <w:sz w:val="28"/>
          <w:szCs w:val="28"/>
        </w:rPr>
        <w:t>评标专家组按照确定的评标办法，根据投标人核心指标和非核心指标满足情况、报价、样品（有的项目有样品）、工作方案设计、产品或服务质量以及满足</w:t>
      </w:r>
      <w:r>
        <w:rPr>
          <w:rFonts w:hint="eastAsia" w:ascii="宋体" w:hAnsi="宋体" w:cs="宋体"/>
          <w:color w:val="auto"/>
          <w:sz w:val="28"/>
          <w:szCs w:val="28"/>
          <w:lang w:val="en-US" w:eastAsia="zh-CN"/>
        </w:rPr>
        <w:t>磋商</w:t>
      </w:r>
      <w:r>
        <w:rPr>
          <w:rFonts w:hint="eastAsia" w:ascii="宋体" w:hAnsi="宋体" w:cs="宋体"/>
          <w:color w:val="auto"/>
          <w:sz w:val="28"/>
          <w:szCs w:val="28"/>
        </w:rPr>
        <w:t>文件要求的程度、业绩、服务承诺等因素公正、独立综合打分和综合排序，确定拟中标单位。</w:t>
      </w:r>
    </w:p>
    <w:p>
      <w:pPr>
        <w:spacing w:line="360" w:lineRule="auto"/>
        <w:ind w:firstLine="560" w:firstLineChars="200"/>
        <w:rPr>
          <w:rFonts w:ascii="宋体" w:cs="宋体"/>
          <w:color w:val="auto"/>
          <w:sz w:val="28"/>
          <w:szCs w:val="28"/>
        </w:rPr>
      </w:pPr>
      <w:r>
        <w:rPr>
          <w:rFonts w:hint="eastAsia" w:ascii="宋体" w:hAnsi="宋体" w:cs="宋体"/>
          <w:color w:val="auto"/>
          <w:sz w:val="28"/>
          <w:szCs w:val="28"/>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color w:val="auto"/>
          <w:sz w:val="28"/>
          <w:szCs w:val="28"/>
        </w:rPr>
      </w:pPr>
      <w:r>
        <w:rPr>
          <w:rFonts w:ascii="宋体" w:hAnsi="宋体" w:cs="宋体"/>
          <w:color w:val="auto"/>
          <w:sz w:val="28"/>
          <w:szCs w:val="28"/>
        </w:rPr>
        <w:t>6.</w:t>
      </w:r>
      <w:r>
        <w:rPr>
          <w:rFonts w:hint="eastAsia" w:ascii="宋体" w:hAnsi="宋体" w:cs="宋体"/>
          <w:color w:val="auto"/>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）投标文件中的大写金额与小写金额不一致的，以大写金额为准；正本和副本不一致的，以正本为准。</w:t>
      </w:r>
    </w:p>
    <w:p>
      <w:pPr>
        <w:spacing w:line="360" w:lineRule="auto"/>
        <w:ind w:firstLine="548" w:firstLineChars="196"/>
        <w:rPr>
          <w:rFonts w:asci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color w:val="auto"/>
          <w:sz w:val="28"/>
          <w:szCs w:val="28"/>
        </w:rPr>
      </w:pPr>
      <w:r>
        <w:rPr>
          <w:rFonts w:ascii="宋体" w:hAnsi="宋体" w:cs="宋体"/>
          <w:color w:val="auto"/>
          <w:sz w:val="28"/>
          <w:szCs w:val="28"/>
        </w:rPr>
        <w:t>7.</w:t>
      </w:r>
      <w:r>
        <w:rPr>
          <w:rFonts w:hint="eastAsia" w:ascii="宋体" w:hAnsi="宋体" w:cs="宋体"/>
          <w:color w:val="auto"/>
          <w:sz w:val="28"/>
          <w:szCs w:val="28"/>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color w:val="auto"/>
          <w:sz w:val="28"/>
          <w:szCs w:val="28"/>
        </w:rPr>
      </w:pPr>
      <w:r>
        <w:rPr>
          <w:rFonts w:hint="eastAsia" w:ascii="黑体" w:hAnsi="黑体" w:eastAsia="黑体" w:cs="宋体"/>
          <w:color w:val="auto"/>
          <w:sz w:val="28"/>
          <w:szCs w:val="28"/>
        </w:rPr>
        <w:t>五、无效投标</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投标文件出现下列情形的，将作为无效投标文件，不得进入评标：</w:t>
      </w:r>
    </w:p>
    <w:p>
      <w:pPr>
        <w:spacing w:line="360" w:lineRule="auto"/>
        <w:ind w:firstLine="548" w:firstLineChars="196"/>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投标文件未按照</w:t>
      </w:r>
      <w:r>
        <w:rPr>
          <w:rFonts w:hint="eastAsia" w:ascii="宋体" w:hAnsi="宋体" w:cs="宋体"/>
          <w:color w:val="auto"/>
          <w:sz w:val="28"/>
          <w:szCs w:val="28"/>
          <w:lang w:val="en-US" w:eastAsia="zh-CN"/>
        </w:rPr>
        <w:t>磋商</w:t>
      </w:r>
      <w:r>
        <w:rPr>
          <w:rFonts w:hint="eastAsia" w:ascii="宋体" w:hAnsi="宋体" w:cs="宋体"/>
          <w:color w:val="auto"/>
          <w:sz w:val="28"/>
          <w:szCs w:val="28"/>
        </w:rPr>
        <w:t>文件的要求予以密封的；</w:t>
      </w:r>
    </w:p>
    <w:p>
      <w:pPr>
        <w:spacing w:line="360" w:lineRule="auto"/>
        <w:ind w:firstLine="548" w:firstLineChars="196"/>
        <w:rPr>
          <w:rFonts w:asci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color w:val="auto"/>
          <w:sz w:val="28"/>
          <w:szCs w:val="28"/>
        </w:rPr>
      </w:pPr>
      <w:r>
        <w:rPr>
          <w:rFonts w:ascii="宋体" w:hAnsi="宋体" w:cs="宋体"/>
          <w:color w:val="auto"/>
          <w:sz w:val="28"/>
          <w:szCs w:val="28"/>
        </w:rPr>
        <w:t>3.</w:t>
      </w:r>
      <w:r>
        <w:rPr>
          <w:rFonts w:hint="eastAsia" w:ascii="宋体" w:hAnsi="宋体" w:cs="宋体"/>
          <w:color w:val="auto"/>
          <w:sz w:val="28"/>
          <w:szCs w:val="28"/>
        </w:rPr>
        <w:t>投标文件少项漏项，或关键内容字迹模糊、无法辨认的；</w:t>
      </w:r>
    </w:p>
    <w:p>
      <w:pPr>
        <w:spacing w:line="360" w:lineRule="auto"/>
        <w:ind w:firstLine="548" w:firstLineChars="196"/>
        <w:rPr>
          <w:rFonts w:ascii="宋体" w:cs="宋体"/>
          <w:color w:val="auto"/>
          <w:sz w:val="28"/>
          <w:szCs w:val="28"/>
        </w:rPr>
      </w:pPr>
      <w:r>
        <w:rPr>
          <w:rFonts w:ascii="宋体" w:hAnsi="宋体" w:cs="宋体"/>
          <w:color w:val="auto"/>
          <w:sz w:val="28"/>
          <w:szCs w:val="28"/>
        </w:rPr>
        <w:t>4.</w:t>
      </w:r>
      <w:r>
        <w:rPr>
          <w:rFonts w:hint="eastAsia" w:ascii="宋体" w:hAnsi="宋体" w:cs="宋体"/>
          <w:color w:val="auto"/>
          <w:sz w:val="28"/>
          <w:szCs w:val="28"/>
        </w:rPr>
        <w:t>有</w:t>
      </w:r>
      <w:r>
        <w:rPr>
          <w:rFonts w:ascii="宋体" w:hAnsi="宋体" w:cs="宋体"/>
          <w:color w:val="auto"/>
          <w:sz w:val="28"/>
          <w:szCs w:val="28"/>
        </w:rPr>
        <w:t>1</w:t>
      </w:r>
      <w:r>
        <w:rPr>
          <w:rFonts w:hint="eastAsia" w:ascii="宋体" w:hAnsi="宋体" w:cs="宋体"/>
          <w:color w:val="auto"/>
          <w:sz w:val="28"/>
          <w:szCs w:val="28"/>
        </w:rPr>
        <w:t>个核心指标未能满足的；</w:t>
      </w:r>
    </w:p>
    <w:p>
      <w:pPr>
        <w:spacing w:line="360" w:lineRule="auto"/>
        <w:ind w:firstLine="548" w:firstLineChars="196"/>
        <w:rPr>
          <w:rFonts w:ascii="宋体" w:cs="宋体"/>
          <w:color w:val="auto"/>
          <w:sz w:val="28"/>
          <w:szCs w:val="28"/>
        </w:rPr>
      </w:pPr>
      <w:r>
        <w:rPr>
          <w:rFonts w:ascii="宋体" w:hAnsi="宋体" w:cs="宋体"/>
          <w:color w:val="auto"/>
          <w:sz w:val="28"/>
          <w:szCs w:val="28"/>
        </w:rPr>
        <w:t>5.</w:t>
      </w:r>
      <w:r>
        <w:rPr>
          <w:rFonts w:hint="eastAsia" w:ascii="宋体" w:hAnsi="宋体" w:cs="宋体"/>
          <w:color w:val="auto"/>
          <w:sz w:val="28"/>
          <w:szCs w:val="28"/>
        </w:rPr>
        <w:t>投标单位提供的服务未能响应</w:t>
      </w:r>
      <w:r>
        <w:rPr>
          <w:rFonts w:hint="eastAsia" w:ascii="宋体" w:hAnsi="宋体" w:cs="宋体"/>
          <w:color w:val="auto"/>
          <w:sz w:val="28"/>
          <w:szCs w:val="28"/>
          <w:lang w:val="en-US" w:eastAsia="zh-CN"/>
        </w:rPr>
        <w:t>磋商</w:t>
      </w:r>
      <w:r>
        <w:rPr>
          <w:rFonts w:hint="eastAsia" w:ascii="宋体" w:hAnsi="宋体" w:cs="宋体"/>
          <w:color w:val="auto"/>
          <w:sz w:val="28"/>
          <w:szCs w:val="28"/>
        </w:rPr>
        <w:t>文件要求的，或服务不能满足招标要求的，或不符合</w:t>
      </w:r>
      <w:r>
        <w:rPr>
          <w:rFonts w:hint="eastAsia" w:ascii="宋体" w:hAnsi="宋体" w:cs="宋体"/>
          <w:color w:val="auto"/>
          <w:sz w:val="28"/>
          <w:szCs w:val="28"/>
          <w:lang w:val="en-US" w:eastAsia="zh-CN"/>
        </w:rPr>
        <w:t>磋商</w:t>
      </w:r>
      <w:r>
        <w:rPr>
          <w:rFonts w:hint="eastAsia" w:ascii="宋体" w:hAnsi="宋体" w:cs="宋体"/>
          <w:color w:val="auto"/>
          <w:sz w:val="28"/>
          <w:szCs w:val="28"/>
        </w:rPr>
        <w:t>文件规定的其他实质性要求的，或投标文件附有招标人不能接受的条件的；</w:t>
      </w:r>
    </w:p>
    <w:p>
      <w:pPr>
        <w:spacing w:line="360" w:lineRule="auto"/>
        <w:ind w:firstLine="548" w:firstLineChars="196"/>
        <w:rPr>
          <w:rFonts w:ascii="宋体" w:cs="宋体"/>
          <w:color w:val="auto"/>
          <w:sz w:val="28"/>
          <w:szCs w:val="28"/>
        </w:rPr>
      </w:pPr>
      <w:r>
        <w:rPr>
          <w:rFonts w:ascii="宋体" w:hAnsi="宋体" w:cs="宋体"/>
          <w:color w:val="auto"/>
          <w:sz w:val="28"/>
          <w:szCs w:val="28"/>
        </w:rPr>
        <w:t>6.</w:t>
      </w:r>
      <w:r>
        <w:rPr>
          <w:rFonts w:hint="eastAsia" w:ascii="宋体" w:hAnsi="宋体" w:cs="宋体"/>
          <w:color w:val="auto"/>
          <w:sz w:val="28"/>
          <w:szCs w:val="28"/>
        </w:rPr>
        <w:t>技术指标响应内容未按照</w:t>
      </w:r>
      <w:r>
        <w:rPr>
          <w:rFonts w:hint="eastAsia" w:ascii="宋体" w:hAnsi="宋体" w:cs="宋体"/>
          <w:color w:val="auto"/>
          <w:sz w:val="28"/>
          <w:szCs w:val="28"/>
          <w:lang w:val="en-US" w:eastAsia="zh-CN"/>
        </w:rPr>
        <w:t>磋商</w:t>
      </w:r>
      <w:r>
        <w:rPr>
          <w:rFonts w:hint="eastAsia" w:ascii="宋体" w:hAnsi="宋体" w:cs="宋体"/>
          <w:color w:val="auto"/>
          <w:sz w:val="28"/>
          <w:szCs w:val="28"/>
        </w:rPr>
        <w:t>文件附件</w:t>
      </w:r>
      <w:r>
        <w:rPr>
          <w:rFonts w:ascii="宋体" w:hAnsi="宋体" w:cs="宋体"/>
          <w:color w:val="auto"/>
          <w:sz w:val="28"/>
          <w:szCs w:val="28"/>
        </w:rPr>
        <w:t>1</w:t>
      </w:r>
      <w:r>
        <w:rPr>
          <w:rFonts w:hint="eastAsia" w:ascii="宋体" w:hAnsi="宋体" w:cs="宋体"/>
          <w:color w:val="auto"/>
          <w:sz w:val="28"/>
          <w:szCs w:val="28"/>
        </w:rPr>
        <w:t>中的章节顺序依次逐条响应；投标文件未采用文字加图片或图形描述的方式对货物进行必要的、详尽的说明，原封不动地引用</w:t>
      </w:r>
      <w:r>
        <w:rPr>
          <w:rFonts w:hint="eastAsia" w:ascii="宋体" w:hAnsi="宋体" w:cs="宋体"/>
          <w:color w:val="auto"/>
          <w:sz w:val="28"/>
          <w:szCs w:val="28"/>
          <w:lang w:val="en-US" w:eastAsia="zh-CN"/>
        </w:rPr>
        <w:t>磋商</w:t>
      </w:r>
      <w:r>
        <w:rPr>
          <w:rFonts w:hint="eastAsia" w:ascii="宋体" w:hAnsi="宋体" w:cs="宋体"/>
          <w:color w:val="auto"/>
          <w:sz w:val="28"/>
          <w:szCs w:val="28"/>
        </w:rPr>
        <w:t>文件附件</w:t>
      </w:r>
      <w:r>
        <w:rPr>
          <w:rFonts w:ascii="宋体" w:hAnsi="宋体" w:cs="宋体"/>
          <w:color w:val="auto"/>
          <w:sz w:val="28"/>
          <w:szCs w:val="28"/>
        </w:rPr>
        <w:t>1</w:t>
      </w:r>
      <w:r>
        <w:rPr>
          <w:rFonts w:hint="eastAsia" w:ascii="宋体" w:hAnsi="宋体" w:cs="宋体"/>
          <w:color w:val="auto"/>
          <w:sz w:val="28"/>
          <w:szCs w:val="28"/>
        </w:rPr>
        <w:t>中的章节、句段的；</w:t>
      </w:r>
    </w:p>
    <w:p>
      <w:pPr>
        <w:spacing w:line="360" w:lineRule="auto"/>
        <w:ind w:firstLine="548" w:firstLineChars="196"/>
        <w:rPr>
          <w:rFonts w:ascii="宋体" w:cs="宋体"/>
          <w:color w:val="auto"/>
          <w:sz w:val="28"/>
          <w:szCs w:val="28"/>
        </w:rPr>
      </w:pPr>
      <w:r>
        <w:rPr>
          <w:rFonts w:ascii="宋体" w:hAnsi="宋体" w:cs="宋体"/>
          <w:color w:val="auto"/>
          <w:sz w:val="28"/>
          <w:szCs w:val="28"/>
        </w:rPr>
        <w:t>7.</w:t>
      </w:r>
      <w:r>
        <w:rPr>
          <w:rFonts w:hint="eastAsia" w:ascii="宋体" w:hAnsi="宋体" w:cs="宋体"/>
          <w:color w:val="auto"/>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color w:val="auto"/>
          <w:sz w:val="28"/>
          <w:szCs w:val="28"/>
        </w:rPr>
      </w:pPr>
      <w:r>
        <w:rPr>
          <w:rFonts w:ascii="宋体" w:hAnsi="宋体" w:cs="宋体"/>
          <w:color w:val="auto"/>
          <w:sz w:val="28"/>
          <w:szCs w:val="28"/>
        </w:rPr>
        <w:t>8.</w:t>
      </w:r>
      <w:r>
        <w:rPr>
          <w:rFonts w:hint="eastAsia" w:ascii="宋体" w:hAnsi="宋体" w:cs="宋体"/>
          <w:color w:val="auto"/>
          <w:sz w:val="28"/>
          <w:szCs w:val="28"/>
        </w:rPr>
        <w:t>报价超过预算金额，或以人民币之外的币种报价的；</w:t>
      </w:r>
    </w:p>
    <w:p>
      <w:pPr>
        <w:spacing w:line="360" w:lineRule="auto"/>
        <w:ind w:firstLine="548" w:firstLineChars="196"/>
        <w:rPr>
          <w:rFonts w:ascii="宋体" w:hAnsi="宋体" w:cs="宋体"/>
          <w:b/>
          <w:color w:val="auto"/>
          <w:sz w:val="28"/>
          <w:szCs w:val="28"/>
        </w:rPr>
      </w:pPr>
      <w:r>
        <w:rPr>
          <w:rFonts w:ascii="宋体" w:hAnsi="宋体" w:cs="宋体"/>
          <w:color w:val="auto"/>
          <w:sz w:val="28"/>
          <w:szCs w:val="28"/>
        </w:rPr>
        <w:t>9.</w:t>
      </w:r>
      <w:r>
        <w:rPr>
          <w:rFonts w:hint="eastAsia" w:ascii="宋体" w:hAnsi="宋体" w:cs="宋体"/>
          <w:color w:val="auto"/>
          <w:sz w:val="28"/>
          <w:szCs w:val="28"/>
        </w:rPr>
        <w:t>无</w:t>
      </w:r>
      <w:r>
        <w:rPr>
          <w:rFonts w:ascii="宋体" w:hAnsi="宋体" w:cs="宋体"/>
          <w:color w:val="auto"/>
          <w:sz w:val="28"/>
          <w:szCs w:val="28"/>
        </w:rPr>
        <w:t>300</w:t>
      </w:r>
      <w:r>
        <w:rPr>
          <w:rFonts w:hint="eastAsia" w:ascii="宋体" w:hAnsi="宋体" w:cs="宋体"/>
          <w:color w:val="auto"/>
          <w:sz w:val="28"/>
          <w:szCs w:val="28"/>
        </w:rPr>
        <w:t>元报名资料费银行转账回单复印件的，或报名资料费银行转账回单中无</w:t>
      </w:r>
      <w:r>
        <w:rPr>
          <w:rFonts w:hint="eastAsia" w:ascii="宋体" w:hAnsi="宋体" w:cs="宋体"/>
          <w:b/>
          <w:color w:val="auto"/>
          <w:sz w:val="28"/>
          <w:szCs w:val="28"/>
        </w:rPr>
        <w:t>“SBC2020</w:t>
      </w:r>
      <w:r>
        <w:rPr>
          <w:rFonts w:hint="eastAsia" w:ascii="宋体" w:hAnsi="宋体" w:cs="宋体"/>
          <w:b/>
          <w:color w:val="auto"/>
          <w:sz w:val="28"/>
          <w:szCs w:val="28"/>
          <w:lang w:val="en-US" w:eastAsia="zh-CN"/>
        </w:rPr>
        <w:t>113</w:t>
      </w:r>
      <w:r>
        <w:rPr>
          <w:rFonts w:hint="eastAsia" w:ascii="宋体" w:hAnsi="宋体" w:cs="宋体"/>
          <w:b/>
          <w:color w:val="auto"/>
          <w:sz w:val="28"/>
          <w:szCs w:val="28"/>
        </w:rPr>
        <w:t>资料费”</w:t>
      </w:r>
      <w:r>
        <w:rPr>
          <w:rFonts w:hint="eastAsia" w:ascii="宋体" w:hAnsi="宋体" w:cs="宋体"/>
          <w:color w:val="auto"/>
          <w:sz w:val="28"/>
          <w:szCs w:val="28"/>
        </w:rPr>
        <w:t>字样的；</w:t>
      </w:r>
    </w:p>
    <w:p>
      <w:pPr>
        <w:spacing w:line="360" w:lineRule="auto"/>
        <w:ind w:firstLine="548" w:firstLineChars="196"/>
        <w:rPr>
          <w:color w:val="auto"/>
        </w:rPr>
      </w:pPr>
      <w:r>
        <w:rPr>
          <w:rFonts w:ascii="宋体" w:hAnsi="宋体" w:cs="宋体"/>
          <w:color w:val="auto"/>
          <w:sz w:val="28"/>
          <w:szCs w:val="28"/>
        </w:rPr>
        <w:t>10.</w:t>
      </w:r>
      <w:r>
        <w:rPr>
          <w:rFonts w:hint="eastAsia" w:ascii="宋体" w:hAnsi="宋体" w:cs="宋体"/>
          <w:color w:val="auto"/>
          <w:sz w:val="28"/>
          <w:szCs w:val="28"/>
          <w:lang w:val="en-US" w:eastAsia="zh-CN"/>
        </w:rPr>
        <w:t>磋商</w:t>
      </w:r>
      <w:r>
        <w:rPr>
          <w:rFonts w:hint="eastAsia" w:ascii="宋体" w:hAnsi="宋体" w:cs="宋体"/>
          <w:color w:val="auto"/>
          <w:sz w:val="28"/>
          <w:szCs w:val="28"/>
        </w:rPr>
        <w:t>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color w:val="auto"/>
          <w:sz w:val="28"/>
          <w:szCs w:val="28"/>
        </w:rPr>
      </w:pPr>
      <w:r>
        <w:rPr>
          <w:rFonts w:hint="eastAsia" w:ascii="黑体" w:hAnsi="黑体" w:eastAsia="黑体" w:cs="宋体"/>
          <w:color w:val="auto"/>
          <w:sz w:val="28"/>
          <w:szCs w:val="28"/>
        </w:rPr>
        <w:t>六、评标办法</w:t>
      </w:r>
    </w:p>
    <w:p>
      <w:pPr>
        <w:spacing w:line="360" w:lineRule="auto"/>
        <w:ind w:firstLine="548" w:firstLineChars="196"/>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本着“质量第一、价格合理、服务优异、保障有力”的原则，由采购人、项目归口管理部门和招标办从报价得分、技术、服务、业绩、履约等五个方面提出评标办法（见附件</w:t>
      </w:r>
      <w:r>
        <w:rPr>
          <w:rFonts w:ascii="宋体" w:hAnsi="宋体" w:cs="宋体"/>
          <w:color w:val="auto"/>
          <w:sz w:val="28"/>
          <w:szCs w:val="28"/>
        </w:rPr>
        <w:t>5</w:t>
      </w:r>
      <w:r>
        <w:rPr>
          <w:rFonts w:hint="eastAsia" w:ascii="宋体" w:hAnsi="宋体" w:cs="宋体"/>
          <w:color w:val="auto"/>
          <w:sz w:val="28"/>
          <w:szCs w:val="28"/>
        </w:rPr>
        <w:t>）。</w:t>
      </w:r>
    </w:p>
    <w:p>
      <w:pPr>
        <w:spacing w:line="360" w:lineRule="auto"/>
        <w:ind w:firstLine="548" w:firstLineChars="196"/>
        <w:rPr>
          <w:rFonts w:asci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为保证招标质量，在评标办法中设核心指标。每个分包的核心指标不超过</w:t>
      </w:r>
      <w:r>
        <w:rPr>
          <w:rFonts w:ascii="宋体" w:hAnsi="宋体" w:cs="宋体"/>
          <w:color w:val="auto"/>
          <w:sz w:val="28"/>
          <w:szCs w:val="28"/>
        </w:rPr>
        <w:t>5</w:t>
      </w:r>
      <w:r>
        <w:rPr>
          <w:rFonts w:hint="eastAsia" w:ascii="宋体" w:hAnsi="宋体" w:cs="宋体"/>
          <w:color w:val="auto"/>
          <w:sz w:val="28"/>
          <w:szCs w:val="28"/>
        </w:rPr>
        <w:t>个。</w:t>
      </w:r>
    </w:p>
    <w:p>
      <w:pPr>
        <w:spacing w:before="312" w:beforeLines="100" w:after="312" w:afterLines="100" w:line="360" w:lineRule="auto"/>
        <w:ind w:firstLine="548" w:firstLineChars="196"/>
        <w:jc w:val="center"/>
        <w:rPr>
          <w:rFonts w:ascii="黑体" w:hAnsi="黑体" w:eastAsia="黑体" w:cs="宋体"/>
          <w:color w:val="auto"/>
          <w:sz w:val="28"/>
          <w:szCs w:val="28"/>
        </w:rPr>
      </w:pPr>
      <w:r>
        <w:rPr>
          <w:rFonts w:hint="eastAsia" w:ascii="黑体" w:hAnsi="黑体" w:eastAsia="黑体" w:cs="宋体"/>
          <w:color w:val="auto"/>
          <w:sz w:val="28"/>
          <w:szCs w:val="28"/>
        </w:rPr>
        <w:t>七、合同、履约、验收及结算等事项</w:t>
      </w:r>
    </w:p>
    <w:p>
      <w:pPr>
        <w:spacing w:line="360" w:lineRule="auto"/>
        <w:ind w:firstLine="548" w:firstLineChars="196"/>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合同：</w:t>
      </w:r>
    </w:p>
    <w:p>
      <w:pPr>
        <w:spacing w:line="360" w:lineRule="auto"/>
        <w:ind w:firstLine="548" w:firstLineChars="196"/>
        <w:rPr>
          <w:rFonts w:ascii="宋体" w:hAns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）中标公示结束无异议后</w:t>
      </w:r>
      <w:r>
        <w:rPr>
          <w:rFonts w:ascii="宋体" w:hAnsi="宋体" w:cs="宋体"/>
          <w:color w:val="auto"/>
          <w:sz w:val="28"/>
          <w:szCs w:val="28"/>
        </w:rPr>
        <w:t>5</w:t>
      </w:r>
      <w:r>
        <w:rPr>
          <w:rFonts w:hint="eastAsia" w:ascii="宋体" w:hAnsi="宋体" w:cs="宋体"/>
          <w:color w:val="auto"/>
          <w:sz w:val="28"/>
          <w:szCs w:val="28"/>
        </w:rPr>
        <w:t>个工作日内，中标单位须及时缴纳中标金额10%的履约保证金，并前来我校领取的《中标通知书》（一式二份）。</w:t>
      </w:r>
    </w:p>
    <w:p>
      <w:pPr>
        <w:spacing w:line="360" w:lineRule="auto"/>
        <w:ind w:firstLine="548" w:firstLineChars="196"/>
        <w:rPr>
          <w:rFonts w:ascii="宋体" w:hAns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）中标单位须在接《中标通知书》起</w:t>
      </w:r>
      <w:r>
        <w:rPr>
          <w:rFonts w:ascii="宋体" w:hAnsi="宋体" w:cs="宋体"/>
          <w:color w:val="auto"/>
          <w:sz w:val="28"/>
          <w:szCs w:val="28"/>
        </w:rPr>
        <w:t>7</w:t>
      </w:r>
      <w:r>
        <w:rPr>
          <w:rFonts w:hint="eastAsia" w:ascii="宋体" w:hAnsi="宋体" w:cs="宋体"/>
          <w:color w:val="auto"/>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4"/>
        <w:rPr>
          <w:color w:val="auto"/>
        </w:rPr>
      </w:pPr>
      <w:r>
        <w:rPr>
          <w:rFonts w:hint="eastAsia" w:ascii="宋体" w:hAnsi="宋体" w:cs="宋体"/>
          <w:color w:val="auto"/>
          <w:sz w:val="28"/>
          <w:szCs w:val="28"/>
        </w:rPr>
        <w:t>（3）附件6合同仅为参考样本，最终以通过我校审核后签署的合同为准。</w:t>
      </w:r>
    </w:p>
    <w:p>
      <w:pPr>
        <w:spacing w:line="360" w:lineRule="auto"/>
        <w:ind w:firstLine="548" w:firstLineChars="196"/>
        <w:rPr>
          <w:rFonts w:ascii="宋体" w:hAns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服务地点：南京信息工程大学校内。</w:t>
      </w:r>
    </w:p>
    <w:p>
      <w:pPr>
        <w:spacing w:line="360" w:lineRule="auto"/>
        <w:ind w:firstLine="548" w:firstLineChars="196"/>
        <w:rPr>
          <w:rFonts w:ascii="宋体" w:hAnsi="宋体" w:cs="宋体"/>
          <w:color w:val="auto"/>
          <w:sz w:val="28"/>
          <w:szCs w:val="28"/>
        </w:rPr>
      </w:pPr>
      <w:r>
        <w:rPr>
          <w:rFonts w:ascii="宋体" w:hAnsi="宋体" w:cs="宋体"/>
          <w:color w:val="auto"/>
          <w:sz w:val="28"/>
          <w:szCs w:val="28"/>
        </w:rPr>
        <w:t>3.</w:t>
      </w:r>
      <w:r>
        <w:rPr>
          <w:rFonts w:hint="eastAsia" w:ascii="宋体" w:hAnsi="宋体" w:cs="宋体"/>
          <w:color w:val="auto"/>
          <w:sz w:val="28"/>
          <w:szCs w:val="28"/>
        </w:rPr>
        <w:t>付款方式：</w:t>
      </w:r>
    </w:p>
    <w:p>
      <w:pPr>
        <w:spacing w:line="360" w:lineRule="auto"/>
        <w:ind w:firstLine="548" w:firstLineChars="196"/>
        <w:rPr>
          <w:rFonts w:ascii="宋体" w:hAnsi="宋体" w:cs="宋体"/>
          <w:color w:val="auto"/>
          <w:sz w:val="28"/>
          <w:szCs w:val="28"/>
        </w:rPr>
      </w:pPr>
      <w:r>
        <w:rPr>
          <w:rFonts w:hint="eastAsia" w:ascii="宋体" w:hAnsi="宋体" w:cs="宋体"/>
          <w:color w:val="auto"/>
          <w:sz w:val="28"/>
          <w:szCs w:val="28"/>
        </w:rPr>
        <w:t>针对国内供应货物，签订合同后，</w:t>
      </w:r>
      <w:r>
        <w:rPr>
          <w:rFonts w:hint="eastAsia" w:ascii="宋体" w:hAnsi="宋体" w:cs="宋体"/>
          <w:color w:val="auto"/>
          <w:sz w:val="28"/>
          <w:szCs w:val="28"/>
          <w:highlight w:val="none"/>
          <w:lang w:val="en-US" w:eastAsia="zh-CN"/>
        </w:rPr>
        <w:t>10日内</w:t>
      </w:r>
      <w:r>
        <w:rPr>
          <w:rFonts w:hint="eastAsia" w:ascii="宋体" w:hAnsi="宋体" w:cs="宋体"/>
          <w:color w:val="auto"/>
          <w:sz w:val="28"/>
          <w:szCs w:val="28"/>
          <w:highlight w:val="none"/>
        </w:rPr>
        <w:t>预付合同金额的50%，全部货物交货并最终验收合格后，凭验收凭证和货物验收合格等文件20内支付至合同金额的100%</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质保期满后，经用户单位确认质量、服务无问题的情况下，质量保证金一次性无息退还。具体内容以</w:t>
      </w:r>
      <w:r>
        <w:rPr>
          <w:rFonts w:hint="eastAsia" w:ascii="宋体" w:hAnsi="宋体" w:cs="宋体"/>
          <w:color w:val="auto"/>
          <w:sz w:val="28"/>
          <w:szCs w:val="28"/>
        </w:rPr>
        <w:t>最终签署的合同约定为准。</w:t>
      </w:r>
    </w:p>
    <w:p>
      <w:pPr>
        <w:spacing w:line="360" w:lineRule="auto"/>
        <w:ind w:firstLine="548" w:firstLineChars="196"/>
        <w:rPr>
          <w:rFonts w:ascii="宋体" w:hAnsi="宋体" w:cs="宋体"/>
          <w:color w:val="auto"/>
          <w:sz w:val="28"/>
          <w:szCs w:val="28"/>
        </w:rPr>
      </w:pPr>
      <w:r>
        <w:rPr>
          <w:rFonts w:hint="eastAsia" w:ascii="宋体" w:hAnsi="宋体" w:cs="宋体"/>
          <w:color w:val="auto"/>
          <w:sz w:val="28"/>
          <w:szCs w:val="28"/>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color w:val="auto"/>
          <w:sz w:val="28"/>
          <w:szCs w:val="28"/>
        </w:rPr>
      </w:pPr>
      <w:r>
        <w:rPr>
          <w:rFonts w:ascii="宋体" w:hAnsi="宋体" w:cs="宋体"/>
          <w:color w:val="auto"/>
          <w:sz w:val="28"/>
          <w:szCs w:val="28"/>
        </w:rPr>
        <w:t>4.</w:t>
      </w:r>
      <w:r>
        <w:rPr>
          <w:rFonts w:hint="eastAsia" w:ascii="宋体" w:hAnsi="宋体" w:cs="宋体"/>
          <w:color w:val="auto"/>
          <w:sz w:val="28"/>
          <w:szCs w:val="28"/>
        </w:rPr>
        <w:t>资料费：</w:t>
      </w:r>
      <w:r>
        <w:rPr>
          <w:rFonts w:ascii="宋体" w:hAnsi="宋体" w:cs="宋体"/>
          <w:color w:val="auto"/>
          <w:sz w:val="28"/>
          <w:szCs w:val="28"/>
        </w:rPr>
        <w:t>300</w:t>
      </w:r>
      <w:r>
        <w:rPr>
          <w:rFonts w:hint="eastAsia" w:ascii="宋体" w:hAnsi="宋体" w:cs="宋体"/>
          <w:color w:val="auto"/>
          <w:sz w:val="28"/>
          <w:szCs w:val="28"/>
        </w:rPr>
        <w:t>元</w:t>
      </w:r>
      <w:r>
        <w:rPr>
          <w:rFonts w:ascii="宋体" w:hAnsi="宋体" w:cs="宋体"/>
          <w:color w:val="auto"/>
          <w:sz w:val="28"/>
          <w:szCs w:val="28"/>
        </w:rPr>
        <w:t>/</w:t>
      </w:r>
      <w:r>
        <w:rPr>
          <w:rFonts w:hint="eastAsia" w:ascii="宋体" w:hAnsi="宋体" w:cs="宋体"/>
          <w:color w:val="auto"/>
          <w:sz w:val="28"/>
          <w:szCs w:val="28"/>
        </w:rPr>
        <w:t>家。</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）我校不接收现金或支付宝等方式交费。各投标人务必通过单位银行基本账户提前将资料费汇至我校以下账号：户名：南京信息工程大学；账号：</w:t>
      </w:r>
      <w:r>
        <w:rPr>
          <w:rFonts w:ascii="宋体" w:hAnsi="宋体" w:cs="宋体"/>
          <w:color w:val="auto"/>
          <w:sz w:val="28"/>
          <w:szCs w:val="28"/>
        </w:rPr>
        <w:t>10115401040000228</w:t>
      </w:r>
      <w:r>
        <w:rPr>
          <w:rFonts w:hint="eastAsia" w:ascii="宋体" w:hAnsi="宋体" w:cs="宋体"/>
          <w:color w:val="auto"/>
          <w:sz w:val="28"/>
          <w:szCs w:val="28"/>
        </w:rPr>
        <w:t>；开户银行：中国农业银行南京盘城支行。请各投标人务必在转账留言栏备注填写</w:t>
      </w:r>
      <w:r>
        <w:rPr>
          <w:rFonts w:hint="eastAsia" w:ascii="宋体" w:hAnsi="宋体" w:cs="宋体"/>
          <w:b/>
          <w:color w:val="auto"/>
          <w:sz w:val="28"/>
          <w:szCs w:val="28"/>
        </w:rPr>
        <w:t>“SBC2020</w:t>
      </w:r>
      <w:r>
        <w:rPr>
          <w:rFonts w:hint="eastAsia" w:ascii="宋体" w:hAnsi="宋体" w:cs="宋体"/>
          <w:b/>
          <w:color w:val="auto"/>
          <w:sz w:val="28"/>
          <w:szCs w:val="28"/>
          <w:lang w:val="en-US" w:eastAsia="zh-CN"/>
        </w:rPr>
        <w:t>113</w:t>
      </w:r>
      <w:r>
        <w:rPr>
          <w:rFonts w:hint="eastAsia" w:ascii="宋体" w:hAnsi="宋体" w:cs="宋体"/>
          <w:b/>
          <w:color w:val="auto"/>
          <w:sz w:val="28"/>
          <w:szCs w:val="28"/>
        </w:rPr>
        <w:t>资料费”</w:t>
      </w:r>
      <w:r>
        <w:rPr>
          <w:rFonts w:hint="eastAsia" w:ascii="宋体" w:hAnsi="宋体" w:cs="宋体"/>
          <w:color w:val="auto"/>
          <w:sz w:val="28"/>
          <w:szCs w:val="28"/>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w:t>
      </w:r>
      <w:r>
        <w:rPr>
          <w:rFonts w:hint="eastAsia" w:ascii="宋体" w:hAnsi="宋体" w:cs="宋体"/>
          <w:b/>
          <w:bCs/>
          <w:color w:val="auto"/>
          <w:sz w:val="28"/>
          <w:szCs w:val="28"/>
        </w:rPr>
        <w:t>我校提供电子普通发票，招标办定期到财务结算中心对账（时间约半个月）。请投标单位在邮件报名时提供单位纳税人识别号，并确保联系人手机号及邮箱状态正常，以便接收电子发票信息。</w:t>
      </w:r>
    </w:p>
    <w:p>
      <w:pPr>
        <w:pStyle w:val="8"/>
        <w:ind w:left="0" w:leftChars="0" w:right="1470" w:firstLine="560" w:firstLineChars="200"/>
        <w:rPr>
          <w:color w:val="auto"/>
        </w:rPr>
      </w:pPr>
      <w:r>
        <w:rPr>
          <w:rFonts w:hint="eastAsia" w:ascii="宋体" w:hAnsi="宋体" w:cs="宋体"/>
          <w:color w:val="auto"/>
          <w:sz w:val="28"/>
          <w:szCs w:val="28"/>
        </w:rPr>
        <w:t>5.投标保证金：本项目不收取投标保证金。</w:t>
      </w:r>
    </w:p>
    <w:p>
      <w:pPr>
        <w:spacing w:line="360" w:lineRule="auto"/>
        <w:ind w:firstLine="548" w:firstLineChars="196"/>
        <w:rPr>
          <w:rFonts w:ascii="宋体" w:hAnsi="宋体" w:cs="宋体"/>
          <w:color w:val="auto"/>
          <w:sz w:val="28"/>
          <w:szCs w:val="28"/>
        </w:rPr>
      </w:pPr>
      <w:r>
        <w:rPr>
          <w:rFonts w:hint="eastAsia" w:ascii="宋体" w:hAnsi="宋体" w:cs="宋体"/>
          <w:color w:val="auto"/>
          <w:sz w:val="28"/>
          <w:szCs w:val="28"/>
        </w:rPr>
        <w:t>6</w:t>
      </w:r>
      <w:r>
        <w:rPr>
          <w:rFonts w:ascii="宋体" w:hAnsi="宋体" w:cs="宋体"/>
          <w:color w:val="auto"/>
          <w:sz w:val="28"/>
          <w:szCs w:val="28"/>
        </w:rPr>
        <w:t>.</w:t>
      </w:r>
      <w:r>
        <w:rPr>
          <w:rFonts w:hint="eastAsia" w:ascii="宋体" w:hAnsi="宋体" w:cs="宋体"/>
          <w:color w:val="auto"/>
          <w:sz w:val="28"/>
          <w:szCs w:val="28"/>
        </w:rPr>
        <w:t>履约保证金：中标金额10%。</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）中标公示后，请中标单位自行将中标金额10%的履约保证金汇至学校财务账户后先到财务结算中心（财务处二楼201室）开具缴款收据，凭缴款收据到招标办领取中标通知书后再与采购单位签订供货和服务合同。</w:t>
      </w:r>
      <w:r>
        <w:rPr>
          <w:rFonts w:hint="eastAsia" w:ascii="宋体" w:hAnsi="宋体" w:cs="宋体"/>
          <w:color w:val="auto"/>
          <w:sz w:val="28"/>
          <w:szCs w:val="28"/>
          <w:highlight w:val="none"/>
          <w:lang w:val="en-US" w:eastAsia="zh-CN"/>
        </w:rPr>
        <w:t>项目最终验收合格后</w:t>
      </w:r>
      <w:r>
        <w:rPr>
          <w:rFonts w:hint="eastAsia" w:ascii="宋体" w:hAnsi="宋体" w:cs="宋体"/>
          <w:color w:val="auto"/>
          <w:sz w:val="28"/>
          <w:szCs w:val="28"/>
          <w:highlight w:val="none"/>
        </w:rPr>
        <w:t>无息退还履约保证金50%,剩余50%自动转为质量保证金。履</w:t>
      </w:r>
      <w:r>
        <w:rPr>
          <w:rFonts w:hint="eastAsia" w:ascii="宋体" w:hAnsi="宋体" w:cs="宋体"/>
          <w:color w:val="auto"/>
          <w:sz w:val="28"/>
          <w:szCs w:val="28"/>
        </w:rPr>
        <w:t>约保证金交款账号同</w:t>
      </w:r>
      <w:r>
        <w:rPr>
          <w:rFonts w:ascii="宋体" w:hAnsi="宋体" w:cs="宋体"/>
          <w:color w:val="auto"/>
          <w:sz w:val="28"/>
          <w:szCs w:val="28"/>
        </w:rPr>
        <w:t>300</w:t>
      </w:r>
      <w:r>
        <w:rPr>
          <w:rFonts w:hint="eastAsia" w:ascii="宋体" w:hAnsi="宋体" w:cs="宋体"/>
          <w:color w:val="auto"/>
          <w:sz w:val="28"/>
          <w:szCs w:val="28"/>
        </w:rPr>
        <w:t>元资料费。</w:t>
      </w:r>
    </w:p>
    <w:p>
      <w:pPr>
        <w:spacing w:line="360" w:lineRule="auto"/>
        <w:ind w:firstLine="548" w:firstLineChars="196"/>
        <w:rPr>
          <w:rFonts w:ascii="宋体" w:hAnsi="宋体" w:cs="宋体"/>
          <w:color w:val="auto"/>
          <w:sz w:val="28"/>
          <w:szCs w:val="28"/>
        </w:rPr>
      </w:pPr>
      <w:r>
        <w:rPr>
          <w:rFonts w:hint="eastAsia" w:ascii="宋体" w:hAnsi="宋体" w:cs="宋体"/>
          <w:color w:val="auto"/>
          <w:sz w:val="28"/>
          <w:szCs w:val="28"/>
        </w:rPr>
        <w:t>（2）履约保证金的退还方式：项目按照合同约定完成并无异议后，中标单位向项目归口管理部门或采购人提交退还履约保证金的申请</w:t>
      </w:r>
      <w:r>
        <w:rPr>
          <w:rFonts w:hint="eastAsia" w:ascii="宋体" w:hAnsi="宋体" w:cs="宋体"/>
          <w:i/>
          <w:iCs/>
          <w:color w:val="auto"/>
          <w:sz w:val="28"/>
          <w:szCs w:val="28"/>
          <w:u w:val="single"/>
        </w:rPr>
        <w:t>（财务处招标网站资料下载中有模板）</w:t>
      </w:r>
      <w:r>
        <w:rPr>
          <w:rFonts w:hint="eastAsia" w:ascii="宋体" w:hAnsi="宋体" w:cs="宋体"/>
          <w:color w:val="auto"/>
          <w:sz w:val="28"/>
          <w:szCs w:val="28"/>
        </w:rPr>
        <w:t>，由项目归口管理部门（或使用部门）负责人签字确定同意退还后，再到财务处财务结算中心（财务处二楼201室）办理退还手续。</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（3）如中标单位有下列情况之一，不予退还履约保证金，我校将其列入招投标诚信“黑名单”，</w:t>
      </w:r>
      <w:r>
        <w:rPr>
          <w:rFonts w:ascii="宋体" w:hAnsi="宋体" w:cs="宋体"/>
          <w:color w:val="auto"/>
          <w:sz w:val="28"/>
          <w:szCs w:val="28"/>
        </w:rPr>
        <w:t>3</w:t>
      </w:r>
      <w:r>
        <w:rPr>
          <w:rFonts w:hint="eastAsia" w:ascii="宋体" w:hAnsi="宋体" w:cs="宋体"/>
          <w:color w:val="auto"/>
          <w:sz w:val="28"/>
          <w:szCs w:val="28"/>
        </w:rPr>
        <w:t>年内不得到我校从事任何投标活动。</w:t>
      </w:r>
    </w:p>
    <w:p>
      <w:pPr>
        <w:spacing w:line="360" w:lineRule="auto"/>
        <w:ind w:firstLine="548" w:firstLineChars="196"/>
        <w:rPr>
          <w:rFonts w:ascii="宋体" w:cs="宋体"/>
          <w:color w:val="auto"/>
          <w:sz w:val="28"/>
          <w:szCs w:val="28"/>
        </w:rPr>
      </w:pPr>
      <w:r>
        <w:rPr>
          <w:rFonts w:ascii="宋体" w:hAnsi="宋体" w:cs="宋体"/>
          <w:color w:val="auto"/>
          <w:sz w:val="28"/>
          <w:szCs w:val="28"/>
        </w:rPr>
        <w:t>a.</w:t>
      </w:r>
      <w:r>
        <w:rPr>
          <w:rFonts w:hint="eastAsia" w:ascii="宋体" w:hAnsi="宋体" w:cs="宋体"/>
          <w:color w:val="auto"/>
          <w:sz w:val="28"/>
          <w:szCs w:val="28"/>
        </w:rPr>
        <w:t>中标单位未能按学校通知，在规定时间内签署合同；或签署合同后未能履约、单方撕毁合同等；</w:t>
      </w:r>
    </w:p>
    <w:p>
      <w:pPr>
        <w:spacing w:line="360" w:lineRule="auto"/>
        <w:ind w:firstLine="548" w:firstLineChars="196"/>
        <w:rPr>
          <w:rFonts w:ascii="宋体" w:cs="宋体"/>
          <w:color w:val="auto"/>
          <w:sz w:val="28"/>
          <w:szCs w:val="28"/>
        </w:rPr>
      </w:pPr>
      <w:r>
        <w:rPr>
          <w:rFonts w:ascii="宋体" w:hAnsi="宋体" w:cs="宋体"/>
          <w:color w:val="auto"/>
          <w:sz w:val="28"/>
          <w:szCs w:val="28"/>
        </w:rPr>
        <w:t>b.</w:t>
      </w:r>
      <w:r>
        <w:rPr>
          <w:rFonts w:hint="eastAsia" w:ascii="宋体" w:hAnsi="宋体" w:cs="宋体"/>
          <w:color w:val="auto"/>
          <w:sz w:val="28"/>
          <w:szCs w:val="28"/>
        </w:rPr>
        <w:t>中标单位在投标过程中存在串通投标等违规或舞弊行为；或中标单位借用其他公司相关资质的；</w:t>
      </w:r>
    </w:p>
    <w:p>
      <w:pPr>
        <w:spacing w:line="360" w:lineRule="auto"/>
        <w:ind w:firstLine="548" w:firstLineChars="196"/>
        <w:rPr>
          <w:rFonts w:ascii="宋体" w:cs="宋体"/>
          <w:color w:val="auto"/>
          <w:sz w:val="28"/>
          <w:szCs w:val="28"/>
        </w:rPr>
      </w:pPr>
      <w:r>
        <w:rPr>
          <w:rFonts w:ascii="宋体" w:hAnsi="宋体" w:cs="宋体"/>
          <w:color w:val="auto"/>
          <w:sz w:val="28"/>
          <w:szCs w:val="28"/>
        </w:rPr>
        <w:t>c.</w:t>
      </w:r>
      <w:r>
        <w:rPr>
          <w:rFonts w:hint="eastAsia" w:ascii="宋体" w:hAnsi="宋体" w:cs="宋体"/>
          <w:color w:val="auto"/>
          <w:sz w:val="28"/>
          <w:szCs w:val="28"/>
        </w:rPr>
        <w:t>出现其他不予退还履约保证金情形的。</w:t>
      </w:r>
    </w:p>
    <w:p>
      <w:pPr>
        <w:widowControl/>
        <w:spacing w:line="360" w:lineRule="auto"/>
        <w:ind w:firstLine="560" w:firstLineChars="200"/>
        <w:textAlignment w:val="center"/>
        <w:rPr>
          <w:rFonts w:ascii="宋体" w:hAnsi="宋体" w:cs="宋体"/>
          <w:color w:val="auto"/>
          <w:sz w:val="28"/>
          <w:szCs w:val="28"/>
        </w:rPr>
      </w:pPr>
      <w:r>
        <w:rPr>
          <w:rFonts w:ascii="宋体" w:hAnsi="宋体" w:cs="宋体"/>
          <w:color w:val="auto"/>
          <w:sz w:val="28"/>
          <w:szCs w:val="28"/>
        </w:rPr>
        <w:t>6.</w:t>
      </w:r>
      <w:r>
        <w:rPr>
          <w:rFonts w:hint="eastAsia" w:ascii="宋体" w:hAnsi="宋体" w:cs="宋体"/>
          <w:color w:val="auto"/>
          <w:sz w:val="28"/>
          <w:szCs w:val="28"/>
        </w:rPr>
        <w:t>验收：按学校验收规定执行，项目合同是验收的主要依据。</w:t>
      </w:r>
    </w:p>
    <w:p>
      <w:pPr>
        <w:widowControl/>
        <w:spacing w:line="360" w:lineRule="auto"/>
        <w:ind w:firstLine="560" w:firstLineChars="200"/>
        <w:textAlignment w:val="center"/>
        <w:rPr>
          <w:rFonts w:ascii="宋体" w:hAnsi="宋体" w:cs="宋体"/>
          <w:color w:val="auto"/>
          <w:sz w:val="28"/>
          <w:szCs w:val="28"/>
        </w:rPr>
      </w:pPr>
      <w:r>
        <w:rPr>
          <w:rFonts w:ascii="宋体" w:hAnsi="宋体" w:cs="宋体"/>
          <w:color w:val="auto"/>
          <w:sz w:val="28"/>
          <w:szCs w:val="28"/>
        </w:rPr>
        <w:t>7.</w:t>
      </w:r>
      <w:r>
        <w:rPr>
          <w:rFonts w:hint="eastAsia" w:ascii="宋体" w:hAnsi="宋体" w:cs="宋体"/>
          <w:color w:val="auto"/>
          <w:sz w:val="28"/>
          <w:szCs w:val="28"/>
        </w:rPr>
        <w:t>质保：参照附件4服务要求</w:t>
      </w:r>
    </w:p>
    <w:p>
      <w:pPr>
        <w:spacing w:before="312" w:beforeLines="100" w:after="312" w:afterLines="100" w:line="360" w:lineRule="auto"/>
        <w:jc w:val="center"/>
        <w:rPr>
          <w:rFonts w:ascii="黑体" w:hAnsi="黑体" w:eastAsia="黑体"/>
          <w:color w:val="auto"/>
          <w:sz w:val="28"/>
          <w:szCs w:val="28"/>
        </w:rPr>
      </w:pPr>
      <w:bookmarkStart w:id="6" w:name="_Hlk9866833"/>
      <w:r>
        <w:rPr>
          <w:rFonts w:hint="eastAsia" w:ascii="黑体" w:hAnsi="黑体" w:eastAsia="黑体"/>
          <w:color w:val="auto"/>
          <w:sz w:val="28"/>
          <w:szCs w:val="28"/>
        </w:rPr>
        <w:t>八、日程安排和联系方式</w:t>
      </w:r>
    </w:p>
    <w:p>
      <w:pPr>
        <w:spacing w:line="360" w:lineRule="auto"/>
        <w:ind w:firstLine="560" w:firstLineChars="200"/>
        <w:rPr>
          <w:rFonts w:ascii="宋体"/>
          <w:color w:val="auto"/>
          <w:sz w:val="28"/>
          <w:szCs w:val="28"/>
        </w:rPr>
      </w:pPr>
      <w:r>
        <w:rPr>
          <w:rFonts w:ascii="宋体" w:hAnsi="宋体"/>
          <w:color w:val="auto"/>
          <w:sz w:val="28"/>
          <w:szCs w:val="28"/>
        </w:rPr>
        <w:t>1.</w:t>
      </w:r>
      <w:r>
        <w:rPr>
          <w:rFonts w:hint="eastAsia" w:ascii="宋体" w:hAnsi="宋体"/>
          <w:color w:val="auto"/>
          <w:sz w:val="28"/>
          <w:szCs w:val="28"/>
        </w:rPr>
        <w:t>报名时间：</w:t>
      </w:r>
      <w:r>
        <w:rPr>
          <w:rFonts w:hint="eastAsia" w:ascii="宋体" w:hAnsi="宋体"/>
          <w:color w:val="auto"/>
          <w:sz w:val="28"/>
          <w:szCs w:val="28"/>
          <w:lang w:val="en-US" w:eastAsia="zh-CN"/>
        </w:rPr>
        <w:t>磋商公告</w:t>
      </w:r>
      <w:r>
        <w:rPr>
          <w:rFonts w:hint="eastAsia" w:ascii="宋体" w:hAnsi="宋体"/>
          <w:color w:val="auto"/>
          <w:sz w:val="28"/>
          <w:szCs w:val="28"/>
        </w:rPr>
        <w:t>发布后。</w:t>
      </w:r>
    </w:p>
    <w:p>
      <w:pPr>
        <w:spacing w:line="360" w:lineRule="auto"/>
        <w:ind w:firstLine="560" w:firstLineChars="200"/>
        <w:rPr>
          <w:rFonts w:ascii="宋体" w:cs="宋体"/>
          <w:color w:val="auto"/>
          <w:sz w:val="28"/>
          <w:szCs w:val="28"/>
        </w:rPr>
      </w:pPr>
      <w:r>
        <w:rPr>
          <w:rFonts w:ascii="宋体" w:hAnsi="宋体"/>
          <w:color w:val="auto"/>
          <w:sz w:val="28"/>
          <w:szCs w:val="28"/>
        </w:rPr>
        <w:t>2.</w:t>
      </w:r>
      <w:r>
        <w:rPr>
          <w:rFonts w:hint="eastAsia" w:ascii="宋体" w:hAnsi="宋体"/>
          <w:color w:val="auto"/>
          <w:sz w:val="28"/>
          <w:szCs w:val="28"/>
        </w:rPr>
        <w:t>领取</w:t>
      </w:r>
      <w:r>
        <w:rPr>
          <w:rFonts w:hint="eastAsia" w:ascii="宋体" w:hAnsi="宋体"/>
          <w:color w:val="auto"/>
          <w:sz w:val="28"/>
          <w:szCs w:val="28"/>
          <w:lang w:val="en-US" w:eastAsia="zh-CN"/>
        </w:rPr>
        <w:t>磋商</w:t>
      </w:r>
      <w:r>
        <w:rPr>
          <w:rFonts w:hint="eastAsia" w:ascii="宋体" w:hAnsi="宋体"/>
          <w:color w:val="auto"/>
          <w:sz w:val="28"/>
          <w:szCs w:val="28"/>
        </w:rPr>
        <w:t>文件：</w:t>
      </w:r>
      <w:r>
        <w:rPr>
          <w:rFonts w:hint="eastAsia" w:ascii="宋体" w:hAnsi="宋体"/>
          <w:color w:val="auto"/>
          <w:sz w:val="28"/>
          <w:szCs w:val="28"/>
          <w:u w:val="single"/>
          <w:lang w:val="en-US" w:eastAsia="zh-CN"/>
        </w:rPr>
        <w:t>附件中</w:t>
      </w:r>
      <w:r>
        <w:rPr>
          <w:rFonts w:hint="eastAsia" w:ascii="宋体" w:hAnsi="宋体"/>
          <w:color w:val="auto"/>
          <w:sz w:val="28"/>
          <w:szCs w:val="28"/>
          <w:u w:val="single"/>
        </w:rPr>
        <w:t>自行下载</w:t>
      </w:r>
      <w:r>
        <w:rPr>
          <w:rFonts w:hint="eastAsia" w:ascii="宋体" w:hAnsi="宋体" w:cs="宋体"/>
          <w:color w:val="auto"/>
          <w:kern w:val="0"/>
          <w:sz w:val="28"/>
          <w:szCs w:val="28"/>
        </w:rPr>
        <w:t>。</w:t>
      </w:r>
    </w:p>
    <w:p>
      <w:pPr>
        <w:spacing w:line="360" w:lineRule="auto"/>
        <w:ind w:firstLine="560" w:firstLineChars="200"/>
        <w:rPr>
          <w:rFonts w:ascii="宋体"/>
          <w:color w:val="auto"/>
          <w:sz w:val="28"/>
          <w:szCs w:val="28"/>
        </w:rPr>
      </w:pPr>
      <w:r>
        <w:rPr>
          <w:rFonts w:ascii="宋体" w:hAnsi="宋体"/>
          <w:color w:val="auto"/>
          <w:sz w:val="28"/>
          <w:szCs w:val="28"/>
        </w:rPr>
        <w:t>3.</w:t>
      </w:r>
      <w:r>
        <w:rPr>
          <w:rFonts w:hint="eastAsia" w:ascii="宋体" w:hAnsi="宋体"/>
          <w:color w:val="auto"/>
          <w:sz w:val="28"/>
          <w:szCs w:val="28"/>
        </w:rPr>
        <w:t xml:space="preserve">答疑时间：          </w:t>
      </w:r>
    </w:p>
    <w:p>
      <w:pPr>
        <w:spacing w:line="360" w:lineRule="auto"/>
        <w:rPr>
          <w:rFonts w:ascii="宋体"/>
          <w:color w:val="auto"/>
          <w:sz w:val="28"/>
          <w:szCs w:val="28"/>
        </w:rPr>
      </w:pPr>
      <w:r>
        <w:rPr>
          <w:rFonts w:hint="eastAsia" w:ascii="宋体" w:hAnsi="宋体"/>
          <w:color w:val="auto"/>
          <w:sz w:val="28"/>
          <w:szCs w:val="28"/>
        </w:rPr>
        <w:t>（</w:t>
      </w:r>
      <w:r>
        <w:rPr>
          <w:rFonts w:ascii="宋体" w:hAnsi="宋体"/>
          <w:color w:val="auto"/>
          <w:sz w:val="28"/>
          <w:szCs w:val="28"/>
        </w:rPr>
        <w:t>1</w:t>
      </w:r>
      <w:r>
        <w:rPr>
          <w:rFonts w:hint="eastAsia" w:ascii="宋体" w:hAnsi="宋体"/>
          <w:color w:val="auto"/>
          <w:sz w:val="28"/>
          <w:szCs w:val="28"/>
        </w:rPr>
        <w:t>）投标人如有疑问，请在</w:t>
      </w:r>
      <w:r>
        <w:rPr>
          <w:rFonts w:ascii="宋体" w:hAnsi="宋体"/>
          <w:b/>
          <w:color w:val="auto"/>
          <w:sz w:val="28"/>
          <w:szCs w:val="28"/>
          <w:u w:val="single"/>
        </w:rPr>
        <w:t>2020</w:t>
      </w:r>
      <w:r>
        <w:rPr>
          <w:rFonts w:hint="eastAsia" w:ascii="宋体" w:hAnsi="宋体"/>
          <w:b/>
          <w:color w:val="auto"/>
          <w:sz w:val="28"/>
          <w:szCs w:val="28"/>
          <w:u w:val="single"/>
        </w:rPr>
        <w:t>年12月</w:t>
      </w:r>
      <w:r>
        <w:rPr>
          <w:rFonts w:hint="eastAsia" w:ascii="宋体" w:hAnsi="宋体"/>
          <w:b/>
          <w:color w:val="auto"/>
          <w:sz w:val="28"/>
          <w:szCs w:val="28"/>
          <w:u w:val="single"/>
          <w:lang w:val="en-US" w:eastAsia="zh-CN"/>
        </w:rPr>
        <w:t>02</w:t>
      </w:r>
      <w:r>
        <w:rPr>
          <w:rFonts w:hint="eastAsia" w:ascii="宋体" w:hAnsi="宋体"/>
          <w:b/>
          <w:color w:val="auto"/>
          <w:sz w:val="28"/>
          <w:szCs w:val="28"/>
          <w:u w:val="single"/>
        </w:rPr>
        <w:t>日</w:t>
      </w:r>
      <w:r>
        <w:rPr>
          <w:rFonts w:ascii="宋体" w:hAnsi="宋体"/>
          <w:b/>
          <w:color w:val="auto"/>
          <w:sz w:val="28"/>
          <w:szCs w:val="28"/>
          <w:u w:val="single"/>
        </w:rPr>
        <w:t>11</w:t>
      </w:r>
      <w:r>
        <w:rPr>
          <w:rFonts w:hint="eastAsia" w:ascii="宋体" w:hAnsi="宋体"/>
          <w:b/>
          <w:color w:val="auto"/>
          <w:sz w:val="28"/>
          <w:szCs w:val="28"/>
          <w:u w:val="single"/>
        </w:rPr>
        <w:t>：</w:t>
      </w:r>
      <w:r>
        <w:rPr>
          <w:rFonts w:ascii="宋体" w:hAnsi="宋体"/>
          <w:b/>
          <w:color w:val="auto"/>
          <w:sz w:val="28"/>
          <w:szCs w:val="28"/>
          <w:u w:val="single"/>
        </w:rPr>
        <w:t>3</w:t>
      </w:r>
      <w:r>
        <w:rPr>
          <w:color w:val="auto"/>
        </w:rPr>
        <w:fldChar w:fldCharType="begin"/>
      </w:r>
      <w:r>
        <w:rPr>
          <w:color w:val="auto"/>
        </w:rPr>
        <w:instrText xml:space="preserve"> HYPERLINK "mailto:30前将问题一律以word格式或txt格式发至89523765@qq.com" </w:instrText>
      </w:r>
      <w:r>
        <w:rPr>
          <w:color w:val="auto"/>
        </w:rPr>
        <w:fldChar w:fldCharType="separate"/>
      </w:r>
      <w:r>
        <w:rPr>
          <w:rFonts w:ascii="宋体"/>
          <w:b/>
          <w:color w:val="auto"/>
          <w:sz w:val="28"/>
          <w:szCs w:val="28"/>
          <w:u w:val="single"/>
        </w:rPr>
        <w:t>0</w:t>
      </w:r>
      <w:r>
        <w:rPr>
          <w:rFonts w:hint="eastAsia" w:ascii="宋体" w:hAnsi="宋体"/>
          <w:color w:val="auto"/>
          <w:sz w:val="28"/>
          <w:szCs w:val="28"/>
        </w:rPr>
        <w:t>前将问题以</w:t>
      </w:r>
      <w:r>
        <w:rPr>
          <w:rFonts w:ascii="宋体" w:hAnsi="宋体"/>
          <w:color w:val="auto"/>
          <w:sz w:val="28"/>
          <w:szCs w:val="28"/>
        </w:rPr>
        <w:t>word</w:t>
      </w:r>
      <w:r>
        <w:rPr>
          <w:rFonts w:hint="eastAsia" w:ascii="宋体" w:hAnsi="宋体"/>
          <w:color w:val="auto"/>
          <w:sz w:val="28"/>
          <w:szCs w:val="28"/>
        </w:rPr>
        <w:t>格式或</w:t>
      </w:r>
      <w:r>
        <w:rPr>
          <w:rFonts w:ascii="宋体" w:hAnsi="宋体"/>
          <w:color w:val="auto"/>
          <w:sz w:val="28"/>
          <w:szCs w:val="28"/>
        </w:rPr>
        <w:t>txt</w:t>
      </w:r>
      <w:r>
        <w:rPr>
          <w:rFonts w:hint="eastAsia" w:ascii="宋体" w:hAnsi="宋体"/>
          <w:color w:val="auto"/>
          <w:sz w:val="28"/>
          <w:szCs w:val="28"/>
        </w:rPr>
        <w:t>格式发至</w:t>
      </w:r>
      <w:r>
        <w:rPr>
          <w:rFonts w:ascii="宋体" w:hAnsi="宋体"/>
          <w:color w:val="auto"/>
          <w:sz w:val="28"/>
          <w:szCs w:val="28"/>
        </w:rPr>
        <w:t>2483567991@qq.com</w:t>
      </w:r>
      <w:r>
        <w:rPr>
          <w:rFonts w:ascii="宋体" w:hAnsi="宋体"/>
          <w:color w:val="auto"/>
          <w:sz w:val="28"/>
          <w:szCs w:val="28"/>
        </w:rPr>
        <w:fldChar w:fldCharType="end"/>
      </w:r>
      <w:r>
        <w:rPr>
          <w:rFonts w:hint="eastAsia" w:ascii="宋体" w:hAnsi="宋体"/>
          <w:color w:val="auto"/>
          <w:sz w:val="28"/>
          <w:szCs w:val="28"/>
        </w:rPr>
        <w:t>（质疑函请勿以</w:t>
      </w:r>
      <w:r>
        <w:rPr>
          <w:rFonts w:ascii="宋体" w:hAnsi="宋体"/>
          <w:color w:val="auto"/>
          <w:sz w:val="28"/>
          <w:szCs w:val="28"/>
        </w:rPr>
        <w:t>JPG</w:t>
      </w:r>
      <w:r>
        <w:rPr>
          <w:rFonts w:hint="eastAsia" w:ascii="宋体" w:hAnsi="宋体"/>
          <w:color w:val="auto"/>
          <w:sz w:val="28"/>
          <w:szCs w:val="28"/>
        </w:rPr>
        <w:t>或</w:t>
      </w:r>
      <w:r>
        <w:rPr>
          <w:rFonts w:ascii="宋体" w:hAnsi="宋体"/>
          <w:color w:val="auto"/>
          <w:sz w:val="28"/>
          <w:szCs w:val="28"/>
        </w:rPr>
        <w:t>PDF</w:t>
      </w:r>
      <w:r>
        <w:rPr>
          <w:rFonts w:hint="eastAsia" w:ascii="宋体" w:hAnsi="宋体"/>
          <w:color w:val="auto"/>
          <w:sz w:val="28"/>
          <w:szCs w:val="28"/>
        </w:rPr>
        <w:t>格式，对</w:t>
      </w:r>
      <w:r>
        <w:rPr>
          <w:rFonts w:ascii="宋体" w:hAnsi="宋体"/>
          <w:color w:val="auto"/>
          <w:sz w:val="28"/>
          <w:szCs w:val="28"/>
        </w:rPr>
        <w:t>JPG</w:t>
      </w:r>
      <w:r>
        <w:rPr>
          <w:rFonts w:hint="eastAsia" w:ascii="宋体" w:hAnsi="宋体"/>
          <w:color w:val="auto"/>
          <w:sz w:val="28"/>
          <w:szCs w:val="28"/>
        </w:rPr>
        <w:t>和</w:t>
      </w:r>
      <w:r>
        <w:rPr>
          <w:rFonts w:ascii="宋体" w:hAnsi="宋体"/>
          <w:color w:val="auto"/>
          <w:sz w:val="28"/>
          <w:szCs w:val="28"/>
        </w:rPr>
        <w:t>PDF</w:t>
      </w:r>
      <w:r>
        <w:rPr>
          <w:rFonts w:hint="eastAsia" w:ascii="宋体" w:hAnsi="宋体"/>
          <w:color w:val="auto"/>
          <w:sz w:val="28"/>
          <w:szCs w:val="28"/>
        </w:rPr>
        <w:t>格式的附件一律删除，不予采纳，敬请谅解）。</w:t>
      </w:r>
    </w:p>
    <w:p>
      <w:pPr>
        <w:spacing w:line="360" w:lineRule="auto"/>
        <w:rPr>
          <w:rFonts w:ascii="宋体"/>
          <w:color w:val="auto"/>
          <w:sz w:val="28"/>
          <w:szCs w:val="28"/>
        </w:rPr>
      </w:pPr>
      <w:r>
        <w:rPr>
          <w:rFonts w:hint="eastAsia" w:ascii="宋体" w:hAnsi="宋体"/>
          <w:color w:val="auto"/>
          <w:sz w:val="28"/>
          <w:szCs w:val="28"/>
        </w:rPr>
        <w:t>（</w:t>
      </w:r>
      <w:r>
        <w:rPr>
          <w:rFonts w:ascii="宋体" w:hAnsi="宋体"/>
          <w:color w:val="auto"/>
          <w:sz w:val="28"/>
          <w:szCs w:val="28"/>
        </w:rPr>
        <w:t>2</w:t>
      </w:r>
      <w:r>
        <w:rPr>
          <w:rFonts w:hint="eastAsia" w:ascii="宋体" w:hAnsi="宋体"/>
          <w:color w:val="auto"/>
          <w:sz w:val="28"/>
          <w:szCs w:val="28"/>
        </w:rPr>
        <w:t>）我校项目归口管理部门将通过招标办向各投标人统一进行书面（或电子版）答疑回复。</w:t>
      </w:r>
    </w:p>
    <w:p>
      <w:pPr>
        <w:widowControl/>
        <w:snapToGrid w:val="0"/>
        <w:spacing w:line="360" w:lineRule="auto"/>
        <w:ind w:firstLine="548" w:firstLineChars="196"/>
        <w:outlineLvl w:val="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w:t>
      </w:r>
      <w:r>
        <w:rPr>
          <w:rFonts w:hint="eastAsia" w:ascii="宋体" w:hAnsi="宋体"/>
          <w:sz w:val="28"/>
          <w:szCs w:val="28"/>
          <w:lang w:val="en-US" w:eastAsia="zh-CN"/>
        </w:rPr>
        <w:t>响应</w:t>
      </w:r>
      <w:r>
        <w:rPr>
          <w:rFonts w:hint="eastAsia" w:ascii="宋体" w:hAnsi="宋体"/>
          <w:sz w:val="28"/>
          <w:szCs w:val="28"/>
        </w:rPr>
        <w:t>文件送达</w:t>
      </w:r>
    </w:p>
    <w:p>
      <w:pPr>
        <w:widowControl/>
        <w:snapToGrid w:val="0"/>
        <w:spacing w:line="360" w:lineRule="auto"/>
        <w:ind w:firstLine="548" w:firstLineChars="196"/>
        <w:rPr>
          <w:rFonts w:ascii="宋体" w:hAnsi="宋体"/>
          <w:b/>
          <w:sz w:val="28"/>
          <w:szCs w:val="28"/>
        </w:rPr>
      </w:pPr>
      <w:r>
        <w:rPr>
          <w:rFonts w:hint="eastAsia" w:ascii="宋体" w:hAnsi="宋体"/>
          <w:sz w:val="28"/>
          <w:szCs w:val="28"/>
        </w:rPr>
        <w:t>（1）</w:t>
      </w:r>
      <w:r>
        <w:rPr>
          <w:rFonts w:hint="eastAsia" w:ascii="宋体" w:hAnsi="宋体"/>
          <w:sz w:val="28"/>
          <w:szCs w:val="28"/>
          <w:lang w:val="en-US" w:eastAsia="zh-CN"/>
        </w:rPr>
        <w:t>响应</w:t>
      </w:r>
      <w:r>
        <w:rPr>
          <w:rFonts w:hint="eastAsia" w:ascii="宋体" w:hAnsi="宋体"/>
          <w:sz w:val="28"/>
          <w:szCs w:val="28"/>
        </w:rPr>
        <w:t>文件送达方式：本项目只接收</w:t>
      </w:r>
      <w:r>
        <w:rPr>
          <w:rFonts w:hint="eastAsia" w:ascii="宋体" w:hAnsi="宋体"/>
          <w:b/>
          <w:sz w:val="28"/>
          <w:szCs w:val="28"/>
        </w:rPr>
        <w:t>专人派送的</w:t>
      </w:r>
      <w:r>
        <w:rPr>
          <w:rFonts w:hint="eastAsia" w:ascii="宋体" w:hAnsi="宋体"/>
          <w:b/>
          <w:sz w:val="28"/>
          <w:szCs w:val="28"/>
          <w:lang w:val="en-US" w:eastAsia="zh-CN"/>
        </w:rPr>
        <w:t>响应</w:t>
      </w:r>
      <w:r>
        <w:rPr>
          <w:rFonts w:hint="eastAsia" w:ascii="宋体" w:hAnsi="宋体"/>
          <w:b/>
          <w:sz w:val="28"/>
          <w:szCs w:val="28"/>
        </w:rPr>
        <w:t>文件，不接收邮寄。</w:t>
      </w:r>
      <w:r>
        <w:rPr>
          <w:rFonts w:hint="eastAsia" w:ascii="宋体" w:hAnsi="宋体"/>
          <w:sz w:val="28"/>
          <w:szCs w:val="28"/>
        </w:rPr>
        <w:t>请各投标单位自行安排人员，务必于</w:t>
      </w:r>
      <w:r>
        <w:rPr>
          <w:rFonts w:hint="eastAsia" w:ascii="宋体" w:hAnsi="宋体"/>
          <w:sz w:val="28"/>
          <w:szCs w:val="28"/>
          <w:lang w:val="en-US" w:eastAsia="zh-CN"/>
        </w:rPr>
        <w:t>文件接收</w:t>
      </w:r>
      <w:r>
        <w:rPr>
          <w:rFonts w:hint="eastAsia" w:ascii="宋体" w:hAnsi="宋体"/>
          <w:sz w:val="28"/>
          <w:szCs w:val="28"/>
        </w:rPr>
        <w:t>截止时间前将</w:t>
      </w:r>
      <w:r>
        <w:rPr>
          <w:rFonts w:hint="eastAsia" w:ascii="宋体" w:hAnsi="宋体"/>
          <w:sz w:val="28"/>
          <w:szCs w:val="28"/>
          <w:lang w:val="en-US" w:eastAsia="zh-CN"/>
        </w:rPr>
        <w:t>响应</w:t>
      </w:r>
      <w:r>
        <w:rPr>
          <w:rFonts w:hint="eastAsia" w:ascii="宋体" w:hAnsi="宋体"/>
          <w:sz w:val="28"/>
          <w:szCs w:val="28"/>
        </w:rPr>
        <w:t>文件送达我校，</w:t>
      </w:r>
      <w:r>
        <w:rPr>
          <w:rFonts w:hint="eastAsia" w:ascii="宋体" w:hAnsi="宋体"/>
          <w:sz w:val="28"/>
          <w:szCs w:val="28"/>
          <w:lang w:val="en-US" w:eastAsia="zh-CN"/>
        </w:rPr>
        <w:t>接收</w:t>
      </w:r>
      <w:r>
        <w:rPr>
          <w:rFonts w:hint="eastAsia" w:ascii="宋体" w:hAnsi="宋体"/>
          <w:sz w:val="28"/>
          <w:szCs w:val="28"/>
        </w:rPr>
        <w:t>截止时间后，招标人不受理任何</w:t>
      </w:r>
      <w:r>
        <w:rPr>
          <w:rFonts w:hint="eastAsia" w:ascii="宋体" w:hAnsi="宋体"/>
          <w:sz w:val="28"/>
          <w:szCs w:val="28"/>
          <w:lang w:val="en-US" w:eastAsia="zh-CN"/>
        </w:rPr>
        <w:t>响应</w:t>
      </w:r>
      <w:r>
        <w:rPr>
          <w:rFonts w:hint="eastAsia" w:ascii="宋体" w:hAnsi="宋体"/>
          <w:sz w:val="28"/>
          <w:szCs w:val="28"/>
        </w:rPr>
        <w:t>文件</w:t>
      </w:r>
      <w:r>
        <w:rPr>
          <w:rFonts w:hint="eastAsia" w:ascii="宋体" w:hAnsi="宋体"/>
          <w:b/>
          <w:bCs/>
          <w:sz w:val="28"/>
          <w:szCs w:val="28"/>
        </w:rPr>
        <w:t>。由于疫情，</w:t>
      </w:r>
      <w:r>
        <w:rPr>
          <w:rFonts w:ascii="&amp;quot" w:hAnsi="&amp;quot" w:eastAsia="&amp;quot" w:cs="&amp;quot"/>
          <w:b/>
          <w:bCs/>
          <w:sz w:val="28"/>
          <w:szCs w:val="28"/>
        </w:rPr>
        <w:t>请</w:t>
      </w:r>
      <w:r>
        <w:rPr>
          <w:rFonts w:hint="eastAsia" w:ascii="&amp;quot" w:hAnsi="&amp;quot" w:cs="&amp;quot"/>
          <w:b/>
          <w:bCs/>
          <w:sz w:val="28"/>
          <w:szCs w:val="28"/>
        </w:rPr>
        <w:t>各投标单位</w:t>
      </w:r>
      <w:r>
        <w:rPr>
          <w:rFonts w:ascii="&amp;quot" w:hAnsi="&amp;quot" w:eastAsia="&amp;quot" w:cs="&amp;quot"/>
          <w:b/>
          <w:bCs/>
          <w:sz w:val="28"/>
          <w:szCs w:val="28"/>
        </w:rPr>
        <w:t>按附件表格填写进校人员信息，至少</w:t>
      </w:r>
      <w:r>
        <w:rPr>
          <w:rFonts w:hint="eastAsia" w:ascii="&amp;quot" w:hAnsi="&amp;quot" w:cs="&amp;quot"/>
          <w:b/>
          <w:bCs/>
          <w:sz w:val="28"/>
          <w:szCs w:val="28"/>
        </w:rPr>
        <w:t>在申请入校</w:t>
      </w:r>
      <w:r>
        <w:rPr>
          <w:rFonts w:hint="eastAsia" w:ascii="宋体" w:hAnsi="宋体"/>
          <w:b/>
          <w:bCs/>
          <w:sz w:val="28"/>
          <w:szCs w:val="28"/>
        </w:rPr>
        <w:t>日</w:t>
      </w:r>
      <w:r>
        <w:rPr>
          <w:rFonts w:ascii="宋体" w:hAnsi="宋体"/>
          <w:b/>
          <w:bCs/>
          <w:sz w:val="28"/>
          <w:szCs w:val="28"/>
        </w:rPr>
        <w:t>前</w:t>
      </w:r>
      <w:r>
        <w:rPr>
          <w:rFonts w:hint="eastAsia" w:ascii="宋体" w:hAnsi="宋体"/>
          <w:b/>
          <w:bCs/>
          <w:sz w:val="28"/>
          <w:szCs w:val="28"/>
        </w:rPr>
        <w:t>2</w:t>
      </w:r>
      <w:r>
        <w:rPr>
          <w:rFonts w:ascii="宋体" w:hAnsi="宋体"/>
          <w:b/>
          <w:bCs/>
          <w:sz w:val="28"/>
          <w:szCs w:val="28"/>
        </w:rPr>
        <w:t>天将</w:t>
      </w:r>
      <w:r>
        <w:rPr>
          <w:rFonts w:ascii="&amp;quot" w:hAnsi="&amp;quot" w:eastAsia="&amp;quot" w:cs="&amp;quot"/>
          <w:b/>
          <w:bCs/>
          <w:sz w:val="28"/>
          <w:szCs w:val="28"/>
        </w:rPr>
        <w:t>表格发送至邮箱，以便我单位填写疫情期间外来人员进校申请。</w:t>
      </w:r>
      <w:r>
        <w:rPr>
          <w:rFonts w:hint="eastAsia" w:ascii="宋体" w:hAnsi="宋体"/>
          <w:b/>
          <w:sz w:val="28"/>
          <w:szCs w:val="28"/>
        </w:rPr>
        <w:t>（若后期有调整，会将调整信息发送到各投标单位报名邮箱，请各投标单位在投标前密切关注贵司报名邮箱）</w:t>
      </w:r>
    </w:p>
    <w:p>
      <w:pPr>
        <w:widowControl/>
        <w:snapToGrid w:val="0"/>
        <w:spacing w:line="360" w:lineRule="auto"/>
        <w:ind w:firstLine="548" w:firstLineChars="196"/>
        <w:rPr>
          <w:rFonts w:ascii="宋体" w:hAnsi="宋体" w:cs="宋体"/>
          <w:kern w:val="0"/>
          <w:sz w:val="28"/>
          <w:szCs w:val="28"/>
        </w:rPr>
      </w:pPr>
      <w:r>
        <w:rPr>
          <w:rFonts w:hint="eastAsia" w:ascii="宋体" w:hAnsi="宋体"/>
          <w:sz w:val="28"/>
          <w:szCs w:val="28"/>
        </w:rPr>
        <w:t>（2）</w:t>
      </w:r>
      <w:r>
        <w:rPr>
          <w:rFonts w:hint="eastAsia" w:ascii="宋体" w:hAnsi="宋体"/>
          <w:sz w:val="28"/>
          <w:szCs w:val="28"/>
          <w:lang w:val="en-US" w:eastAsia="zh-CN"/>
        </w:rPr>
        <w:t>文件</w:t>
      </w:r>
      <w:r>
        <w:rPr>
          <w:rFonts w:hint="eastAsia" w:ascii="宋体" w:hAnsi="宋体"/>
          <w:sz w:val="28"/>
          <w:szCs w:val="28"/>
        </w:rPr>
        <w:t>送达地点：</w:t>
      </w:r>
      <w:r>
        <w:rPr>
          <w:rFonts w:hint="eastAsia" w:ascii="宋体" w:hAnsi="宋体" w:cs="宋体"/>
          <w:kern w:val="0"/>
          <w:sz w:val="28"/>
          <w:szCs w:val="28"/>
        </w:rPr>
        <w:t>南京市浦口区宁六路219号</w:t>
      </w:r>
      <w:r>
        <w:rPr>
          <w:rFonts w:ascii="宋体" w:hAnsi="宋体" w:cs="宋体"/>
          <w:kern w:val="0"/>
          <w:sz w:val="28"/>
          <w:szCs w:val="28"/>
        </w:rPr>
        <w:t>南京信息工程大学</w:t>
      </w:r>
      <w:r>
        <w:rPr>
          <w:rFonts w:hint="eastAsia" w:ascii="宋体" w:hAnsi="宋体"/>
          <w:sz w:val="28"/>
          <w:szCs w:val="28"/>
        </w:rPr>
        <w:t>东苑大学生创业中心3号楼（体育馆北面三层小楼）210室（</w:t>
      </w:r>
      <w:r>
        <w:rPr>
          <w:rFonts w:hint="eastAsia" w:ascii="宋体" w:hAnsi="宋体"/>
          <w:sz w:val="28"/>
          <w:szCs w:val="28"/>
          <w:lang w:val="en-US" w:eastAsia="zh-CN"/>
        </w:rPr>
        <w:t>响应</w:t>
      </w:r>
      <w:r>
        <w:rPr>
          <w:rFonts w:hint="eastAsia" w:ascii="宋体" w:hAnsi="宋体"/>
          <w:sz w:val="28"/>
          <w:szCs w:val="28"/>
        </w:rPr>
        <w:t>文件）</w:t>
      </w:r>
      <w:r>
        <w:rPr>
          <w:rFonts w:hint="eastAsia" w:ascii="宋体" w:hAnsi="宋体" w:cs="宋体"/>
          <w:kern w:val="0"/>
          <w:sz w:val="28"/>
          <w:szCs w:val="28"/>
        </w:rPr>
        <w:t>。</w:t>
      </w:r>
    </w:p>
    <w:p>
      <w:pPr>
        <w:widowControl/>
        <w:snapToGrid w:val="0"/>
        <w:spacing w:line="360" w:lineRule="auto"/>
        <w:ind w:firstLine="548" w:firstLineChars="196"/>
        <w:rPr>
          <w:rFonts w:ascii="宋体" w:hAnsi="宋体"/>
          <w:sz w:val="28"/>
          <w:szCs w:val="28"/>
        </w:rPr>
      </w:pPr>
      <w:r>
        <w:rPr>
          <w:rFonts w:hint="eastAsia" w:ascii="宋体" w:hAnsi="宋体"/>
          <w:sz w:val="28"/>
          <w:szCs w:val="28"/>
        </w:rPr>
        <w:t>（3）</w:t>
      </w:r>
      <w:r>
        <w:rPr>
          <w:rFonts w:hint="eastAsia" w:ascii="宋体" w:hAnsi="宋体"/>
          <w:sz w:val="28"/>
          <w:szCs w:val="28"/>
          <w:lang w:val="en-US" w:eastAsia="zh-CN"/>
        </w:rPr>
        <w:t>响应</w:t>
      </w:r>
      <w:r>
        <w:rPr>
          <w:rFonts w:hint="eastAsia" w:ascii="宋体" w:hAnsi="宋体"/>
          <w:sz w:val="28"/>
          <w:szCs w:val="28"/>
        </w:rPr>
        <w:t>文件</w:t>
      </w:r>
      <w:r>
        <w:rPr>
          <w:rFonts w:hint="eastAsia" w:ascii="宋体" w:hAnsi="宋体"/>
          <w:sz w:val="28"/>
          <w:szCs w:val="28"/>
          <w:lang w:val="en-US" w:eastAsia="zh-CN"/>
        </w:rPr>
        <w:t>接收</w:t>
      </w:r>
      <w:r>
        <w:rPr>
          <w:rFonts w:hint="eastAsia" w:ascii="宋体" w:hAnsi="宋体"/>
          <w:sz w:val="28"/>
          <w:szCs w:val="28"/>
        </w:rPr>
        <w:t>起止时间：2020年</w:t>
      </w:r>
      <w:r>
        <w:rPr>
          <w:rFonts w:hint="eastAsia" w:ascii="宋体" w:hAnsi="宋体"/>
          <w:sz w:val="28"/>
          <w:szCs w:val="28"/>
          <w:highlight w:val="yellow"/>
          <w:lang w:val="en-US" w:eastAsia="zh-CN"/>
        </w:rPr>
        <w:t>12</w:t>
      </w:r>
      <w:r>
        <w:rPr>
          <w:rFonts w:hint="eastAsia" w:ascii="宋体" w:hAnsi="宋体"/>
          <w:sz w:val="28"/>
          <w:szCs w:val="28"/>
          <w:highlight w:val="yellow"/>
        </w:rPr>
        <w:t>月</w:t>
      </w:r>
      <w:r>
        <w:rPr>
          <w:rFonts w:hint="eastAsia" w:ascii="宋体" w:hAnsi="宋体"/>
          <w:sz w:val="28"/>
          <w:szCs w:val="28"/>
          <w:highlight w:val="yellow"/>
          <w:lang w:val="en-US" w:eastAsia="zh-CN"/>
        </w:rPr>
        <w:t>08</w:t>
      </w:r>
      <w:r>
        <w:rPr>
          <w:rFonts w:hint="eastAsia" w:ascii="宋体" w:hAnsi="宋体"/>
          <w:sz w:val="28"/>
          <w:szCs w:val="28"/>
          <w:highlight w:val="yellow"/>
        </w:rPr>
        <w:t>日</w:t>
      </w:r>
      <w:r>
        <w:rPr>
          <w:rFonts w:hint="eastAsia" w:ascii="宋体" w:hAnsi="宋体"/>
          <w:sz w:val="28"/>
          <w:szCs w:val="28"/>
        </w:rPr>
        <w:t>1</w:t>
      </w:r>
      <w:r>
        <w:rPr>
          <w:rFonts w:hint="eastAsia" w:ascii="宋体" w:hAnsi="宋体"/>
          <w:sz w:val="28"/>
          <w:szCs w:val="28"/>
          <w:lang w:val="en-US" w:eastAsia="zh-CN"/>
        </w:rPr>
        <w:t>2</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0-1</w:t>
      </w:r>
      <w:r>
        <w:rPr>
          <w:rFonts w:hint="eastAsia" w:ascii="宋体" w:hAnsi="宋体"/>
          <w:sz w:val="28"/>
          <w:szCs w:val="28"/>
          <w:lang w:val="en-US" w:eastAsia="zh-CN"/>
        </w:rPr>
        <w:t>3:3</w:t>
      </w:r>
      <w:r>
        <w:rPr>
          <w:rFonts w:hint="eastAsia" w:ascii="宋体" w:hAnsi="宋体"/>
          <w:sz w:val="28"/>
          <w:szCs w:val="28"/>
        </w:rPr>
        <w:t>0</w:t>
      </w:r>
      <w:r>
        <w:rPr>
          <w:rFonts w:hint="eastAsia" w:ascii="宋体" w:hAnsi="宋体"/>
          <w:sz w:val="28"/>
          <w:szCs w:val="28"/>
          <w:lang w:eastAsia="zh-CN"/>
        </w:rPr>
        <w:t>（</w:t>
      </w:r>
      <w:r>
        <w:rPr>
          <w:rFonts w:hint="eastAsia" w:ascii="宋体" w:hAnsi="宋体"/>
          <w:sz w:val="28"/>
          <w:szCs w:val="28"/>
          <w:lang w:val="en-US" w:eastAsia="zh-CN"/>
        </w:rPr>
        <w:t>北京时间</w:t>
      </w:r>
      <w:r>
        <w:rPr>
          <w:rFonts w:hint="eastAsia" w:ascii="宋体" w:hAnsi="宋体"/>
          <w:sz w:val="28"/>
          <w:szCs w:val="28"/>
          <w:lang w:eastAsia="zh-CN"/>
        </w:rPr>
        <w:t>）</w:t>
      </w:r>
      <w:r>
        <w:rPr>
          <w:rFonts w:hint="eastAsia" w:ascii="宋体" w:hAnsi="宋体"/>
          <w:sz w:val="28"/>
          <w:szCs w:val="28"/>
        </w:rPr>
        <w:t>。</w:t>
      </w:r>
      <w:bookmarkStart w:id="7" w:name="_Hlk32349437"/>
    </w:p>
    <w:bookmarkEnd w:id="7"/>
    <w:p>
      <w:pPr>
        <w:widowControl/>
        <w:adjustRightInd w:val="0"/>
        <w:snapToGrid w:val="0"/>
        <w:spacing w:line="360" w:lineRule="auto"/>
        <w:ind w:firstLine="560" w:firstLineChars="200"/>
        <w:rPr>
          <w:rFonts w:ascii="宋体" w:hAnsi="宋体"/>
          <w:sz w:val="28"/>
          <w:szCs w:val="28"/>
        </w:rPr>
      </w:pPr>
      <w:r>
        <w:rPr>
          <w:rFonts w:hint="eastAsia" w:ascii="宋体" w:hAnsi="宋体" w:cs="宋体"/>
          <w:kern w:val="0"/>
          <w:sz w:val="28"/>
          <w:szCs w:val="28"/>
        </w:rPr>
        <w:t>（4）联系人：马老师、罗老师；联系电话：025-58731441。</w:t>
      </w:r>
    </w:p>
    <w:p>
      <w:pPr>
        <w:snapToGrid w:val="0"/>
        <w:spacing w:line="360" w:lineRule="auto"/>
        <w:ind w:firstLine="560" w:firstLineChars="200"/>
        <w:rPr>
          <w:rFonts w:hint="default" w:ascii="宋体" w:hAnsi="宋体" w:eastAsia="宋体"/>
          <w:color w:val="auto"/>
          <w:sz w:val="28"/>
          <w:szCs w:val="28"/>
          <w:lang w:val="en-US" w:eastAsia="zh-CN"/>
        </w:rPr>
      </w:pPr>
      <w:r>
        <w:rPr>
          <w:rFonts w:hint="eastAsia" w:ascii="宋体" w:hAnsi="宋体"/>
          <w:color w:val="auto"/>
          <w:sz w:val="28"/>
          <w:szCs w:val="28"/>
        </w:rPr>
        <w:t>5.</w:t>
      </w:r>
      <w:r>
        <w:rPr>
          <w:rFonts w:hint="eastAsia" w:ascii="宋体" w:hAnsi="宋体"/>
          <w:color w:val="auto"/>
          <w:sz w:val="28"/>
          <w:szCs w:val="28"/>
          <w:lang w:val="en-US" w:eastAsia="zh-CN"/>
        </w:rPr>
        <w:t>磋商</w:t>
      </w:r>
      <w:r>
        <w:rPr>
          <w:rFonts w:hint="eastAsia" w:ascii="宋体" w:hAnsi="宋体" w:eastAsia="宋体" w:cs="Times New Roman"/>
          <w:b w:val="0"/>
          <w:bCs w:val="0"/>
          <w:color w:val="auto"/>
          <w:kern w:val="2"/>
          <w:sz w:val="28"/>
          <w:szCs w:val="28"/>
          <w:lang w:val="en-US" w:eastAsia="zh-CN" w:bidi="ar-SA"/>
        </w:rPr>
        <w:t>时间</w:t>
      </w:r>
      <w:r>
        <w:rPr>
          <w:rFonts w:hint="eastAsia" w:ascii="宋体" w:hAnsi="宋体" w:cs="Times New Roman"/>
          <w:b w:val="0"/>
          <w:bCs w:val="0"/>
          <w:color w:val="auto"/>
          <w:kern w:val="2"/>
          <w:sz w:val="28"/>
          <w:szCs w:val="28"/>
          <w:lang w:val="en-US" w:eastAsia="zh-CN" w:bidi="ar-SA"/>
        </w:rPr>
        <w:t>和地点</w:t>
      </w:r>
    </w:p>
    <w:p>
      <w:pPr>
        <w:pStyle w:val="2"/>
        <w:ind w:firstLine="560" w:firstLineChars="200"/>
        <w:jc w:val="both"/>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w:t>
      </w:r>
      <w:r>
        <w:rPr>
          <w:rFonts w:hint="eastAsia" w:cs="Times New Roman"/>
          <w:b w:val="0"/>
          <w:bCs w:val="0"/>
          <w:color w:val="auto"/>
          <w:kern w:val="2"/>
          <w:sz w:val="28"/>
          <w:szCs w:val="28"/>
          <w:lang w:val="en-US" w:eastAsia="zh-CN" w:bidi="ar-SA"/>
        </w:rPr>
        <w:t>1</w:t>
      </w:r>
      <w:r>
        <w:rPr>
          <w:rFonts w:hint="eastAsia" w:ascii="宋体" w:hAnsi="宋体" w:eastAsia="宋体" w:cs="Times New Roman"/>
          <w:b w:val="0"/>
          <w:bCs w:val="0"/>
          <w:color w:val="auto"/>
          <w:kern w:val="2"/>
          <w:sz w:val="28"/>
          <w:szCs w:val="28"/>
          <w:lang w:val="en-US" w:eastAsia="zh-CN" w:bidi="ar-SA"/>
        </w:rPr>
        <w:t>）</w:t>
      </w:r>
      <w:r>
        <w:rPr>
          <w:rFonts w:hint="eastAsia" w:cs="Times New Roman"/>
          <w:b w:val="0"/>
          <w:bCs w:val="0"/>
          <w:color w:val="auto"/>
          <w:kern w:val="2"/>
          <w:sz w:val="28"/>
          <w:szCs w:val="28"/>
          <w:lang w:val="en-US" w:eastAsia="zh-CN" w:bidi="ar-SA"/>
        </w:rPr>
        <w:t>磋</w:t>
      </w:r>
      <w:r>
        <w:rPr>
          <w:rFonts w:hint="eastAsia" w:ascii="宋体" w:hAnsi="宋体" w:eastAsia="宋体" w:cs="Times New Roman"/>
          <w:b w:val="0"/>
          <w:bCs w:val="0"/>
          <w:color w:val="auto"/>
          <w:kern w:val="2"/>
          <w:sz w:val="28"/>
          <w:szCs w:val="28"/>
          <w:lang w:val="en-US" w:eastAsia="zh-CN" w:bidi="ar-SA"/>
        </w:rPr>
        <w:t>商开启时间：2020年</w:t>
      </w:r>
      <w:bookmarkStart w:id="11" w:name="_GoBack"/>
      <w:r>
        <w:rPr>
          <w:rFonts w:hint="eastAsia" w:ascii="宋体" w:hAnsi="宋体" w:eastAsia="宋体" w:cs="Times New Roman"/>
          <w:b w:val="0"/>
          <w:bCs w:val="0"/>
          <w:color w:val="auto"/>
          <w:kern w:val="2"/>
          <w:sz w:val="28"/>
          <w:szCs w:val="28"/>
          <w:highlight w:val="yellow"/>
          <w:lang w:val="en-US" w:eastAsia="zh-CN" w:bidi="ar-SA"/>
        </w:rPr>
        <w:t>12月0</w:t>
      </w:r>
      <w:r>
        <w:rPr>
          <w:rFonts w:hint="eastAsia" w:cs="Times New Roman"/>
          <w:b w:val="0"/>
          <w:bCs w:val="0"/>
          <w:color w:val="auto"/>
          <w:kern w:val="2"/>
          <w:sz w:val="28"/>
          <w:szCs w:val="28"/>
          <w:highlight w:val="yellow"/>
          <w:lang w:val="en-US" w:eastAsia="zh-CN" w:bidi="ar-SA"/>
        </w:rPr>
        <w:t>8</w:t>
      </w:r>
      <w:r>
        <w:rPr>
          <w:rFonts w:hint="eastAsia" w:ascii="宋体" w:hAnsi="宋体" w:eastAsia="宋体" w:cs="Times New Roman"/>
          <w:b w:val="0"/>
          <w:bCs w:val="0"/>
          <w:color w:val="auto"/>
          <w:kern w:val="2"/>
          <w:sz w:val="28"/>
          <w:szCs w:val="28"/>
          <w:highlight w:val="yellow"/>
          <w:lang w:val="en-US" w:eastAsia="zh-CN" w:bidi="ar-SA"/>
        </w:rPr>
        <w:t>日</w:t>
      </w:r>
      <w:bookmarkEnd w:id="11"/>
      <w:r>
        <w:rPr>
          <w:rFonts w:hint="eastAsia" w:ascii="宋体" w:hAnsi="宋体" w:eastAsia="宋体" w:cs="Times New Roman"/>
          <w:b w:val="0"/>
          <w:bCs w:val="0"/>
          <w:color w:val="auto"/>
          <w:kern w:val="2"/>
          <w:sz w:val="28"/>
          <w:szCs w:val="28"/>
          <w:lang w:val="en-US" w:eastAsia="zh-CN" w:bidi="ar-SA"/>
        </w:rPr>
        <w:t>13:30（北京时间）；</w:t>
      </w:r>
    </w:p>
    <w:p>
      <w:pPr>
        <w:snapToGrid w:val="0"/>
        <w:spacing w:line="360" w:lineRule="auto"/>
        <w:ind w:firstLine="560" w:firstLineChars="200"/>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w:t>
      </w:r>
      <w:r>
        <w:rPr>
          <w:rFonts w:hint="eastAsia" w:ascii="宋体" w:hAnsi="宋体" w:cs="Times New Roman"/>
          <w:b w:val="0"/>
          <w:bCs w:val="0"/>
          <w:color w:val="auto"/>
          <w:kern w:val="2"/>
          <w:sz w:val="28"/>
          <w:szCs w:val="28"/>
          <w:lang w:val="en-US" w:eastAsia="zh-CN" w:bidi="ar-SA"/>
        </w:rPr>
        <w:t>2</w:t>
      </w:r>
      <w:r>
        <w:rPr>
          <w:rFonts w:hint="eastAsia" w:ascii="宋体" w:hAnsi="宋体" w:eastAsia="宋体" w:cs="Times New Roman"/>
          <w:b w:val="0"/>
          <w:bCs w:val="0"/>
          <w:color w:val="auto"/>
          <w:kern w:val="2"/>
          <w:sz w:val="28"/>
          <w:szCs w:val="28"/>
          <w:lang w:val="en-US" w:eastAsia="zh-CN" w:bidi="ar-SA"/>
        </w:rPr>
        <w:t>）</w:t>
      </w:r>
      <w:r>
        <w:rPr>
          <w:rFonts w:hint="eastAsia" w:cs="Times New Roman"/>
          <w:b w:val="0"/>
          <w:bCs w:val="0"/>
          <w:color w:val="auto"/>
          <w:kern w:val="2"/>
          <w:sz w:val="28"/>
          <w:szCs w:val="28"/>
          <w:lang w:val="en-US" w:eastAsia="zh-CN" w:bidi="ar-SA"/>
        </w:rPr>
        <w:t>磋商地点：</w:t>
      </w:r>
      <w:r>
        <w:rPr>
          <w:rFonts w:hint="eastAsia" w:ascii="宋体" w:hAnsi="宋体"/>
          <w:color w:val="auto"/>
          <w:sz w:val="28"/>
          <w:szCs w:val="28"/>
        </w:rPr>
        <w:t>南京信息工程大学东苑大学生创业中心</w:t>
      </w:r>
      <w:r>
        <w:rPr>
          <w:rFonts w:ascii="宋体" w:hAnsi="宋体"/>
          <w:color w:val="auto"/>
          <w:sz w:val="28"/>
          <w:szCs w:val="28"/>
        </w:rPr>
        <w:t>3</w:t>
      </w:r>
      <w:r>
        <w:rPr>
          <w:rFonts w:hint="eastAsia" w:ascii="宋体" w:hAnsi="宋体"/>
          <w:color w:val="auto"/>
          <w:sz w:val="28"/>
          <w:szCs w:val="28"/>
        </w:rPr>
        <w:t>号楼（体育馆北面三层小楼）</w:t>
      </w:r>
      <w:r>
        <w:rPr>
          <w:rFonts w:ascii="宋体" w:hAnsi="宋体"/>
          <w:color w:val="auto"/>
          <w:sz w:val="28"/>
          <w:szCs w:val="28"/>
        </w:rPr>
        <w:t>210</w:t>
      </w:r>
      <w:r>
        <w:rPr>
          <w:rFonts w:hint="eastAsia" w:ascii="宋体" w:hAnsi="宋体"/>
          <w:color w:val="auto"/>
          <w:sz w:val="28"/>
          <w:szCs w:val="28"/>
        </w:rPr>
        <w:t>室。</w:t>
      </w:r>
    </w:p>
    <w:p>
      <w:pPr>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6.相关单位联系人及电话</w:t>
      </w:r>
    </w:p>
    <w:p>
      <w:pPr>
        <w:snapToGrid w:val="0"/>
        <w:spacing w:line="360" w:lineRule="auto"/>
        <w:ind w:firstLine="425" w:firstLineChars="152"/>
        <w:rPr>
          <w:rFonts w:ascii="宋体"/>
          <w:color w:val="auto"/>
          <w:sz w:val="28"/>
          <w:szCs w:val="28"/>
        </w:rPr>
      </w:pPr>
      <w:r>
        <w:rPr>
          <w:rFonts w:hint="eastAsia" w:ascii="宋体" w:hAnsi="宋体"/>
          <w:color w:val="auto"/>
          <w:sz w:val="28"/>
          <w:szCs w:val="28"/>
        </w:rPr>
        <w:t>（</w:t>
      </w:r>
      <w:r>
        <w:rPr>
          <w:rFonts w:ascii="宋体" w:hAnsi="宋体"/>
          <w:color w:val="auto"/>
          <w:sz w:val="28"/>
          <w:szCs w:val="28"/>
        </w:rPr>
        <w:t>1</w:t>
      </w:r>
      <w:r>
        <w:rPr>
          <w:rFonts w:hint="eastAsia" w:ascii="宋体" w:hAnsi="宋体"/>
          <w:color w:val="auto"/>
          <w:sz w:val="28"/>
          <w:szCs w:val="28"/>
        </w:rPr>
        <w:t>）招标办联系电话：</w:t>
      </w:r>
      <w:r>
        <w:rPr>
          <w:rFonts w:ascii="宋体" w:hAnsi="宋体"/>
          <w:color w:val="auto"/>
          <w:sz w:val="28"/>
          <w:szCs w:val="28"/>
        </w:rPr>
        <w:t>025-58731441</w:t>
      </w:r>
      <w:r>
        <w:rPr>
          <w:rFonts w:hint="eastAsia" w:ascii="宋体" w:hAnsi="宋体"/>
          <w:color w:val="auto"/>
          <w:sz w:val="28"/>
          <w:szCs w:val="28"/>
        </w:rPr>
        <w:t>，联系人：马老师、罗老师；</w:t>
      </w:r>
    </w:p>
    <w:p>
      <w:pPr>
        <w:snapToGrid w:val="0"/>
        <w:spacing w:line="360" w:lineRule="auto"/>
        <w:ind w:firstLine="425" w:firstLineChars="152"/>
        <w:rPr>
          <w:rFonts w:ascii="宋体" w:hAnsi="宋体"/>
          <w:color w:val="auto"/>
          <w:sz w:val="28"/>
          <w:szCs w:val="28"/>
          <w:highlight w:val="yellow"/>
        </w:rPr>
      </w:pPr>
      <w:r>
        <w:rPr>
          <w:rFonts w:hint="eastAsia" w:ascii="宋体" w:hAnsi="宋体"/>
          <w:color w:val="auto"/>
          <w:sz w:val="28"/>
          <w:szCs w:val="28"/>
        </w:rPr>
        <w:t>（2）</w:t>
      </w:r>
      <w:bookmarkEnd w:id="6"/>
      <w:r>
        <w:rPr>
          <w:rFonts w:hint="eastAsia" w:ascii="宋体" w:hAnsi="宋体"/>
          <w:color w:val="auto"/>
          <w:sz w:val="28"/>
          <w:szCs w:val="28"/>
        </w:rPr>
        <w:t>用户单位联系电话：</w:t>
      </w:r>
      <w:r>
        <w:rPr>
          <w:rFonts w:hint="eastAsia" w:ascii="宋体" w:hAnsi="宋体"/>
          <w:color w:val="auto"/>
          <w:sz w:val="28"/>
          <w:szCs w:val="28"/>
          <w:highlight w:val="none"/>
          <w:lang w:val="en-US" w:eastAsia="zh-CN"/>
        </w:rPr>
        <w:t>18951855083</w:t>
      </w:r>
      <w:r>
        <w:rPr>
          <w:rFonts w:hint="eastAsia" w:ascii="宋体" w:hAnsi="宋体"/>
          <w:color w:val="auto"/>
          <w:sz w:val="28"/>
          <w:szCs w:val="28"/>
          <w:highlight w:val="none"/>
        </w:rPr>
        <w:t>，联系人：</w:t>
      </w:r>
      <w:r>
        <w:rPr>
          <w:rFonts w:hint="eastAsia" w:ascii="宋体" w:hAnsi="宋体"/>
          <w:color w:val="auto"/>
          <w:sz w:val="28"/>
          <w:szCs w:val="28"/>
          <w:highlight w:val="none"/>
          <w:lang w:val="en-US" w:eastAsia="zh-CN"/>
        </w:rPr>
        <w:t>王</w:t>
      </w:r>
      <w:r>
        <w:rPr>
          <w:rFonts w:hint="eastAsia" w:ascii="宋体" w:hAnsi="宋体"/>
          <w:color w:val="auto"/>
          <w:sz w:val="28"/>
          <w:szCs w:val="28"/>
          <w:highlight w:val="none"/>
        </w:rPr>
        <w:t>老师。</w:t>
      </w:r>
    </w:p>
    <w:p>
      <w:pPr>
        <w:pStyle w:val="8"/>
        <w:ind w:left="0" w:leftChars="0" w:right="0" w:rightChars="0"/>
        <w:rPr>
          <w:rFonts w:ascii="宋体" w:hAnsi="宋体"/>
          <w:color w:val="auto"/>
          <w:sz w:val="28"/>
          <w:szCs w:val="28"/>
        </w:rPr>
      </w:pPr>
    </w:p>
    <w:p>
      <w:pPr>
        <w:tabs>
          <w:tab w:val="left" w:pos="1260"/>
        </w:tabs>
        <w:spacing w:line="360" w:lineRule="auto"/>
        <w:ind w:left="1959" w:leftChars="933" w:firstLine="2530" w:firstLineChars="900"/>
        <w:jc w:val="right"/>
        <w:rPr>
          <w:rFonts w:ascii="宋体"/>
          <w:b/>
          <w:color w:val="auto"/>
          <w:sz w:val="28"/>
          <w:szCs w:val="28"/>
        </w:rPr>
      </w:pPr>
      <w:bookmarkStart w:id="8" w:name="_Hlk9866962"/>
      <w:r>
        <w:rPr>
          <w:rFonts w:hint="eastAsia" w:ascii="宋体" w:hAnsi="宋体"/>
          <w:b/>
          <w:color w:val="auto"/>
          <w:sz w:val="28"/>
          <w:szCs w:val="28"/>
        </w:rPr>
        <w:t>南京信息工程大学招标办</w:t>
      </w:r>
    </w:p>
    <w:p>
      <w:pPr>
        <w:pStyle w:val="11"/>
        <w:spacing w:line="360" w:lineRule="auto"/>
        <w:ind w:left="99" w:leftChars="47" w:firstLine="4919" w:firstLineChars="1750"/>
        <w:jc w:val="right"/>
        <w:rPr>
          <w:rStyle w:val="42"/>
          <w:rFonts w:ascii="宋体" w:hAnsi="Times New Roman" w:eastAsia="宋体"/>
          <w:color w:val="auto"/>
          <w:sz w:val="28"/>
          <w:szCs w:val="28"/>
        </w:rPr>
      </w:pPr>
      <w:r>
        <w:rPr>
          <w:rStyle w:val="42"/>
          <w:rFonts w:ascii="宋体" w:hAnsi="宋体" w:eastAsia="宋体"/>
          <w:color w:val="auto"/>
          <w:sz w:val="28"/>
          <w:szCs w:val="28"/>
        </w:rPr>
        <w:t>20</w:t>
      </w:r>
      <w:r>
        <w:rPr>
          <w:rStyle w:val="42"/>
          <w:rFonts w:hint="eastAsia" w:ascii="宋体" w:hAnsi="宋体" w:eastAsia="宋体"/>
          <w:color w:val="auto"/>
          <w:sz w:val="28"/>
          <w:szCs w:val="28"/>
        </w:rPr>
        <w:t>20年</w:t>
      </w:r>
      <w:r>
        <w:rPr>
          <w:rStyle w:val="42"/>
          <w:rFonts w:hint="eastAsia" w:ascii="宋体" w:hAnsi="宋体"/>
          <w:color w:val="auto"/>
          <w:sz w:val="28"/>
          <w:szCs w:val="28"/>
        </w:rPr>
        <w:t>11</w:t>
      </w:r>
      <w:r>
        <w:rPr>
          <w:rStyle w:val="42"/>
          <w:rFonts w:hint="eastAsia" w:ascii="宋体" w:hAnsi="宋体" w:eastAsia="宋体"/>
          <w:color w:val="auto"/>
          <w:sz w:val="28"/>
          <w:szCs w:val="28"/>
        </w:rPr>
        <w:t>月</w:t>
      </w:r>
      <w:r>
        <w:rPr>
          <w:rStyle w:val="42"/>
          <w:rFonts w:hint="eastAsia" w:ascii="宋体" w:hAnsi="宋体"/>
          <w:color w:val="auto"/>
          <w:sz w:val="28"/>
          <w:szCs w:val="28"/>
        </w:rPr>
        <w:t>2</w:t>
      </w:r>
      <w:r>
        <w:rPr>
          <w:rStyle w:val="42"/>
          <w:rFonts w:hint="eastAsia" w:ascii="宋体" w:hAnsi="宋体"/>
          <w:color w:val="auto"/>
          <w:sz w:val="28"/>
          <w:szCs w:val="28"/>
          <w:lang w:val="en-US"/>
        </w:rPr>
        <w:t>6</w:t>
      </w:r>
      <w:r>
        <w:rPr>
          <w:rStyle w:val="42"/>
          <w:rFonts w:hint="eastAsia" w:ascii="宋体" w:hAnsi="宋体" w:eastAsia="宋体"/>
          <w:color w:val="auto"/>
          <w:sz w:val="28"/>
          <w:szCs w:val="28"/>
        </w:rPr>
        <w:t>日</w:t>
      </w:r>
    </w:p>
    <w:bookmarkEnd w:id="8"/>
    <w:p>
      <w:pPr>
        <w:spacing w:line="360" w:lineRule="auto"/>
        <w:jc w:val="left"/>
        <w:outlineLvl w:val="0"/>
        <w:rPr>
          <w:rFonts w:ascii="宋体" w:hAnsi="宋体" w:cs="宋体"/>
          <w:b/>
          <w:bCs/>
          <w:color w:val="auto"/>
          <w:sz w:val="24"/>
        </w:rPr>
      </w:pPr>
      <w:r>
        <w:rPr>
          <w:rStyle w:val="42"/>
          <w:rFonts w:ascii="宋体" w:hAnsi="Times New Roman" w:eastAsia="宋体"/>
          <w:b w:val="0"/>
          <w:color w:val="auto"/>
          <w:sz w:val="28"/>
          <w:szCs w:val="28"/>
        </w:rPr>
        <w:br w:type="page"/>
      </w:r>
      <w:bookmarkStart w:id="9" w:name="_Toc462564147"/>
      <w:r>
        <w:rPr>
          <w:b/>
          <w:bCs/>
          <w:color w:val="auto"/>
          <w:sz w:val="24"/>
        </w:rPr>
        <w:t>附件1：</w:t>
      </w:r>
      <w:r>
        <w:rPr>
          <w:rFonts w:hint="eastAsia" w:ascii="宋体" w:hAnsi="宋体" w:cs="宋体"/>
          <w:b/>
          <w:bCs/>
          <w:color w:val="auto"/>
          <w:sz w:val="24"/>
        </w:rPr>
        <w:t>招标项目设备名称、数量、主要技术要求及其他要求</w:t>
      </w:r>
    </w:p>
    <w:tbl>
      <w:tblPr>
        <w:tblStyle w:val="17"/>
        <w:tblW w:w="5000" w:type="pct"/>
        <w:tblInd w:w="0" w:type="dxa"/>
        <w:tblLayout w:type="fixed"/>
        <w:tblCellMar>
          <w:top w:w="0" w:type="dxa"/>
          <w:left w:w="108" w:type="dxa"/>
          <w:bottom w:w="0" w:type="dxa"/>
          <w:right w:w="108" w:type="dxa"/>
        </w:tblCellMar>
      </w:tblPr>
      <w:tblGrid>
        <w:gridCol w:w="676"/>
        <w:gridCol w:w="849"/>
        <w:gridCol w:w="990"/>
        <w:gridCol w:w="6667"/>
        <w:gridCol w:w="1240"/>
      </w:tblGrid>
      <w:tr>
        <w:tblPrEx>
          <w:tblCellMar>
            <w:top w:w="0" w:type="dxa"/>
            <w:left w:w="108" w:type="dxa"/>
            <w:bottom w:w="0" w:type="dxa"/>
            <w:right w:w="108" w:type="dxa"/>
          </w:tblCellMar>
        </w:tblPrEx>
        <w:trPr>
          <w:trHeight w:val="948" w:hRule="atLeast"/>
        </w:trPr>
        <w:tc>
          <w:tcPr>
            <w:tcW w:w="32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序号</w:t>
            </w:r>
          </w:p>
        </w:tc>
        <w:tc>
          <w:tcPr>
            <w:tcW w:w="407"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采购文件条目号</w:t>
            </w:r>
          </w:p>
        </w:tc>
        <w:tc>
          <w:tcPr>
            <w:tcW w:w="3673" w:type="pct"/>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采购文件要求的技术规格参数</w:t>
            </w:r>
          </w:p>
        </w:tc>
        <w:tc>
          <w:tcPr>
            <w:tcW w:w="594"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数量</w:t>
            </w:r>
          </w:p>
        </w:tc>
      </w:tr>
      <w:tr>
        <w:tblPrEx>
          <w:tblCellMar>
            <w:top w:w="0" w:type="dxa"/>
            <w:left w:w="108" w:type="dxa"/>
            <w:bottom w:w="0" w:type="dxa"/>
            <w:right w:w="108" w:type="dxa"/>
          </w:tblCellMar>
        </w:tblPrEx>
        <w:trPr>
          <w:trHeight w:val="588" w:hRule="atLeast"/>
        </w:trPr>
        <w:tc>
          <w:tcPr>
            <w:tcW w:w="324" w:type="pct"/>
            <w:vMerge w:val="restart"/>
            <w:tcBorders>
              <w:top w:val="nil"/>
              <w:left w:val="single" w:color="auto" w:sz="8" w:space="0"/>
              <w:bottom w:val="nil"/>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1</w:t>
            </w:r>
          </w:p>
        </w:tc>
        <w:tc>
          <w:tcPr>
            <w:tcW w:w="407" w:type="pct"/>
            <w:vMerge w:val="restart"/>
            <w:tcBorders>
              <w:top w:val="nil"/>
              <w:left w:val="single" w:color="auto" w:sz="8" w:space="0"/>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CPU计算节点刀片</w:t>
            </w: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highlight w:val="none"/>
              </w:rPr>
              <w:t>★处</w:t>
            </w:r>
            <w:r>
              <w:rPr>
                <w:rFonts w:hint="eastAsia" w:ascii="宋体" w:hAnsi="宋体" w:cs="宋体"/>
                <w:color w:val="auto"/>
                <w:kern w:val="0"/>
                <w:sz w:val="24"/>
              </w:rPr>
              <w:t>理器</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配置≥2颗Intel Skylake Gold 6226R处理器,支持英特尔至强可扩展处理器家族中的金牌和铂金级别处理器，最高功率205W</w:t>
            </w:r>
          </w:p>
        </w:tc>
        <w:tc>
          <w:tcPr>
            <w:tcW w:w="594" w:type="pct"/>
            <w:vMerge w:val="restart"/>
            <w:tcBorders>
              <w:top w:val="nil"/>
              <w:left w:val="single" w:color="auto" w:sz="8" w:space="0"/>
              <w:bottom w:val="nil"/>
              <w:right w:val="single" w:color="auto" w:sz="8" w:space="0"/>
            </w:tcBorders>
            <w:shd w:val="clear" w:color="auto" w:fill="auto"/>
          </w:tcPr>
          <w:p>
            <w:pPr>
              <w:widowControl/>
              <w:jc w:val="center"/>
              <w:rPr>
                <w:rFonts w:ascii="宋体" w:hAnsi="宋体" w:cs="宋体"/>
                <w:color w:val="auto"/>
                <w:kern w:val="0"/>
                <w:sz w:val="24"/>
              </w:rPr>
            </w:pPr>
            <w:r>
              <w:rPr>
                <w:rFonts w:hint="eastAsia" w:ascii="宋体" w:hAnsi="宋体" w:cs="宋体"/>
                <w:color w:val="auto"/>
                <w:kern w:val="0"/>
                <w:sz w:val="24"/>
              </w:rPr>
              <w:t>14台</w:t>
            </w:r>
          </w:p>
        </w:tc>
      </w:tr>
      <w:tr>
        <w:tblPrEx>
          <w:tblCellMar>
            <w:top w:w="0" w:type="dxa"/>
            <w:left w:w="108" w:type="dxa"/>
            <w:bottom w:w="0" w:type="dxa"/>
            <w:right w:w="108" w:type="dxa"/>
          </w:tblCellMar>
        </w:tblPrEx>
        <w:trPr>
          <w:trHeight w:val="300" w:hRule="atLeast"/>
        </w:trPr>
        <w:tc>
          <w:tcPr>
            <w:tcW w:w="324" w:type="pct"/>
            <w:vMerge w:val="continue"/>
            <w:tcBorders>
              <w:top w:val="nil"/>
              <w:left w:val="single" w:color="auto" w:sz="8" w:space="0"/>
              <w:bottom w:val="nil"/>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nil"/>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内存配置数目</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配置≥12 * 16GB DDR4 2933 MHz RDIMM,最大支持≥2TB内存扩展</w:t>
            </w:r>
          </w:p>
        </w:tc>
        <w:tc>
          <w:tcPr>
            <w:tcW w:w="594" w:type="pct"/>
            <w:vMerge w:val="continue"/>
            <w:tcBorders>
              <w:top w:val="nil"/>
              <w:left w:val="single" w:color="auto" w:sz="8" w:space="0"/>
              <w:bottom w:val="nil"/>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00" w:hRule="atLeast"/>
        </w:trPr>
        <w:tc>
          <w:tcPr>
            <w:tcW w:w="324" w:type="pct"/>
            <w:vMerge w:val="continue"/>
            <w:tcBorders>
              <w:top w:val="nil"/>
              <w:left w:val="single" w:color="auto" w:sz="8" w:space="0"/>
              <w:bottom w:val="nil"/>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nil"/>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PCIe上行线路</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要求PCIe上行线路规格不低于x16，附加于PCH的PCIe通道，以支持更存储访问带宽</w:t>
            </w:r>
          </w:p>
        </w:tc>
        <w:tc>
          <w:tcPr>
            <w:tcW w:w="594" w:type="pct"/>
            <w:vMerge w:val="continue"/>
            <w:tcBorders>
              <w:top w:val="nil"/>
              <w:left w:val="single" w:color="auto" w:sz="8" w:space="0"/>
              <w:bottom w:val="nil"/>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nil"/>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nil"/>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内置硬盘容量及数目</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配置≥1块2.5英寸Intel S4510 480GB SSD硬盘,支持扩展≥6个2.5英寸SAS/SSD，满足未来扩展性需求</w:t>
            </w:r>
          </w:p>
        </w:tc>
        <w:tc>
          <w:tcPr>
            <w:tcW w:w="594" w:type="pct"/>
            <w:vMerge w:val="continue"/>
            <w:tcBorders>
              <w:top w:val="nil"/>
              <w:left w:val="single" w:color="auto" w:sz="8" w:space="0"/>
              <w:bottom w:val="nil"/>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00" w:hRule="atLeast"/>
        </w:trPr>
        <w:tc>
          <w:tcPr>
            <w:tcW w:w="324" w:type="pct"/>
            <w:vMerge w:val="continue"/>
            <w:tcBorders>
              <w:top w:val="nil"/>
              <w:left w:val="single" w:color="auto" w:sz="8" w:space="0"/>
              <w:bottom w:val="nil"/>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nil"/>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管理网络</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配置≥2个10GB光口（包含模块以及对应长度线缆）</w:t>
            </w:r>
          </w:p>
        </w:tc>
        <w:tc>
          <w:tcPr>
            <w:tcW w:w="594" w:type="pct"/>
            <w:vMerge w:val="continue"/>
            <w:tcBorders>
              <w:top w:val="nil"/>
              <w:left w:val="single" w:color="auto" w:sz="8" w:space="0"/>
              <w:bottom w:val="nil"/>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00" w:hRule="atLeast"/>
        </w:trPr>
        <w:tc>
          <w:tcPr>
            <w:tcW w:w="324" w:type="pct"/>
            <w:vMerge w:val="continue"/>
            <w:tcBorders>
              <w:top w:val="nil"/>
              <w:left w:val="single" w:color="auto" w:sz="8" w:space="0"/>
              <w:bottom w:val="nil"/>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nil"/>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计算网络</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 xml:space="preserve">配置1块EDR 100Gb适配器 </w:t>
            </w:r>
          </w:p>
        </w:tc>
        <w:tc>
          <w:tcPr>
            <w:tcW w:w="594" w:type="pct"/>
            <w:vMerge w:val="continue"/>
            <w:tcBorders>
              <w:top w:val="nil"/>
              <w:left w:val="single" w:color="auto" w:sz="8" w:space="0"/>
              <w:bottom w:val="nil"/>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nil"/>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nil"/>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GPU扩展</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支持以下GPU：P40,P100,V100 16GB,V100 32GB,M10,M60,MI25， 且最大支持不低于2块GPU卡</w:t>
            </w:r>
          </w:p>
        </w:tc>
        <w:tc>
          <w:tcPr>
            <w:tcW w:w="594" w:type="pct"/>
            <w:vMerge w:val="continue"/>
            <w:tcBorders>
              <w:top w:val="nil"/>
              <w:left w:val="single" w:color="auto" w:sz="8" w:space="0"/>
              <w:bottom w:val="nil"/>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4" w:hRule="atLeast"/>
        </w:trPr>
        <w:tc>
          <w:tcPr>
            <w:tcW w:w="324" w:type="pct"/>
            <w:vMerge w:val="continue"/>
            <w:tcBorders>
              <w:top w:val="nil"/>
              <w:left w:val="single" w:color="auto" w:sz="8" w:space="0"/>
              <w:bottom w:val="nil"/>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nil"/>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▲高可靠性</w:t>
            </w:r>
          </w:p>
        </w:tc>
        <w:tc>
          <w:tcPr>
            <w:tcW w:w="3198" w:type="pct"/>
            <w:tcBorders>
              <w:top w:val="nil"/>
              <w:left w:val="nil"/>
              <w:bottom w:val="single" w:color="auto" w:sz="4" w:space="0"/>
              <w:right w:val="nil"/>
            </w:tcBorders>
            <w:shd w:val="clear" w:color="auto" w:fill="auto"/>
            <w:vAlign w:val="bottom"/>
          </w:tcPr>
          <w:p>
            <w:pPr>
              <w:widowControl/>
              <w:jc w:val="left"/>
              <w:rPr>
                <w:rFonts w:ascii="宋体" w:hAnsi="宋体" w:cs="宋体"/>
                <w:color w:val="auto"/>
                <w:kern w:val="0"/>
                <w:sz w:val="24"/>
              </w:rPr>
            </w:pPr>
            <w:r>
              <w:rPr>
                <w:rFonts w:hint="eastAsia" w:ascii="宋体" w:hAnsi="宋体" w:cs="宋体"/>
                <w:color w:val="auto"/>
                <w:kern w:val="0"/>
                <w:sz w:val="24"/>
              </w:rPr>
              <w:t>所投机型全年非计划类停机时间超过4小时概率≤1%，需提供2020年第三方机构官方全球服务器最新调研报告资料</w:t>
            </w:r>
          </w:p>
        </w:tc>
        <w:tc>
          <w:tcPr>
            <w:tcW w:w="594" w:type="pct"/>
            <w:vMerge w:val="continue"/>
            <w:tcBorders>
              <w:top w:val="nil"/>
              <w:left w:val="single" w:color="auto" w:sz="8" w:space="0"/>
              <w:bottom w:val="nil"/>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262" w:hRule="atLeast"/>
        </w:trPr>
        <w:tc>
          <w:tcPr>
            <w:tcW w:w="324" w:type="pct"/>
            <w:vMerge w:val="continue"/>
            <w:tcBorders>
              <w:left w:val="single" w:color="auto" w:sz="8" w:space="0"/>
              <w:bottom w:val="nil"/>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left w:val="single" w:color="auto" w:sz="8" w:space="0"/>
              <w:bottom w:val="nil"/>
              <w:right w:val="single" w:color="auto" w:sz="8" w:space="0"/>
            </w:tcBorders>
            <w:vAlign w:val="center"/>
          </w:tcPr>
          <w:p>
            <w:pPr>
              <w:widowControl/>
              <w:jc w:val="left"/>
              <w:rPr>
                <w:rFonts w:ascii="宋体" w:hAnsi="宋体" w:cs="宋体"/>
                <w:color w:val="auto"/>
                <w:kern w:val="0"/>
                <w:sz w:val="24"/>
              </w:rPr>
            </w:pPr>
          </w:p>
        </w:tc>
        <w:tc>
          <w:tcPr>
            <w:tcW w:w="474" w:type="pct"/>
            <w:tcBorders>
              <w:top w:val="single" w:color="auto" w:sz="4" w:space="0"/>
              <w:left w:val="nil"/>
              <w:bottom w:val="single" w:color="auto" w:sz="8" w:space="0"/>
              <w:right w:val="single" w:color="auto" w:sz="8" w:space="0"/>
            </w:tcBorders>
            <w:shd w:val="clear" w:color="auto" w:fill="auto"/>
            <w:vAlign w:val="center"/>
          </w:tcPr>
          <w:p>
            <w:pPr>
              <w:widowControl/>
              <w:jc w:val="left"/>
              <w:rPr>
                <w:rFonts w:hint="eastAsia" w:ascii="宋体" w:hAnsi="宋体" w:cs="宋体"/>
                <w:color w:val="auto"/>
                <w:kern w:val="0"/>
                <w:sz w:val="24"/>
              </w:rPr>
            </w:pPr>
            <w:r>
              <w:rPr>
                <w:rFonts w:hint="eastAsia" w:ascii="宋体" w:hAnsi="宋体" w:cs="宋体"/>
                <w:color w:val="auto"/>
                <w:kern w:val="0"/>
                <w:sz w:val="24"/>
              </w:rPr>
              <w:t>售后服务</w:t>
            </w:r>
          </w:p>
        </w:tc>
        <w:tc>
          <w:tcPr>
            <w:tcW w:w="3198" w:type="pct"/>
            <w:tcBorders>
              <w:top w:val="single" w:color="auto" w:sz="4" w:space="0"/>
              <w:left w:val="nil"/>
              <w:bottom w:val="nil"/>
              <w:right w:val="nil"/>
            </w:tcBorders>
            <w:shd w:val="clear" w:color="auto" w:fill="auto"/>
            <w:vAlign w:val="center"/>
          </w:tcPr>
          <w:p>
            <w:pPr>
              <w:widowControl/>
              <w:jc w:val="left"/>
              <w:rPr>
                <w:rFonts w:hint="eastAsia" w:ascii="宋体" w:hAnsi="宋体" w:cs="宋体"/>
                <w:color w:val="auto"/>
                <w:kern w:val="0"/>
                <w:sz w:val="24"/>
              </w:rPr>
            </w:pPr>
            <w:r>
              <w:rPr>
                <w:rFonts w:hint="eastAsia" w:ascii="宋体" w:hAnsi="宋体" w:cs="宋体"/>
                <w:color w:val="auto"/>
                <w:kern w:val="0"/>
                <w:sz w:val="24"/>
              </w:rPr>
              <w:t>提供原厂商工程师安装调试与实施以及三年7*24*4级别原厂免费质保服务；</w:t>
            </w:r>
          </w:p>
        </w:tc>
        <w:tc>
          <w:tcPr>
            <w:tcW w:w="594" w:type="pct"/>
            <w:vMerge w:val="continue"/>
            <w:tcBorders>
              <w:left w:val="single" w:color="auto" w:sz="8" w:space="0"/>
              <w:bottom w:val="nil"/>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00" w:hRule="atLeast"/>
        </w:trPr>
        <w:tc>
          <w:tcPr>
            <w:tcW w:w="324"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2</w:t>
            </w:r>
          </w:p>
        </w:tc>
        <w:tc>
          <w:tcPr>
            <w:tcW w:w="407"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CPU计算节点</w:t>
            </w:r>
            <w:r>
              <w:rPr>
                <w:rFonts w:hint="eastAsia" w:ascii="宋体" w:hAnsi="宋体" w:cs="宋体"/>
                <w:color w:val="auto"/>
                <w:kern w:val="0"/>
                <w:sz w:val="24"/>
              </w:rPr>
              <w:br w:type="textWrapping"/>
            </w:r>
            <w:r>
              <w:rPr>
                <w:rFonts w:hint="eastAsia" w:ascii="宋体" w:hAnsi="宋体" w:cs="宋体"/>
                <w:color w:val="auto"/>
                <w:kern w:val="0"/>
                <w:sz w:val="24"/>
              </w:rPr>
              <w:t>刀箱</w:t>
            </w:r>
          </w:p>
        </w:tc>
        <w:tc>
          <w:tcPr>
            <w:tcW w:w="474"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整体设计</w:t>
            </w:r>
          </w:p>
        </w:tc>
        <w:tc>
          <w:tcPr>
            <w:tcW w:w="3198" w:type="pct"/>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全模块化设计，模块化设计，各主要组件支持不停电维护。</w:t>
            </w:r>
          </w:p>
        </w:tc>
        <w:tc>
          <w:tcPr>
            <w:tcW w:w="594" w:type="pct"/>
            <w:vMerge w:val="restart"/>
            <w:tcBorders>
              <w:top w:val="single" w:color="auto" w:sz="8" w:space="0"/>
              <w:left w:val="single" w:color="auto" w:sz="8" w:space="0"/>
              <w:bottom w:val="single" w:color="000000" w:sz="8" w:space="0"/>
              <w:right w:val="single" w:color="auto" w:sz="8" w:space="0"/>
            </w:tcBorders>
            <w:shd w:val="clear" w:color="auto" w:fill="auto"/>
          </w:tcPr>
          <w:p>
            <w:pPr>
              <w:widowControl/>
              <w:jc w:val="center"/>
              <w:rPr>
                <w:rFonts w:ascii="宋体" w:hAnsi="宋体" w:cs="宋体"/>
                <w:color w:val="auto"/>
                <w:kern w:val="0"/>
                <w:sz w:val="24"/>
              </w:rPr>
            </w:pPr>
            <w:r>
              <w:rPr>
                <w:rFonts w:hint="eastAsia" w:ascii="宋体" w:hAnsi="宋体" w:cs="宋体"/>
                <w:color w:val="auto"/>
                <w:kern w:val="0"/>
                <w:sz w:val="24"/>
              </w:rPr>
              <w:t>4套</w:t>
            </w:r>
          </w:p>
        </w:tc>
      </w:tr>
      <w:tr>
        <w:tblPrEx>
          <w:tblCellMar>
            <w:top w:w="0" w:type="dxa"/>
            <w:left w:w="108" w:type="dxa"/>
            <w:bottom w:w="0" w:type="dxa"/>
            <w:right w:w="108" w:type="dxa"/>
          </w:tblCellMar>
        </w:tblPrEx>
        <w:trPr>
          <w:trHeight w:val="300" w:hRule="atLeast"/>
        </w:trPr>
        <w:tc>
          <w:tcPr>
            <w:tcW w:w="32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≥2U机架式，支持计算刀片和IO独立维护。</w:t>
            </w:r>
          </w:p>
        </w:tc>
        <w:tc>
          <w:tcPr>
            <w:tcW w:w="59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00" w:hRule="atLeast"/>
        </w:trPr>
        <w:tc>
          <w:tcPr>
            <w:tcW w:w="32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整体配置要求</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配置满足性能要求的节点和节点所需的机箱及附件</w:t>
            </w:r>
          </w:p>
        </w:tc>
        <w:tc>
          <w:tcPr>
            <w:tcW w:w="59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00" w:hRule="atLeast"/>
        </w:trPr>
        <w:tc>
          <w:tcPr>
            <w:tcW w:w="32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可管理和维护性</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配置独立的热插拔刀箱管理模块，拥有1个千兆RJ45接口。</w:t>
            </w:r>
          </w:p>
        </w:tc>
        <w:tc>
          <w:tcPr>
            <w:tcW w:w="59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支持对刀箱内部刀片统一管理，包括：节点状态、刀箱电源风扇的状态、电源及风扇管理、日志管理等功能。</w:t>
            </w:r>
          </w:p>
        </w:tc>
        <w:tc>
          <w:tcPr>
            <w:tcW w:w="59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00" w:hRule="atLeast"/>
        </w:trPr>
        <w:tc>
          <w:tcPr>
            <w:tcW w:w="32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支持多个刀箱管理模块串联(≥3个串联)，通过单一管理界面统一管理。</w:t>
            </w:r>
          </w:p>
        </w:tc>
        <w:tc>
          <w:tcPr>
            <w:tcW w:w="59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管理软件</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提供统一管理软件可管理同品牌服务器、网络与存储设备。提供软件著作权证书；提供本软件原厂3年售后专业支持和服务。</w:t>
            </w:r>
          </w:p>
        </w:tc>
        <w:tc>
          <w:tcPr>
            <w:tcW w:w="59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支持同品牌服务器的硬件配置、微码、操作系统的统一管理，支持批量配置服务器UEFI（BIOS），并提供相应文档；</w:t>
            </w:r>
          </w:p>
        </w:tc>
        <w:tc>
          <w:tcPr>
            <w:tcW w:w="59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260" w:hRule="atLeast"/>
        </w:trPr>
        <w:tc>
          <w:tcPr>
            <w:tcW w:w="32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支持向上集成统一管理功能，可和VMware vCenter和Microsoft System Center做到集成，由vCenter、MSC直接管理硬件，支持硬件故障自动预测功能，当虚拟机主机可能出现故障前自动发现隐患并提供报警和自动迁移虚机功能，提供官方文档说明实现方式</w:t>
            </w:r>
          </w:p>
        </w:tc>
        <w:tc>
          <w:tcPr>
            <w:tcW w:w="59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948" w:hRule="atLeast"/>
        </w:trPr>
        <w:tc>
          <w:tcPr>
            <w:tcW w:w="32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部署工具</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本次提供非开源操作系统批量部署软件，可管理操作系统映像的存储库以及可同时将操作系统映像部署到25台以上受管服务器，提供相关软件使用指导和功能授权，提供官网证明材料</w:t>
            </w:r>
          </w:p>
        </w:tc>
        <w:tc>
          <w:tcPr>
            <w:tcW w:w="59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00" w:hRule="atLeast"/>
        </w:trPr>
        <w:tc>
          <w:tcPr>
            <w:tcW w:w="32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电源</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配置N+N白金级热插拔电源，单电源输出功率≥2000W，提供80Plus电源认证证书</w:t>
            </w:r>
          </w:p>
        </w:tc>
        <w:tc>
          <w:tcPr>
            <w:tcW w:w="59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00" w:hRule="atLeast"/>
        </w:trPr>
        <w:tc>
          <w:tcPr>
            <w:tcW w:w="32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风扇</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配置冗余系统风扇</w:t>
            </w:r>
          </w:p>
        </w:tc>
        <w:tc>
          <w:tcPr>
            <w:tcW w:w="59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00" w:hRule="atLeast"/>
        </w:trPr>
        <w:tc>
          <w:tcPr>
            <w:tcW w:w="32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配件</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配置滑轨套件</w:t>
            </w:r>
          </w:p>
        </w:tc>
        <w:tc>
          <w:tcPr>
            <w:tcW w:w="59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00" w:hRule="atLeast"/>
        </w:trPr>
        <w:tc>
          <w:tcPr>
            <w:tcW w:w="32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▲产品认证</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整机箱通过中国3C认证，要求提供证书扫描件供查证。</w:t>
            </w:r>
          </w:p>
        </w:tc>
        <w:tc>
          <w:tcPr>
            <w:tcW w:w="59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288" w:hRule="atLeast"/>
        </w:trPr>
        <w:tc>
          <w:tcPr>
            <w:tcW w:w="32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售后服务</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提供原厂商工程师安装调试与实施以及三年7*24*4级别原厂免费质保服务；</w:t>
            </w:r>
          </w:p>
        </w:tc>
        <w:tc>
          <w:tcPr>
            <w:tcW w:w="59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00" w:hRule="atLeast"/>
        </w:trPr>
        <w:tc>
          <w:tcPr>
            <w:tcW w:w="324"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3</w:t>
            </w:r>
          </w:p>
        </w:tc>
        <w:tc>
          <w:tcPr>
            <w:tcW w:w="407"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登录，管理，IO节点</w:t>
            </w: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机架式</w:t>
            </w:r>
          </w:p>
        </w:tc>
        <w:tc>
          <w:tcPr>
            <w:tcW w:w="3198" w:type="pct"/>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auto"/>
                <w:kern w:val="0"/>
                <w:sz w:val="24"/>
              </w:rPr>
            </w:pPr>
            <w:r>
              <w:rPr>
                <w:rFonts w:hint="eastAsia" w:ascii="宋体" w:hAnsi="宋体" w:cs="宋体"/>
                <w:color w:val="auto"/>
                <w:kern w:val="0"/>
                <w:sz w:val="24"/>
              </w:rPr>
              <w:t>≥2U机架式，带导轨</w:t>
            </w:r>
          </w:p>
        </w:tc>
        <w:tc>
          <w:tcPr>
            <w:tcW w:w="594" w:type="pct"/>
            <w:vMerge w:val="restart"/>
            <w:tcBorders>
              <w:top w:val="nil"/>
              <w:left w:val="single" w:color="auto" w:sz="8" w:space="0"/>
              <w:bottom w:val="single" w:color="000000" w:sz="8" w:space="0"/>
              <w:right w:val="single" w:color="auto" w:sz="8" w:space="0"/>
            </w:tcBorders>
            <w:shd w:val="clear" w:color="auto" w:fill="auto"/>
          </w:tcPr>
          <w:p>
            <w:pPr>
              <w:widowControl/>
              <w:jc w:val="center"/>
              <w:rPr>
                <w:rFonts w:ascii="宋体" w:hAnsi="宋体" w:cs="宋体"/>
                <w:color w:val="auto"/>
                <w:kern w:val="0"/>
                <w:sz w:val="24"/>
              </w:rPr>
            </w:pPr>
            <w:r>
              <w:rPr>
                <w:rFonts w:hint="eastAsia" w:ascii="宋体" w:hAnsi="宋体" w:cs="宋体"/>
                <w:color w:val="auto"/>
                <w:kern w:val="0"/>
                <w:sz w:val="24"/>
              </w:rPr>
              <w:t>3台</w:t>
            </w: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highlight w:val="none"/>
              </w:rPr>
              <w:t>★处理器配置</w:t>
            </w:r>
            <w:r>
              <w:rPr>
                <w:rFonts w:hint="eastAsia" w:ascii="宋体" w:hAnsi="宋体" w:cs="宋体"/>
                <w:color w:val="auto"/>
                <w:kern w:val="0"/>
                <w:sz w:val="24"/>
              </w:rPr>
              <w:t>数目</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配置2颗Intel Xeon Scalable Gold 4214R（12核，2.4GHz主频）处理器,支持英特尔至强可扩展处理器家族中的金牌和铂金级别处理器，最高功率205W</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00"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内存类型</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≥24个DDR4内存插槽,当前配置8根32GB ECC DDR4 2933MHz内存。</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00"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PCIe上行线路</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要求PCIe上行线路规格不低于x16，附加于PCH的PCIe通道，以支持更存储访问带宽</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00"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硬盘配置</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本次配置2块Intel S4510 960GB SSD硬盘</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阵列控制器</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 xml:space="preserve">配置1块独立12Gbps阵列控制器，2G缓存，配置超级保护电池；支持RAID 0/1/10/5/6/50/等功能 </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288"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网卡</w:t>
            </w: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配置1块双口万兆以太网卡（含模块）；</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00"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配置1个千兆专用管理端口。</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HBA卡</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配置1块双口16G HBA卡（含模块）</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HCA卡</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配置1块EDR 100Gb 网卡</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电源</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配置冗余高能效转换电源，实现1+1冗余，单个电源功率不低于750W。，提供80Plus电源认证证书</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▲TPC-E规范</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符合《网络关键设备和网络安全专用产品目录（第一批）》规范要求TPC-E ≥6500 tpsE标准。提供官网链接及截图</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管理软件</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提供统一管理软件可管理服务器、存储设备。提供软件著作权证书；提供本软件原厂3年售后专业支持和服务。</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支持同品牌服务器的硬件配置、微码、操作系统的统一管理，支持批量配置服务器UEFI（BIOS），并提供相应文档；</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260"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支持向上集成统一管理功能，可和VMware vCenter和Microsoft System Center做到集成，由vCenter、MSC直接管理硬件，支持硬件故障自动预测功能，当虚拟机主机可能出现故障前自动发现隐患并提供报警和自动迁移虚机功能，提供官方文档说明实现方式</w:t>
            </w:r>
            <w:r>
              <w:rPr>
                <w:rFonts w:hint="eastAsia" w:ascii="宋体" w:hAnsi="宋体" w:cs="宋体"/>
                <w:color w:val="auto"/>
                <w:kern w:val="0"/>
                <w:sz w:val="24"/>
                <w:highlight w:val="none"/>
              </w:rPr>
              <w:t>（中标后</w:t>
            </w:r>
            <w:r>
              <w:rPr>
                <w:rFonts w:hint="eastAsia" w:ascii="宋体" w:hAnsi="宋体" w:cs="宋体"/>
                <w:color w:val="auto"/>
                <w:kern w:val="0"/>
                <w:sz w:val="24"/>
                <w:highlight w:val="none"/>
                <w:lang w:val="en-US" w:eastAsia="zh-CN"/>
              </w:rPr>
              <w:t>5日内</w:t>
            </w:r>
            <w:r>
              <w:rPr>
                <w:rFonts w:hint="eastAsia" w:ascii="宋体" w:hAnsi="宋体" w:cs="宋体"/>
                <w:color w:val="auto"/>
                <w:kern w:val="0"/>
                <w:sz w:val="24"/>
                <w:highlight w:val="none"/>
              </w:rPr>
              <w:t>提供加盖厂商公章文件）</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948"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部署工具</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本次提供非开源操作系统批量部署软件，可管理操作系统映像的存储库以及可同时将操作系统映像部署到25台以上受管服务器，提供相关软件使用指导和功能授权，提供官网证明材料</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工作温度</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支持ASHARE A4标准；工作温度最高支持0-50摄氏度，并提供国家级认证机构NCTC相关证明材料</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▲产品电磁辐射</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设备的无线电1G以上、1G以下达到B级标准(GB/T 9254-2008)，要求提供国家级检测机构出具的产品检验合格证书及报告，提供扫描件供查证</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▲可靠性</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所投机型全年非计划类停机时间超过4小时概率≤1%，需提供2020年第三方机构官方全球服务器最新调研报告资料</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满足平均无故障时间MTBF的m1值≥15万小时，并提供国家级认证机构NCTC相关证明材料。</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▲产品认证</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通过中国3C认证，要求提供证书扫描件供查证。</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售后服务</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提供原厂商工程师安装调试与实施以及三年7*24*4级别原厂免费质保服务；</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restart"/>
            <w:tcBorders>
              <w:top w:val="nil"/>
              <w:left w:val="single" w:color="auto" w:sz="8" w:space="0"/>
              <w:bottom w:val="single" w:color="000000" w:sz="8" w:space="0"/>
              <w:right w:val="single" w:color="auto" w:sz="8" w:space="0"/>
            </w:tcBorders>
            <w:shd w:val="clear" w:color="auto" w:fill="auto"/>
            <w:noWrap/>
          </w:tcPr>
          <w:p>
            <w:pPr>
              <w:widowControl/>
              <w:jc w:val="center"/>
              <w:rPr>
                <w:rFonts w:ascii="宋体" w:hAnsi="宋体" w:cs="宋体"/>
                <w:color w:val="auto"/>
                <w:kern w:val="0"/>
                <w:sz w:val="24"/>
              </w:rPr>
            </w:pPr>
            <w:r>
              <w:rPr>
                <w:rFonts w:hint="eastAsia" w:ascii="宋体" w:hAnsi="宋体" w:cs="宋体"/>
                <w:color w:val="auto"/>
                <w:kern w:val="0"/>
                <w:sz w:val="24"/>
              </w:rPr>
              <w:t>4</w:t>
            </w:r>
          </w:p>
        </w:tc>
        <w:tc>
          <w:tcPr>
            <w:tcW w:w="407" w:type="pct"/>
            <w:vMerge w:val="restart"/>
            <w:tcBorders>
              <w:top w:val="nil"/>
              <w:left w:val="single" w:color="auto" w:sz="8" w:space="0"/>
              <w:bottom w:val="single" w:color="000000" w:sz="8" w:space="0"/>
              <w:right w:val="single" w:color="auto" w:sz="8" w:space="0"/>
            </w:tcBorders>
            <w:shd w:val="clear" w:color="auto" w:fill="auto"/>
          </w:tcPr>
          <w:p>
            <w:pPr>
              <w:widowControl/>
              <w:jc w:val="center"/>
              <w:rPr>
                <w:rFonts w:ascii="宋体" w:hAnsi="宋体" w:cs="宋体"/>
                <w:color w:val="auto"/>
                <w:kern w:val="0"/>
                <w:sz w:val="24"/>
              </w:rPr>
            </w:pPr>
            <w:r>
              <w:rPr>
                <w:rFonts w:hint="eastAsia" w:ascii="宋体" w:hAnsi="宋体" w:cs="宋体"/>
                <w:color w:val="auto"/>
                <w:kern w:val="0"/>
                <w:sz w:val="24"/>
              </w:rPr>
              <w:t>存储阵列</w:t>
            </w:r>
          </w:p>
        </w:tc>
        <w:tc>
          <w:tcPr>
            <w:tcW w:w="474"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基本要求</w:t>
            </w: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国际知名品牌。中国制造。</w:t>
            </w:r>
          </w:p>
        </w:tc>
        <w:tc>
          <w:tcPr>
            <w:tcW w:w="594" w:type="pct"/>
            <w:vMerge w:val="restart"/>
            <w:tcBorders>
              <w:top w:val="nil"/>
              <w:left w:val="single" w:color="auto" w:sz="8" w:space="0"/>
              <w:bottom w:val="single" w:color="000000" w:sz="8" w:space="0"/>
              <w:right w:val="single" w:color="auto" w:sz="8" w:space="0"/>
            </w:tcBorders>
            <w:shd w:val="clear" w:color="auto" w:fill="auto"/>
            <w:noWrap/>
          </w:tcPr>
          <w:p>
            <w:pPr>
              <w:widowControl/>
              <w:jc w:val="center"/>
              <w:rPr>
                <w:rFonts w:ascii="宋体" w:hAnsi="宋体" w:cs="宋体"/>
                <w:color w:val="auto"/>
                <w:kern w:val="0"/>
                <w:sz w:val="24"/>
              </w:rPr>
            </w:pPr>
            <w:r>
              <w:rPr>
                <w:rFonts w:hint="eastAsia" w:ascii="宋体" w:hAnsi="宋体" w:cs="宋体"/>
                <w:color w:val="auto"/>
                <w:kern w:val="0"/>
                <w:sz w:val="24"/>
              </w:rPr>
              <w:t>1套</w:t>
            </w:r>
          </w:p>
        </w:tc>
      </w:tr>
      <w:tr>
        <w:tblPrEx>
          <w:tblCellMar>
            <w:top w:w="0" w:type="dxa"/>
            <w:left w:w="108" w:type="dxa"/>
            <w:bottom w:w="0" w:type="dxa"/>
            <w:right w:w="108" w:type="dxa"/>
          </w:tblCellMar>
        </w:tblPrEx>
        <w:trPr>
          <w:trHeight w:val="3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单节点或控制器必须同时支持FC SAN、IP SAN等协议。</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★控制器</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冗余双控制器结构， SAN控制器数量要求≥2；高速点对点传输总线结构；可支持FC、iSCSI协议</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★Cache容量</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本次配置缓存≥64GB（不含任何性能加速模块或NAS缓存、FlashCache、PAM卡，SSDCache等）</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I/O能力要求</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最大性能扩展值IOPS不低于30万，并提供官方证明</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物理裸盘容量</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本次配置：≥20块12TB 7.2K 3.5 英寸硬盘；最多磁盘驱动器数量≥192个.</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主机连接接口</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包括但不限于FC-SAN，IP-SAN，FC-DAS,SAS，支持≥12个主机通道，配置32Gb FC ≥8个</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RAID支持</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支持RAID0/1/10/3/5/6/DDP等</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多通道与负载均衡管理软件</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免费提供多路径管理功能,无主机连接数限制</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软件配置要求</w:t>
            </w: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配置快照、驱动器加密等软件功能。</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支持写CACHE镜像、支持远程数据复制、支持同步/异步复制。软件授权按照存储系统计费，无主机数量和容量许可，后期不可按照主机数量和容量许可收费</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操作系统的兼容性</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支持业界主流平台（Windows server、UNIX、LINUX、HP-UNIX、AIX、Solaris、VMware、Citrix、SuSE及Redhat等）</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备份管理软件的兼容性</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NBU/NetWorker/CV/TSM/DP</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数据库的兼容性</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Oracle/Informix/Sybase/SQL Server/DB2</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可用性</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配置冗余电源、冗余风扇、冗余控制器;必须支持在线可热插拔更换；保证系统内无任何单点错误的隐患</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▲产品认证</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通过中国3C认证，要求提供证书扫描件供查证。</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售后服务</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提供原厂商工程师安装调试与实施以及三年7*24*4级别原厂免费质保服务；</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restart"/>
            <w:tcBorders>
              <w:top w:val="nil"/>
              <w:left w:val="single" w:color="auto" w:sz="8" w:space="0"/>
              <w:bottom w:val="single" w:color="000000" w:sz="8" w:space="0"/>
              <w:right w:val="single" w:color="auto" w:sz="8" w:space="0"/>
            </w:tcBorders>
            <w:shd w:val="clear" w:color="auto" w:fill="auto"/>
            <w:noWrap/>
            <w:vAlign w:val="bottom"/>
          </w:tcPr>
          <w:p>
            <w:pPr>
              <w:widowControl/>
              <w:jc w:val="center"/>
              <w:rPr>
                <w:rFonts w:ascii="宋体" w:hAnsi="宋体" w:cs="宋体"/>
                <w:color w:val="auto"/>
                <w:kern w:val="0"/>
                <w:sz w:val="24"/>
              </w:rPr>
            </w:pPr>
            <w:r>
              <w:rPr>
                <w:rFonts w:hint="eastAsia" w:ascii="宋体" w:hAnsi="宋体" w:cs="宋体"/>
                <w:color w:val="auto"/>
                <w:kern w:val="0"/>
                <w:sz w:val="24"/>
              </w:rPr>
              <w:t>5</w:t>
            </w:r>
          </w:p>
        </w:tc>
        <w:tc>
          <w:tcPr>
            <w:tcW w:w="407"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计算网络平台</w:t>
            </w:r>
          </w:p>
        </w:tc>
        <w:tc>
          <w:tcPr>
            <w:tcW w:w="474" w:type="pct"/>
            <w:tcBorders>
              <w:top w:val="nil"/>
              <w:left w:val="nil"/>
              <w:bottom w:val="single" w:color="auto" w:sz="8" w:space="0"/>
              <w:right w:val="single" w:color="auto" w:sz="8" w:space="0"/>
            </w:tcBorders>
            <w:shd w:val="clear" w:color="auto" w:fill="auto"/>
            <w:vAlign w:val="center"/>
          </w:tcPr>
          <w:p>
            <w:pPr>
              <w:widowControl/>
              <w:rPr>
                <w:rFonts w:ascii="宋体" w:hAnsi="宋体" w:cs="宋体"/>
                <w:color w:val="auto"/>
                <w:kern w:val="0"/>
                <w:sz w:val="24"/>
              </w:rPr>
            </w:pPr>
            <w:r>
              <w:rPr>
                <w:rFonts w:hint="eastAsia" w:ascii="宋体" w:hAnsi="宋体" w:cs="宋体"/>
                <w:color w:val="auto"/>
                <w:kern w:val="0"/>
                <w:sz w:val="24"/>
              </w:rPr>
              <w:t>计算网络</w:t>
            </w:r>
          </w:p>
        </w:tc>
        <w:tc>
          <w:tcPr>
            <w:tcW w:w="3198" w:type="pct"/>
            <w:tcBorders>
              <w:top w:val="nil"/>
              <w:left w:val="nil"/>
              <w:bottom w:val="single" w:color="auto" w:sz="8" w:space="0"/>
              <w:right w:val="single" w:color="auto" w:sz="8" w:space="0"/>
            </w:tcBorders>
            <w:shd w:val="clear" w:color="auto" w:fill="auto"/>
            <w:vAlign w:val="center"/>
          </w:tcPr>
          <w:p>
            <w:pPr>
              <w:widowControl/>
              <w:rPr>
                <w:rFonts w:ascii="宋体" w:hAnsi="宋体" w:cs="宋体"/>
                <w:color w:val="auto"/>
                <w:kern w:val="0"/>
                <w:sz w:val="24"/>
              </w:rPr>
            </w:pPr>
            <w:r>
              <w:rPr>
                <w:rFonts w:hint="eastAsia" w:ascii="宋体" w:hAnsi="宋体" w:cs="宋体"/>
                <w:color w:val="auto"/>
                <w:kern w:val="0"/>
                <w:sz w:val="24"/>
              </w:rPr>
              <w:t>配置一台≥40口100G HDR交换机， 满足本次集群及存储间高速互联所需，配置满足集群所需EDR线缆，保证系统正常使用。</w:t>
            </w:r>
          </w:p>
        </w:tc>
        <w:tc>
          <w:tcPr>
            <w:tcW w:w="594" w:type="pct"/>
            <w:vMerge w:val="restart"/>
            <w:tcBorders>
              <w:top w:val="nil"/>
              <w:left w:val="single" w:color="auto" w:sz="8" w:space="0"/>
              <w:bottom w:val="single" w:color="000000" w:sz="8" w:space="0"/>
              <w:right w:val="single" w:color="auto" w:sz="8" w:space="0"/>
            </w:tcBorders>
            <w:shd w:val="clear" w:color="auto" w:fill="auto"/>
            <w:noWrap/>
          </w:tcPr>
          <w:p>
            <w:pPr>
              <w:widowControl/>
              <w:jc w:val="center"/>
              <w:rPr>
                <w:rFonts w:ascii="宋体" w:hAnsi="宋体" w:cs="宋体"/>
                <w:color w:val="auto"/>
                <w:kern w:val="0"/>
                <w:sz w:val="24"/>
              </w:rPr>
            </w:pPr>
            <w:r>
              <w:rPr>
                <w:rFonts w:hint="eastAsia" w:ascii="宋体" w:hAnsi="宋体" w:cs="宋体"/>
                <w:color w:val="auto"/>
                <w:kern w:val="0"/>
                <w:sz w:val="24"/>
              </w:rPr>
              <w:t>1台</w:t>
            </w:r>
          </w:p>
        </w:tc>
      </w:tr>
      <w:tr>
        <w:tblPrEx>
          <w:tblCellMar>
            <w:top w:w="0" w:type="dxa"/>
            <w:left w:w="108" w:type="dxa"/>
            <w:bottom w:w="0" w:type="dxa"/>
            <w:right w:w="108" w:type="dxa"/>
          </w:tblCellMar>
        </w:tblPrEx>
        <w:trPr>
          <w:trHeight w:val="3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8" w:space="0"/>
              <w:right w:val="single" w:color="auto" w:sz="8" w:space="0"/>
            </w:tcBorders>
            <w:shd w:val="clear" w:color="auto" w:fill="auto"/>
            <w:vAlign w:val="center"/>
          </w:tcPr>
          <w:p>
            <w:pPr>
              <w:widowControl/>
              <w:rPr>
                <w:rFonts w:ascii="宋体" w:hAnsi="宋体" w:cs="宋体"/>
                <w:color w:val="auto"/>
                <w:kern w:val="0"/>
                <w:sz w:val="24"/>
              </w:rPr>
            </w:pPr>
            <w:r>
              <w:rPr>
                <w:rFonts w:hint="eastAsia" w:ascii="宋体" w:hAnsi="宋体" w:cs="宋体"/>
                <w:color w:val="auto"/>
                <w:kern w:val="0"/>
                <w:sz w:val="24"/>
              </w:rPr>
              <w:t>售后服务</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提供原厂商工程师安装调试与实施以及三年7*24*4级别原厂免费质保服务；</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tcBorders>
              <w:top w:val="nil"/>
              <w:left w:val="single" w:color="auto" w:sz="8" w:space="0"/>
              <w:bottom w:val="single" w:color="auto" w:sz="8" w:space="0"/>
              <w:right w:val="single" w:color="auto" w:sz="8" w:space="0"/>
            </w:tcBorders>
            <w:shd w:val="clear" w:color="auto" w:fill="auto"/>
            <w:noWrap/>
            <w:vAlign w:val="bottom"/>
          </w:tcPr>
          <w:p>
            <w:pPr>
              <w:widowControl/>
              <w:jc w:val="center"/>
              <w:rPr>
                <w:rFonts w:ascii="宋体" w:hAnsi="宋体" w:cs="宋体"/>
                <w:color w:val="auto"/>
                <w:kern w:val="0"/>
                <w:sz w:val="24"/>
              </w:rPr>
            </w:pPr>
            <w:r>
              <w:rPr>
                <w:rFonts w:hint="eastAsia" w:ascii="宋体" w:hAnsi="宋体" w:cs="宋体"/>
                <w:color w:val="auto"/>
                <w:kern w:val="0"/>
                <w:sz w:val="24"/>
              </w:rPr>
              <w:t>6</w:t>
            </w:r>
          </w:p>
        </w:tc>
        <w:tc>
          <w:tcPr>
            <w:tcW w:w="407"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管理网络平台</w:t>
            </w:r>
          </w:p>
        </w:tc>
        <w:tc>
          <w:tcPr>
            <w:tcW w:w="474" w:type="pct"/>
            <w:tcBorders>
              <w:top w:val="nil"/>
              <w:left w:val="nil"/>
              <w:bottom w:val="single" w:color="auto" w:sz="8" w:space="0"/>
              <w:right w:val="single" w:color="auto" w:sz="8" w:space="0"/>
            </w:tcBorders>
            <w:shd w:val="clear" w:color="auto" w:fill="auto"/>
            <w:vAlign w:val="center"/>
          </w:tcPr>
          <w:p>
            <w:pPr>
              <w:widowControl/>
              <w:rPr>
                <w:rFonts w:ascii="宋体" w:hAnsi="宋体" w:cs="宋体"/>
                <w:color w:val="auto"/>
                <w:kern w:val="0"/>
                <w:sz w:val="24"/>
              </w:rPr>
            </w:pPr>
            <w:r>
              <w:rPr>
                <w:rFonts w:hint="eastAsia" w:ascii="宋体" w:hAnsi="宋体" w:cs="宋体"/>
                <w:color w:val="auto"/>
                <w:kern w:val="0"/>
                <w:sz w:val="24"/>
              </w:rPr>
              <w:t>集群管理网络</w:t>
            </w:r>
          </w:p>
        </w:tc>
        <w:tc>
          <w:tcPr>
            <w:tcW w:w="3198" w:type="pct"/>
            <w:tcBorders>
              <w:top w:val="nil"/>
              <w:left w:val="nil"/>
              <w:bottom w:val="single" w:color="auto" w:sz="8" w:space="0"/>
              <w:right w:val="single" w:color="auto" w:sz="8" w:space="0"/>
            </w:tcBorders>
            <w:shd w:val="clear" w:color="auto" w:fill="auto"/>
            <w:vAlign w:val="center"/>
          </w:tcPr>
          <w:p>
            <w:pPr>
              <w:widowControl/>
              <w:rPr>
                <w:rFonts w:ascii="宋体" w:hAnsi="宋体" w:cs="宋体"/>
                <w:color w:val="auto"/>
                <w:kern w:val="0"/>
                <w:sz w:val="24"/>
              </w:rPr>
            </w:pPr>
            <w:r>
              <w:rPr>
                <w:rFonts w:hint="eastAsia" w:ascii="宋体" w:hAnsi="宋体" w:cs="宋体"/>
                <w:color w:val="auto"/>
                <w:kern w:val="0"/>
                <w:sz w:val="24"/>
              </w:rPr>
              <w:t>配置≥1台万兆交换机，≥24个万光口+ ≥6个40Gb上联接口；配置集群所需光纤模块及线缆；</w:t>
            </w:r>
          </w:p>
        </w:tc>
        <w:tc>
          <w:tcPr>
            <w:tcW w:w="594" w:type="pct"/>
            <w:tcBorders>
              <w:top w:val="nil"/>
              <w:left w:val="nil"/>
              <w:bottom w:val="single" w:color="auto" w:sz="8" w:space="0"/>
              <w:right w:val="single" w:color="auto" w:sz="8" w:space="0"/>
            </w:tcBorders>
            <w:shd w:val="clear" w:color="auto" w:fill="auto"/>
            <w:noWrap/>
          </w:tcPr>
          <w:p>
            <w:pPr>
              <w:widowControl/>
              <w:jc w:val="center"/>
              <w:rPr>
                <w:rFonts w:ascii="宋体" w:hAnsi="宋体" w:cs="宋体"/>
                <w:color w:val="auto"/>
                <w:kern w:val="0"/>
                <w:sz w:val="24"/>
              </w:rPr>
            </w:pPr>
            <w:r>
              <w:rPr>
                <w:rFonts w:hint="eastAsia" w:ascii="宋体" w:hAnsi="宋体" w:cs="宋体"/>
                <w:color w:val="auto"/>
                <w:kern w:val="0"/>
                <w:sz w:val="24"/>
              </w:rPr>
              <w:t>1台</w:t>
            </w:r>
          </w:p>
        </w:tc>
      </w:tr>
      <w:tr>
        <w:tblPrEx>
          <w:tblCellMar>
            <w:top w:w="0" w:type="dxa"/>
            <w:left w:w="108" w:type="dxa"/>
            <w:bottom w:w="0" w:type="dxa"/>
            <w:right w:w="108" w:type="dxa"/>
          </w:tblCellMar>
        </w:tblPrEx>
        <w:trPr>
          <w:trHeight w:val="687" w:hRule="atLeast"/>
        </w:trPr>
        <w:tc>
          <w:tcPr>
            <w:tcW w:w="324" w:type="pct"/>
            <w:vMerge w:val="restart"/>
            <w:tcBorders>
              <w:top w:val="nil"/>
              <w:left w:val="single" w:color="auto" w:sz="8" w:space="0"/>
              <w:right w:val="single" w:color="auto" w:sz="8" w:space="0"/>
            </w:tcBorders>
            <w:shd w:val="clear" w:color="auto" w:fill="auto"/>
            <w:noWrap/>
            <w:vAlign w:val="bottom"/>
          </w:tcPr>
          <w:p>
            <w:pPr>
              <w:widowControl/>
              <w:jc w:val="center"/>
              <w:rPr>
                <w:rFonts w:ascii="宋体" w:hAnsi="宋体" w:cs="宋体"/>
                <w:color w:val="auto"/>
                <w:kern w:val="0"/>
                <w:sz w:val="24"/>
              </w:rPr>
            </w:pPr>
            <w:r>
              <w:rPr>
                <w:rFonts w:hint="eastAsia" w:ascii="宋体" w:hAnsi="宋体" w:cs="宋体"/>
                <w:color w:val="auto"/>
                <w:kern w:val="0"/>
                <w:sz w:val="24"/>
              </w:rPr>
              <w:t>7</w:t>
            </w: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nil"/>
              <w:left w:val="nil"/>
              <w:bottom w:val="single" w:color="auto" w:sz="4" w:space="0"/>
              <w:right w:val="single" w:color="auto" w:sz="8" w:space="0"/>
            </w:tcBorders>
            <w:shd w:val="clear" w:color="auto" w:fill="auto"/>
            <w:vAlign w:val="center"/>
          </w:tcPr>
          <w:p>
            <w:pPr>
              <w:widowControl/>
              <w:rPr>
                <w:rFonts w:ascii="宋体" w:hAnsi="宋体" w:cs="宋体"/>
                <w:color w:val="auto"/>
                <w:kern w:val="0"/>
                <w:sz w:val="24"/>
              </w:rPr>
            </w:pPr>
            <w:r>
              <w:rPr>
                <w:rFonts w:hint="eastAsia" w:ascii="宋体" w:hAnsi="宋体" w:cs="宋体"/>
                <w:color w:val="auto"/>
                <w:kern w:val="0"/>
                <w:sz w:val="24"/>
              </w:rPr>
              <w:t>硬件管理网络</w:t>
            </w:r>
          </w:p>
        </w:tc>
        <w:tc>
          <w:tcPr>
            <w:tcW w:w="3198" w:type="pct"/>
            <w:tcBorders>
              <w:top w:val="nil"/>
              <w:left w:val="nil"/>
              <w:bottom w:val="single" w:color="auto" w:sz="4" w:space="0"/>
              <w:right w:val="single" w:color="auto" w:sz="8" w:space="0"/>
            </w:tcBorders>
            <w:shd w:val="clear" w:color="auto" w:fill="auto"/>
            <w:vAlign w:val="center"/>
          </w:tcPr>
          <w:p>
            <w:pPr>
              <w:widowControl/>
              <w:rPr>
                <w:rFonts w:ascii="宋体" w:hAnsi="宋体" w:cs="宋体"/>
                <w:color w:val="auto"/>
                <w:kern w:val="0"/>
                <w:sz w:val="24"/>
              </w:rPr>
            </w:pPr>
            <w:r>
              <w:rPr>
                <w:rFonts w:hint="eastAsia" w:ascii="宋体" w:hAnsi="宋体" w:cs="宋体"/>
                <w:color w:val="auto"/>
                <w:kern w:val="0"/>
                <w:sz w:val="24"/>
              </w:rPr>
              <w:t>配置≥1台千兆交换机，≥24个千兆电口(RJ45)+ ≥4个10Gb（含2个光纤模块）上联接口；</w:t>
            </w:r>
          </w:p>
        </w:tc>
        <w:tc>
          <w:tcPr>
            <w:tcW w:w="594" w:type="pct"/>
            <w:vMerge w:val="restart"/>
            <w:tcBorders>
              <w:top w:val="nil"/>
              <w:left w:val="nil"/>
              <w:right w:val="single" w:color="auto" w:sz="8" w:space="0"/>
            </w:tcBorders>
            <w:shd w:val="clear" w:color="auto" w:fill="auto"/>
            <w:noWrap/>
          </w:tcPr>
          <w:p>
            <w:pPr>
              <w:widowControl/>
              <w:jc w:val="center"/>
              <w:rPr>
                <w:rFonts w:ascii="宋体" w:hAnsi="宋体" w:cs="宋体"/>
                <w:color w:val="auto"/>
                <w:kern w:val="0"/>
                <w:sz w:val="24"/>
              </w:rPr>
            </w:pPr>
            <w:r>
              <w:rPr>
                <w:rFonts w:hint="eastAsia" w:ascii="宋体" w:hAnsi="宋体" w:cs="宋体"/>
                <w:color w:val="auto"/>
                <w:kern w:val="0"/>
                <w:sz w:val="24"/>
              </w:rPr>
              <w:t>1台</w:t>
            </w:r>
          </w:p>
        </w:tc>
      </w:tr>
      <w:tr>
        <w:tblPrEx>
          <w:tblCellMar>
            <w:top w:w="0" w:type="dxa"/>
            <w:left w:w="108" w:type="dxa"/>
            <w:bottom w:w="0" w:type="dxa"/>
            <w:right w:w="108" w:type="dxa"/>
          </w:tblCellMar>
        </w:tblPrEx>
        <w:trPr>
          <w:trHeight w:val="269" w:hRule="atLeast"/>
        </w:trPr>
        <w:tc>
          <w:tcPr>
            <w:tcW w:w="324" w:type="pct"/>
            <w:vMerge w:val="continue"/>
            <w:tcBorders>
              <w:left w:val="single" w:color="auto" w:sz="8" w:space="0"/>
              <w:bottom w:val="single" w:color="auto" w:sz="8" w:space="0"/>
              <w:right w:val="single" w:color="auto" w:sz="8" w:space="0"/>
            </w:tcBorders>
            <w:shd w:val="clear" w:color="auto" w:fill="auto"/>
            <w:noWrap/>
            <w:vAlign w:val="bottom"/>
          </w:tcPr>
          <w:p>
            <w:pPr>
              <w:widowControl/>
              <w:jc w:val="center"/>
              <w:rPr>
                <w:rFonts w:hint="eastAsia" w:ascii="宋体" w:hAnsi="宋体" w:cs="宋体"/>
                <w:color w:val="auto"/>
                <w:kern w:val="0"/>
                <w:sz w:val="24"/>
              </w:rPr>
            </w:pPr>
          </w:p>
        </w:tc>
        <w:tc>
          <w:tcPr>
            <w:tcW w:w="407" w:type="pct"/>
            <w:vMerge w:val="continue"/>
            <w:tcBorders>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single" w:color="auto" w:sz="4" w:space="0"/>
              <w:left w:val="nil"/>
              <w:bottom w:val="single" w:color="auto" w:sz="8" w:space="0"/>
              <w:right w:val="single" w:color="auto" w:sz="8" w:space="0"/>
            </w:tcBorders>
            <w:shd w:val="clear" w:color="auto" w:fill="auto"/>
            <w:vAlign w:val="center"/>
          </w:tcPr>
          <w:p>
            <w:pPr>
              <w:widowControl/>
              <w:rPr>
                <w:rFonts w:hint="eastAsia" w:ascii="宋体" w:hAnsi="宋体" w:cs="宋体"/>
                <w:color w:val="auto"/>
                <w:kern w:val="0"/>
                <w:sz w:val="24"/>
              </w:rPr>
            </w:pPr>
            <w:r>
              <w:rPr>
                <w:rFonts w:hint="eastAsia" w:ascii="宋体" w:hAnsi="宋体" w:cs="宋体"/>
                <w:color w:val="auto"/>
                <w:kern w:val="0"/>
                <w:sz w:val="24"/>
              </w:rPr>
              <w:t>售后服务</w:t>
            </w:r>
          </w:p>
        </w:tc>
        <w:tc>
          <w:tcPr>
            <w:tcW w:w="3198" w:type="pct"/>
            <w:tcBorders>
              <w:top w:val="single" w:color="auto" w:sz="4" w:space="0"/>
              <w:left w:val="nil"/>
              <w:bottom w:val="single" w:color="auto" w:sz="8" w:space="0"/>
              <w:right w:val="single" w:color="auto" w:sz="8" w:space="0"/>
            </w:tcBorders>
            <w:shd w:val="clear" w:color="auto" w:fill="auto"/>
            <w:vAlign w:val="center"/>
          </w:tcPr>
          <w:p>
            <w:pPr>
              <w:widowControl/>
              <w:rPr>
                <w:rFonts w:hint="eastAsia" w:ascii="宋体" w:hAnsi="宋体" w:cs="宋体"/>
                <w:color w:val="auto"/>
                <w:kern w:val="0"/>
                <w:sz w:val="24"/>
              </w:rPr>
            </w:pPr>
            <w:r>
              <w:rPr>
                <w:rFonts w:hint="eastAsia" w:ascii="宋体" w:hAnsi="宋体" w:cs="宋体"/>
                <w:color w:val="auto"/>
                <w:kern w:val="0"/>
                <w:sz w:val="24"/>
              </w:rPr>
              <w:t>提供原厂商工程师安装调试与实施以及三年7*24*4级别原厂免费质保服务；</w:t>
            </w:r>
          </w:p>
        </w:tc>
        <w:tc>
          <w:tcPr>
            <w:tcW w:w="594" w:type="pct"/>
            <w:vMerge w:val="continue"/>
            <w:tcBorders>
              <w:left w:val="nil"/>
              <w:bottom w:val="single" w:color="auto" w:sz="8" w:space="0"/>
              <w:right w:val="single" w:color="auto" w:sz="8" w:space="0"/>
            </w:tcBorders>
            <w:shd w:val="clear" w:color="auto" w:fill="auto"/>
            <w:noWrap/>
          </w:tcPr>
          <w:p>
            <w:pPr>
              <w:widowControl/>
              <w:jc w:val="center"/>
              <w:rPr>
                <w:rFonts w:hint="eastAsia"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restart"/>
            <w:tcBorders>
              <w:top w:val="nil"/>
              <w:left w:val="single" w:color="auto" w:sz="8" w:space="0"/>
              <w:bottom w:val="single" w:color="000000" w:sz="8" w:space="0"/>
              <w:right w:val="single" w:color="auto" w:sz="8" w:space="0"/>
            </w:tcBorders>
            <w:shd w:val="clear" w:color="auto" w:fill="auto"/>
            <w:noWrap/>
          </w:tcPr>
          <w:p>
            <w:pPr>
              <w:widowControl/>
              <w:jc w:val="center"/>
              <w:rPr>
                <w:rFonts w:ascii="宋体" w:hAnsi="宋体" w:cs="宋体"/>
                <w:color w:val="auto"/>
                <w:kern w:val="0"/>
                <w:sz w:val="24"/>
              </w:rPr>
            </w:pPr>
            <w:r>
              <w:rPr>
                <w:rFonts w:hint="eastAsia" w:ascii="宋体" w:hAnsi="宋体" w:cs="宋体"/>
                <w:color w:val="auto"/>
                <w:kern w:val="0"/>
                <w:sz w:val="24"/>
              </w:rPr>
              <w:t>8</w:t>
            </w:r>
          </w:p>
        </w:tc>
        <w:tc>
          <w:tcPr>
            <w:tcW w:w="407" w:type="pct"/>
            <w:vMerge w:val="restart"/>
            <w:tcBorders>
              <w:top w:val="nil"/>
              <w:left w:val="single" w:color="auto" w:sz="8" w:space="0"/>
              <w:bottom w:val="single" w:color="000000" w:sz="8" w:space="0"/>
              <w:right w:val="single" w:color="auto" w:sz="8" w:space="0"/>
            </w:tcBorders>
            <w:shd w:val="clear" w:color="auto" w:fill="auto"/>
          </w:tcPr>
          <w:p>
            <w:pPr>
              <w:widowControl/>
              <w:jc w:val="center"/>
              <w:rPr>
                <w:rFonts w:ascii="宋体" w:hAnsi="宋体" w:cs="宋体"/>
                <w:color w:val="auto"/>
                <w:kern w:val="0"/>
                <w:sz w:val="24"/>
              </w:rPr>
            </w:pPr>
            <w:r>
              <w:rPr>
                <w:rFonts w:hint="eastAsia" w:ascii="宋体" w:hAnsi="宋体" w:cs="宋体"/>
                <w:color w:val="auto"/>
                <w:kern w:val="0"/>
                <w:sz w:val="24"/>
              </w:rPr>
              <w:t>集群管理系统</w:t>
            </w:r>
          </w:p>
        </w:tc>
        <w:tc>
          <w:tcPr>
            <w:tcW w:w="474" w:type="pct"/>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宋体" w:hAnsi="宋体" w:cs="宋体"/>
                <w:color w:val="auto"/>
                <w:kern w:val="0"/>
                <w:sz w:val="24"/>
              </w:rPr>
            </w:pPr>
            <w:r>
              <w:rPr>
                <w:rFonts w:hint="eastAsia" w:ascii="宋体" w:hAnsi="宋体" w:cs="宋体"/>
                <w:color w:val="auto"/>
                <w:kern w:val="0"/>
                <w:sz w:val="24"/>
              </w:rPr>
              <w:t>总体基础要求</w:t>
            </w: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所有的集群软件，包括集群管理软件，集群监控软件，作业调度软件，分布式文件系统软件等功能</w:t>
            </w:r>
          </w:p>
        </w:tc>
        <w:tc>
          <w:tcPr>
            <w:tcW w:w="594" w:type="pct"/>
            <w:vMerge w:val="restart"/>
            <w:tcBorders>
              <w:top w:val="nil"/>
              <w:left w:val="single" w:color="auto" w:sz="8" w:space="0"/>
              <w:bottom w:val="single" w:color="000000" w:sz="8" w:space="0"/>
              <w:right w:val="single" w:color="auto" w:sz="8" w:space="0"/>
            </w:tcBorders>
            <w:shd w:val="clear" w:color="auto" w:fill="auto"/>
            <w:noWrap/>
          </w:tcPr>
          <w:p>
            <w:pPr>
              <w:widowControl/>
              <w:jc w:val="center"/>
              <w:rPr>
                <w:rFonts w:ascii="宋体" w:hAnsi="宋体" w:cs="宋体"/>
                <w:color w:val="auto"/>
                <w:kern w:val="0"/>
                <w:sz w:val="24"/>
              </w:rPr>
            </w:pPr>
            <w:r>
              <w:rPr>
                <w:rFonts w:hint="eastAsia" w:ascii="宋体" w:hAnsi="宋体" w:cs="宋体"/>
                <w:color w:val="auto"/>
                <w:kern w:val="0"/>
                <w:sz w:val="24"/>
              </w:rPr>
              <w:t>1套</w:t>
            </w: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提供一个统一的图形界面来简化高性能计算的操作：图形化界面分为管理员界面，用户界面和操作员界面</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集群管理提供了集群节点管理，远程开机/关机，远程登陆，远程查看硬件警告信息；提供并行shell和并行拷贝,支持查看集群操作日志。</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9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宋体" w:hAnsi="宋体" w:cs="宋体"/>
                <w:color w:val="auto"/>
                <w:kern w:val="0"/>
                <w:sz w:val="24"/>
              </w:rPr>
            </w:pPr>
            <w:r>
              <w:rPr>
                <w:rFonts w:hint="eastAsia" w:ascii="宋体" w:hAnsi="宋体" w:cs="宋体"/>
                <w:color w:val="auto"/>
                <w:kern w:val="0"/>
                <w:sz w:val="24"/>
              </w:rPr>
              <w:t>监控管理</w:t>
            </w: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1.系统主页提供集群状态的监控和查看：集群cpu使用率，内存使用率， 硬盘使用率，网络吞吐，集群节点开关机和忙闲状态，集群队列状态，集群作业状态等。</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系统支持服务器指标load，CPU使用率，内存使用率， 硬盘使用率，网络吞吐的监控。</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2.系统支持服务器温度、能耗的监控。提供产品功能截图</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3.系统支持服务器IB网络流量的监控。</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4.系统支持GPU监控：实时和历史趋势图显示集群中节点GPU的使用率、GPU内存使用率、GPU温度等。提供产品功能截图</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560"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5. 系统提供了各种监控指标load，cpu使用率，内存使用率，硬盘使用率，网络，作业数量等的热力图， 直观的通过颜色深浅表示节点组中所有节点监控指标的实时值的大小，系统支持在热力图上根据值区间进行节点的过滤。（每个方格代表一个节点，通过颜色的深浅表示监控指标的值的不同，通常对手只有一两个指标的热力图，我们有所有监控指标的热力图），提供产品功能截图</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9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6. 系统提供了物理机架视图，视图以机架物理视图的方式显示机架中的节点。视图形象的以节点颜色的深浅表示监控指标数值的高低，点击视图的一个节点，可以查看节点详情。</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248"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7. 节点详情视图，节点详细列出了节点的静态配置信息（cpu，内存，硬盘，节点名等）；节点详情显示节点各个监控指标的历史趋势图；节点详细列出了节点上正在运行的作业列表；节点详细列出了节点的当前报警记录。提供产品功能截图</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9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8. 系统提供了作业监控页面，可以直观查看集群中正在运行，等待以及结束的作业。作业详细信息包括：作业名，提交时间，结束时间，CPU数，CPU使用时间，GPU数，GPU使用时间，用户名，作业状态，队列等。</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9.系统提供了web shell，通过浏览器可以ssh登录集群节点并进行操作。提供产品功能截图</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248"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宋体" w:hAnsi="宋体" w:cs="宋体"/>
                <w:color w:val="auto"/>
                <w:kern w:val="0"/>
                <w:sz w:val="24"/>
              </w:rPr>
            </w:pPr>
            <w:r>
              <w:rPr>
                <w:rFonts w:hint="eastAsia" w:ascii="宋体" w:hAnsi="宋体" w:cs="宋体"/>
                <w:color w:val="auto"/>
                <w:kern w:val="0"/>
                <w:sz w:val="24"/>
              </w:rPr>
              <w:t>报警</w:t>
            </w: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1.系统支持自定义各种的报警策略，通过对监控指标（load，cpu使用率，内存使用率， 硬盘使用率，网络吞吐，温度，能耗）的监测来触发报警，生成报警记录。报警记录包括报警事件，报警时间，报警节点，报警等级，状态等。</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2.灵活的报警触发机制，支持多种报警通知方式（邮件、短信、微信）。</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3.提供实时和历史报警记录的查询，确认，解决，删除等操作，支持批量的操作。</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宋体" w:hAnsi="宋体" w:cs="宋体"/>
                <w:color w:val="auto"/>
                <w:kern w:val="0"/>
                <w:sz w:val="24"/>
              </w:rPr>
            </w:pPr>
            <w:r>
              <w:rPr>
                <w:rFonts w:hint="eastAsia" w:ascii="宋体" w:hAnsi="宋体" w:cs="宋体"/>
                <w:color w:val="auto"/>
                <w:kern w:val="0"/>
                <w:sz w:val="24"/>
              </w:rPr>
              <w:t>作业调度</w:t>
            </w: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1.支持Slurm调度器。</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2.队列管理：包括队列创建，显示，修改，移除；</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3.队列资源管理：包括添加新节点到队列，设置节点在队列中属性，显示队列中节点状态，节点的健康状态检查等。</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4.调度策略: 支持先进先出，公平共享，回填，抢占，资源预留，节点访问限制等多种策略，并支持自定义策略。</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宋体" w:hAnsi="宋体" w:cs="宋体"/>
                <w:color w:val="auto"/>
                <w:kern w:val="0"/>
                <w:sz w:val="24"/>
              </w:rPr>
            </w:pPr>
            <w:r>
              <w:rPr>
                <w:rFonts w:hint="eastAsia" w:ascii="宋体" w:hAnsi="宋体" w:cs="宋体"/>
                <w:color w:val="auto"/>
                <w:kern w:val="0"/>
                <w:sz w:val="24"/>
              </w:rPr>
              <w:t>用户管理</w:t>
            </w: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1.支持搭建LDAP用户管理系统，提供web界面进行用户/组管理，包括集群用户/用户组的创建，显示，修改和删除；</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2.支持与现有用户系统的集成，将现有LDAP账号导入LiCO</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948"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3.支持通过web界面进行账户的管理，包括账户的创建，显示，修改和删除；账户金额的充改退；账户汇率的修改；交易历史记录查询。支持按CPU使用时间的计费统计。</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宋体" w:hAnsi="宋体" w:cs="宋体"/>
                <w:color w:val="auto"/>
                <w:kern w:val="0"/>
                <w:sz w:val="24"/>
              </w:rPr>
            </w:pPr>
            <w:r>
              <w:rPr>
                <w:rFonts w:hint="eastAsia" w:ascii="宋体" w:hAnsi="宋体" w:cs="宋体"/>
                <w:color w:val="auto"/>
                <w:kern w:val="0"/>
                <w:sz w:val="24"/>
              </w:rPr>
              <w:t>报表</w:t>
            </w: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1.报表导出格式支持：Excel, PDF, HTML。</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2.操作报告</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集群操作日志表：可以查询过去一段时间集群的操作日志，操作日志以Excel形式导出。每条操作日志记录了，哪个用户在哪一时间点进行了什么操作。</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3.作业报告</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9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作业统计表：可以查询过去一段时间内，以天为单位，每天作业的数量、作业使用CPU的数量、作业使用CPU的时间、作业使用GPU的数量，作业使用GPU的时间。</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9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作业详表：可以查询过去一段时间内，以作业为单位，每个作业包括：作业名， 作业提交时间，结束时间，作业状态，GPU数量，GPU使用时间，GPU数量，GPU使用时间）。</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用户作业统计表：只查询指定用户的作业，并以作业统计表的形式显示。</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用户作业详表：只查询指定用户的作业，并以作业详表的形式显示。</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账户作业统计表：只查询某一账户下的用户提交的作业，并以作业统计表的形式显示。</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账户作业详表：只查询某一账户下的用户提交的作业，并以作业详表的形式显示。</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4.报警报告</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报警统计表：可以查询过去一段时间内，以天为单位，每天不同报警级别的报警记录的数量，以及每天总的报警数量。</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报警详表：可以查询过去一段时间内，以报警记录为单位，每个报警记录的包括：报警事件，报警时间，报警节点，报警等级，状态。</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5.集群报告</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248"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可以对集群作业进行统计和分析:作业完成数，排队数，作业排队比例。作业最大运行时间，平均运行时间；作业最大排队时间，平均排队时间。作业使用CPU的平均值，作业使用CPU的最大值。作业运行时间的分布图，作业使用资源数的分布图。作业运行和排队的历史趋势图。提供产品功能截图</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6.计费报告 提供产品功能截图</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管理员可以查看所有用户，或者选定用户一定时间段内的计费。而普通用户能查询自己一段时间内的计费</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可以查看不同资源的计费，比如CPU，内存，存储等的花费。</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可以查看不同队列的计费。</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可以查看一个时间段花费的历史趋势图。</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管理员可以查看花费Top5的用户。</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7.日账单和月账单 提供产品功能截图</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普通用户和管理员可以下载日账单和月账单。</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宋体" w:hAnsi="宋体" w:cs="宋体"/>
                <w:color w:val="auto"/>
                <w:kern w:val="0"/>
                <w:sz w:val="24"/>
              </w:rPr>
            </w:pPr>
            <w:r>
              <w:rPr>
                <w:rFonts w:hint="eastAsia" w:ascii="宋体" w:hAnsi="宋体" w:cs="宋体"/>
                <w:color w:val="auto"/>
                <w:kern w:val="0"/>
                <w:sz w:val="24"/>
              </w:rPr>
              <w:t>文件系统管理</w:t>
            </w: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1.支持各种分布式文件系统：Lustre, GPFS, NFS等</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2.提供通过web浏览器方便的对进行文件系统的管理:文件夹和文件夹的创建、编辑、删除、上传、下载、重命名、排序和查看等</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3.文件空间隔离：每个用户有自己的文件空间，用户在web页面不能查看和修改其他用户的用户文件空间的文件</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宋体" w:hAnsi="宋体" w:cs="宋体"/>
                <w:color w:val="auto"/>
                <w:kern w:val="0"/>
                <w:sz w:val="24"/>
              </w:rPr>
            </w:pPr>
            <w:r>
              <w:rPr>
                <w:rFonts w:hint="eastAsia" w:ascii="宋体" w:hAnsi="宋体" w:cs="宋体"/>
                <w:color w:val="auto"/>
                <w:kern w:val="0"/>
                <w:sz w:val="24"/>
              </w:rPr>
              <w:t>作业管理</w:t>
            </w: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作业提交和管理：</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1.系统自带mpi等的作业模板，用户可以通过web的作业模板提交作业。</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2.支持用户创建自定义作业模板，用户通过web页面可以方便的生成新的自定义作业模板，并使用新的自定义模板提交作业。</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3.支持管理员创建自定义模板，管理员通过web页面可以方便生成新的自定义作业模板，并发布作业模板供所有人使用。提供产品功能截图</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4. 提供对外的API，用户可以基于对外的API进行二次开发。提供产品功能截图</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9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5. 支持OpenHPC, 可以通过lmod根据程序的需要动态导入不同的OpenHPC模块使用，比如导入mpich，openmpi，mvapich，intelmpi，或者导入OpenHPC中的各种性能测试的工具。提供产品功能截图</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6. 提供webshell，支持用户通过浏览器ssh到登录节点，然后在浏览器通过调度器命令行提交作业。提供产品功能截图</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7. 提供了Singularity容器，支持使用Singularity容器运行作业。</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8"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auto" w:sz="4"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8. 作业管理：作业显示(用户，作业名，作业状态，提交时间，结束时间，队列，CPU数等)，重新运行等；支持作业输出在web页面的实时显示。</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558" w:hRule="atLeast"/>
        </w:trPr>
        <w:tc>
          <w:tcPr>
            <w:tcW w:w="324" w:type="pct"/>
            <w:vMerge w:val="continue"/>
            <w:tcBorders>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tcBorders>
              <w:top w:val="single" w:color="auto" w:sz="4"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售后服务</w:t>
            </w:r>
          </w:p>
        </w:tc>
        <w:tc>
          <w:tcPr>
            <w:tcW w:w="3198" w:type="pct"/>
            <w:tcBorders>
              <w:top w:val="single" w:color="auto" w:sz="4" w:space="0"/>
              <w:left w:val="nil"/>
              <w:bottom w:val="single" w:color="auto" w:sz="8" w:space="0"/>
              <w:right w:val="single" w:color="auto" w:sz="8" w:space="0"/>
            </w:tcBorders>
            <w:shd w:val="clear" w:color="auto" w:fill="auto"/>
            <w:vAlign w:val="center"/>
          </w:tcPr>
          <w:p>
            <w:pPr>
              <w:widowControl/>
              <w:jc w:val="left"/>
              <w:rPr>
                <w:rFonts w:hint="eastAsia" w:ascii="宋体" w:hAnsi="宋体" w:cs="宋体"/>
                <w:color w:val="auto"/>
                <w:kern w:val="0"/>
                <w:sz w:val="24"/>
              </w:rPr>
            </w:pPr>
            <w:r>
              <w:rPr>
                <w:rFonts w:hint="eastAsia" w:ascii="宋体" w:hAnsi="宋体" w:cs="宋体"/>
                <w:color w:val="auto"/>
                <w:kern w:val="0"/>
                <w:sz w:val="24"/>
              </w:rPr>
              <w:t>提供原厂商工程师安装调试与实施以及三年7*24*4级别原厂免费质保服务；</w:t>
            </w:r>
          </w:p>
        </w:tc>
        <w:tc>
          <w:tcPr>
            <w:tcW w:w="594" w:type="pct"/>
            <w:vMerge w:val="continue"/>
            <w:tcBorders>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564" w:hRule="atLeast"/>
        </w:trPr>
        <w:tc>
          <w:tcPr>
            <w:tcW w:w="324" w:type="pct"/>
            <w:vMerge w:val="restart"/>
            <w:tcBorders>
              <w:top w:val="nil"/>
              <w:left w:val="single" w:color="auto" w:sz="8" w:space="0"/>
              <w:bottom w:val="single" w:color="000000" w:sz="8" w:space="0"/>
              <w:right w:val="single" w:color="auto" w:sz="8" w:space="0"/>
            </w:tcBorders>
            <w:shd w:val="clear" w:color="auto" w:fill="auto"/>
            <w:noWrap/>
          </w:tcPr>
          <w:p>
            <w:pPr>
              <w:widowControl/>
              <w:jc w:val="center"/>
              <w:rPr>
                <w:rFonts w:ascii="宋体" w:hAnsi="宋体" w:cs="宋体"/>
                <w:color w:val="auto"/>
                <w:kern w:val="0"/>
                <w:sz w:val="24"/>
              </w:rPr>
            </w:pPr>
            <w:r>
              <w:rPr>
                <w:rFonts w:hint="eastAsia" w:ascii="宋体" w:hAnsi="宋体" w:cs="宋体"/>
                <w:color w:val="auto"/>
                <w:kern w:val="0"/>
                <w:sz w:val="24"/>
              </w:rPr>
              <w:t>9</w:t>
            </w:r>
          </w:p>
        </w:tc>
        <w:tc>
          <w:tcPr>
            <w:tcW w:w="407" w:type="pct"/>
            <w:vMerge w:val="restart"/>
            <w:tcBorders>
              <w:top w:val="nil"/>
              <w:left w:val="single" w:color="auto" w:sz="8" w:space="0"/>
              <w:bottom w:val="single" w:color="000000" w:sz="8" w:space="0"/>
              <w:right w:val="single" w:color="auto" w:sz="8" w:space="0"/>
            </w:tcBorders>
            <w:shd w:val="clear" w:color="auto" w:fill="auto"/>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并行文件系统</w:t>
            </w:r>
          </w:p>
        </w:tc>
        <w:tc>
          <w:tcPr>
            <w:tcW w:w="474" w:type="pct"/>
            <w:tcBorders>
              <w:top w:val="nil"/>
              <w:left w:val="nil"/>
              <w:bottom w:val="single" w:color="auto" w:sz="8" w:space="0"/>
              <w:right w:val="single" w:color="auto" w:sz="8" w:space="0"/>
            </w:tcBorders>
            <w:shd w:val="clear" w:color="auto" w:fill="auto"/>
            <w:noWrap/>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★整体要求</w:t>
            </w:r>
          </w:p>
        </w:tc>
        <w:tc>
          <w:tcPr>
            <w:tcW w:w="3198" w:type="pct"/>
            <w:tcBorders>
              <w:top w:val="nil"/>
              <w:left w:val="nil"/>
              <w:bottom w:val="single" w:color="auto" w:sz="8" w:space="0"/>
              <w:right w:val="single" w:color="auto" w:sz="8" w:space="0"/>
            </w:tcBorders>
            <w:shd w:val="clear" w:color="auto" w:fill="auto"/>
            <w:noWrap/>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提供正版商业版GPFS并行文件系统，提供集群所需20TB存储容量许可。</w:t>
            </w:r>
          </w:p>
        </w:tc>
        <w:tc>
          <w:tcPr>
            <w:tcW w:w="594" w:type="pct"/>
            <w:vMerge w:val="restart"/>
            <w:tcBorders>
              <w:top w:val="nil"/>
              <w:left w:val="single" w:color="auto" w:sz="8" w:space="0"/>
              <w:bottom w:val="single" w:color="000000" w:sz="8" w:space="0"/>
              <w:right w:val="single" w:color="auto" w:sz="8" w:space="0"/>
            </w:tcBorders>
            <w:shd w:val="clear" w:color="auto" w:fill="auto"/>
            <w:noWrap/>
          </w:tcPr>
          <w:p>
            <w:pPr>
              <w:widowControl/>
              <w:jc w:val="center"/>
              <w:rPr>
                <w:rFonts w:ascii="宋体" w:hAnsi="宋体" w:cs="宋体"/>
                <w:color w:val="auto"/>
                <w:kern w:val="0"/>
                <w:sz w:val="24"/>
              </w:rPr>
            </w:pPr>
            <w:r>
              <w:rPr>
                <w:rFonts w:hint="eastAsia" w:ascii="宋体" w:hAnsi="宋体" w:cs="宋体"/>
                <w:color w:val="auto"/>
                <w:kern w:val="0"/>
                <w:sz w:val="24"/>
              </w:rPr>
              <w:t>1套</w:t>
            </w:r>
          </w:p>
        </w:tc>
      </w:tr>
      <w:tr>
        <w:tblPrEx>
          <w:tblCellMar>
            <w:top w:w="0" w:type="dxa"/>
            <w:left w:w="108" w:type="dxa"/>
            <w:bottom w:w="0" w:type="dxa"/>
            <w:right w:w="108" w:type="dxa"/>
          </w:tblCellMar>
        </w:tblPrEx>
        <w:trPr>
          <w:trHeight w:val="6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rPr>
                <w:rFonts w:ascii="宋体" w:hAnsi="宋体" w:cs="宋体"/>
                <w:color w:val="auto"/>
                <w:kern w:val="0"/>
                <w:sz w:val="24"/>
              </w:rPr>
            </w:pPr>
            <w:r>
              <w:rPr>
                <w:rFonts w:hint="eastAsia" w:ascii="宋体" w:hAnsi="宋体" w:cs="宋体"/>
                <w:color w:val="auto"/>
                <w:kern w:val="0"/>
                <w:sz w:val="24"/>
              </w:rPr>
              <w:t>高性能与高可扩展性</w:t>
            </w:r>
          </w:p>
        </w:tc>
        <w:tc>
          <w:tcPr>
            <w:tcW w:w="3198" w:type="pct"/>
            <w:tcBorders>
              <w:top w:val="nil"/>
              <w:left w:val="nil"/>
              <w:bottom w:val="nil"/>
              <w:right w:val="single" w:color="auto" w:sz="8" w:space="0"/>
            </w:tcBorders>
            <w:shd w:val="clear" w:color="auto" w:fill="auto"/>
            <w:noWrap/>
            <w:vAlign w:val="center"/>
          </w:tcPr>
          <w:p>
            <w:pPr>
              <w:widowControl/>
              <w:rPr>
                <w:rFonts w:ascii="宋体" w:hAnsi="宋体" w:cs="宋体"/>
                <w:color w:val="auto"/>
                <w:kern w:val="0"/>
                <w:sz w:val="24"/>
              </w:rPr>
            </w:pPr>
            <w:r>
              <w:rPr>
                <w:rFonts w:hint="eastAsia" w:ascii="宋体" w:hAnsi="宋体" w:cs="宋体"/>
                <w:color w:val="auto"/>
                <w:kern w:val="0"/>
                <w:sz w:val="24"/>
              </w:rPr>
              <w:t>1)   提供数据及元数据条带化功能：支持将一个文件的数据块在多个节点上写入到多个LUN，实现高度聚合IO能力。</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noWrap/>
            <w:vAlign w:val="center"/>
          </w:tcPr>
          <w:p>
            <w:pPr>
              <w:widowControl/>
              <w:rPr>
                <w:rFonts w:ascii="宋体" w:hAnsi="宋体" w:cs="宋体"/>
                <w:color w:val="auto"/>
                <w:kern w:val="0"/>
                <w:sz w:val="24"/>
              </w:rPr>
            </w:pPr>
            <w:r>
              <w:rPr>
                <w:rFonts w:hint="eastAsia" w:ascii="宋体" w:hAnsi="宋体" w:cs="宋体"/>
                <w:color w:val="auto"/>
                <w:kern w:val="0"/>
                <w:sz w:val="24"/>
              </w:rPr>
              <w:t>2)   提供客户端数据缓存与预读功能：支持在客户端内存中记录最近的I/O，减少访问磁盘的次数。</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9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noWrap/>
            <w:vAlign w:val="center"/>
          </w:tcPr>
          <w:p>
            <w:pPr>
              <w:widowControl/>
              <w:rPr>
                <w:rFonts w:ascii="宋体" w:hAnsi="宋体" w:cs="宋体"/>
                <w:color w:val="auto"/>
                <w:kern w:val="0"/>
                <w:sz w:val="24"/>
              </w:rPr>
            </w:pPr>
            <w:r>
              <w:rPr>
                <w:rFonts w:hint="eastAsia" w:ascii="宋体" w:hAnsi="宋体" w:cs="宋体"/>
                <w:color w:val="auto"/>
                <w:kern w:val="0"/>
                <w:sz w:val="24"/>
              </w:rPr>
              <w:t>3)   提供分布式令牌管理机制：锁请求可有效的分散到其他节点上，令牌服务器不会成为性能瓶颈，锁机制支持最小至字节锁；保证高吞吐量的可持续性。</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9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noWrap/>
            <w:vAlign w:val="center"/>
          </w:tcPr>
          <w:p>
            <w:pPr>
              <w:widowControl/>
              <w:rPr>
                <w:rFonts w:ascii="宋体" w:hAnsi="宋体" w:cs="宋体"/>
                <w:color w:val="auto"/>
                <w:kern w:val="0"/>
                <w:sz w:val="24"/>
              </w:rPr>
            </w:pPr>
            <w:r>
              <w:rPr>
                <w:rFonts w:hint="eastAsia" w:ascii="宋体" w:hAnsi="宋体" w:cs="宋体"/>
                <w:color w:val="auto"/>
                <w:kern w:val="0"/>
                <w:sz w:val="24"/>
              </w:rPr>
              <w:t>4)   提供访问模式识别以及深度预取功能：支持检测并可识别数据访问模式如顺序访问，随机访问, 模糊顺序访问（fuzzy sequential）或者步进式访问（strided），进行并行预取，减少重复性磁盘I/O以提高性能。</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noWrap/>
            <w:vAlign w:val="center"/>
          </w:tcPr>
          <w:p>
            <w:pPr>
              <w:widowControl/>
              <w:rPr>
                <w:rFonts w:ascii="宋体" w:hAnsi="宋体" w:cs="宋体"/>
                <w:color w:val="auto"/>
                <w:kern w:val="0"/>
                <w:sz w:val="24"/>
              </w:rPr>
            </w:pPr>
            <w:r>
              <w:rPr>
                <w:rFonts w:hint="eastAsia" w:ascii="宋体" w:hAnsi="宋体" w:cs="宋体"/>
                <w:color w:val="auto"/>
                <w:kern w:val="0"/>
                <w:sz w:val="24"/>
              </w:rPr>
              <w:t>5)   支持群集的多个服务器节点同时对单个文件进行块的存取。</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noWrap/>
            <w:vAlign w:val="center"/>
          </w:tcPr>
          <w:p>
            <w:pPr>
              <w:widowControl/>
              <w:rPr>
                <w:rFonts w:ascii="宋体" w:hAnsi="宋体" w:cs="宋体"/>
                <w:color w:val="auto"/>
                <w:kern w:val="0"/>
                <w:sz w:val="24"/>
              </w:rPr>
            </w:pPr>
            <w:r>
              <w:rPr>
                <w:rFonts w:hint="eastAsia" w:ascii="宋体" w:hAnsi="宋体" w:cs="宋体"/>
                <w:color w:val="auto"/>
                <w:kern w:val="0"/>
                <w:sz w:val="24"/>
              </w:rPr>
              <w:t>6)   支持海量小文件读写，每个文件系统最多 2的63次方个文件。</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single" w:color="auto" w:sz="8" w:space="0"/>
              <w:right w:val="single" w:color="auto" w:sz="8" w:space="0"/>
            </w:tcBorders>
            <w:shd w:val="clear" w:color="auto" w:fill="auto"/>
            <w:noWrap/>
            <w:vAlign w:val="center"/>
          </w:tcPr>
          <w:p>
            <w:pPr>
              <w:widowControl/>
              <w:rPr>
                <w:rFonts w:ascii="宋体" w:hAnsi="宋体" w:cs="宋体"/>
                <w:color w:val="auto"/>
                <w:kern w:val="0"/>
                <w:sz w:val="24"/>
              </w:rPr>
            </w:pPr>
            <w:r>
              <w:rPr>
                <w:rFonts w:hint="eastAsia" w:ascii="宋体" w:hAnsi="宋体" w:cs="宋体"/>
                <w:color w:val="auto"/>
                <w:kern w:val="0"/>
                <w:sz w:val="24"/>
              </w:rPr>
              <w:t>7)   提供块级别的锁–字节锁（Byte range locking）功能，提高磁盘带宽和磁盘空间的效率。</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12"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rPr>
                <w:rFonts w:ascii="宋体" w:hAnsi="宋体" w:cs="宋体"/>
                <w:color w:val="auto"/>
                <w:kern w:val="0"/>
                <w:sz w:val="24"/>
              </w:rPr>
            </w:pPr>
            <w:r>
              <w:rPr>
                <w:rFonts w:hint="eastAsia" w:ascii="宋体" w:hAnsi="宋体" w:cs="宋体"/>
                <w:color w:val="auto"/>
                <w:kern w:val="0"/>
                <w:sz w:val="24"/>
              </w:rPr>
              <w:t>高可用与高可靠性</w:t>
            </w:r>
          </w:p>
        </w:tc>
        <w:tc>
          <w:tcPr>
            <w:tcW w:w="3198" w:type="pct"/>
            <w:tcBorders>
              <w:top w:val="nil"/>
              <w:left w:val="nil"/>
              <w:bottom w:val="nil"/>
              <w:right w:val="single" w:color="auto" w:sz="8" w:space="0"/>
            </w:tcBorders>
            <w:shd w:val="clear" w:color="auto" w:fill="auto"/>
            <w:noWrap/>
            <w:vAlign w:val="center"/>
          </w:tcPr>
          <w:p>
            <w:pPr>
              <w:widowControl/>
              <w:rPr>
                <w:rFonts w:ascii="宋体" w:hAnsi="宋体" w:cs="宋体"/>
                <w:color w:val="auto"/>
                <w:kern w:val="0"/>
                <w:sz w:val="24"/>
              </w:rPr>
            </w:pPr>
            <w:r>
              <w:rPr>
                <w:rFonts w:hint="eastAsia" w:ascii="宋体" w:hAnsi="宋体" w:cs="宋体"/>
                <w:color w:val="auto"/>
                <w:kern w:val="0"/>
                <w:sz w:val="24"/>
              </w:rPr>
              <w:t>1) 无单一故障点，任意一个服务器的故障不影响整个系统的使用。</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936"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noWrap/>
            <w:vAlign w:val="center"/>
          </w:tcPr>
          <w:p>
            <w:pPr>
              <w:widowControl/>
              <w:rPr>
                <w:rFonts w:ascii="宋体" w:hAnsi="宋体" w:cs="宋体"/>
                <w:color w:val="auto"/>
                <w:kern w:val="0"/>
                <w:sz w:val="24"/>
              </w:rPr>
            </w:pPr>
            <w:r>
              <w:rPr>
                <w:rFonts w:hint="eastAsia" w:ascii="宋体" w:hAnsi="宋体" w:cs="宋体"/>
                <w:color w:val="auto"/>
                <w:kern w:val="0"/>
                <w:sz w:val="24"/>
              </w:rPr>
              <w:t>2) 提供分布式的元数据和令牌管理功能：独立的元数据通道和文件数据通道；支持数据和元数据多份拷贝，且拷贝个数可设置；支持任意节点都可以承担任意角色功能，确保无单点故障，所有节点都可以处理数据和元数据操作。</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560"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noWrap/>
            <w:vAlign w:val="center"/>
          </w:tcPr>
          <w:p>
            <w:pPr>
              <w:widowControl/>
              <w:rPr>
                <w:rFonts w:ascii="宋体" w:hAnsi="宋体" w:cs="宋体"/>
                <w:color w:val="auto"/>
                <w:kern w:val="0"/>
                <w:sz w:val="24"/>
              </w:rPr>
            </w:pPr>
            <w:r>
              <w:rPr>
                <w:rFonts w:hint="eastAsia" w:ascii="宋体" w:hAnsi="宋体" w:cs="宋体"/>
                <w:color w:val="auto"/>
                <w:kern w:val="0"/>
                <w:sz w:val="24"/>
              </w:rPr>
              <w:t>3) 提供活动文件管理功能：支持数据以本地速度写数据到缓存，更新的数据将在后台异步的写回到Home端。如果网络中断，缓存的数据仍旧可以被持续访问，新数据会在网络重连后自动刷回到Home。支持本地集群的一个Fileset可与远程集群的一个活多个Fileset联系在一起，确保客户端服务器以本地速度访问数据。</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noWrap/>
            <w:vAlign w:val="center"/>
          </w:tcPr>
          <w:p>
            <w:pPr>
              <w:widowControl/>
              <w:rPr>
                <w:rFonts w:ascii="宋体" w:hAnsi="宋体" w:cs="宋体"/>
                <w:color w:val="auto"/>
                <w:kern w:val="0"/>
                <w:sz w:val="24"/>
              </w:rPr>
            </w:pPr>
            <w:r>
              <w:rPr>
                <w:rFonts w:hint="eastAsia" w:ascii="宋体" w:hAnsi="宋体" w:cs="宋体"/>
                <w:color w:val="auto"/>
                <w:kern w:val="0"/>
                <w:sz w:val="24"/>
              </w:rPr>
              <w:t>4) 提供文件系统日志功能：记录所有文件系统的操作，保护文件系统数据不被失效节点或者错误状态节点所更改。</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noWrap/>
            <w:vAlign w:val="center"/>
          </w:tcPr>
          <w:p>
            <w:pPr>
              <w:widowControl/>
              <w:rPr>
                <w:rFonts w:ascii="宋体" w:hAnsi="宋体" w:cs="宋体"/>
                <w:color w:val="auto"/>
                <w:kern w:val="0"/>
                <w:sz w:val="24"/>
              </w:rPr>
            </w:pPr>
            <w:r>
              <w:rPr>
                <w:rFonts w:hint="eastAsia" w:ascii="宋体" w:hAnsi="宋体" w:cs="宋体"/>
                <w:color w:val="auto"/>
                <w:kern w:val="0"/>
                <w:sz w:val="24"/>
              </w:rPr>
              <w:t>5) 提供数据复制 (镜像)功能：支持文件或者文件系统级别镜像，简化用户对数据安全的操作，远程缓存及容灾支持。</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24" w:hRule="atLeast"/>
        </w:trPr>
        <w:tc>
          <w:tcPr>
            <w:tcW w:w="32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nil"/>
              <w:right w:val="single" w:color="auto" w:sz="8" w:space="0"/>
            </w:tcBorders>
            <w:shd w:val="clear" w:color="auto" w:fill="auto"/>
            <w:noWrap/>
            <w:vAlign w:val="center"/>
          </w:tcPr>
          <w:p>
            <w:pPr>
              <w:widowControl/>
              <w:rPr>
                <w:rFonts w:ascii="宋体" w:hAnsi="宋体" w:cs="宋体"/>
                <w:color w:val="auto"/>
                <w:kern w:val="0"/>
                <w:sz w:val="24"/>
              </w:rPr>
            </w:pPr>
            <w:r>
              <w:rPr>
                <w:rFonts w:hint="eastAsia" w:ascii="宋体" w:hAnsi="宋体" w:cs="宋体"/>
                <w:color w:val="auto"/>
                <w:kern w:val="0"/>
                <w:sz w:val="24"/>
              </w:rPr>
              <w:t>6) 提供心跳机制：实时监控节点状态，支持热备和故障恢复；有效保障恢复（recovery）操作。</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948" w:hRule="atLeast"/>
        </w:trPr>
        <w:tc>
          <w:tcPr>
            <w:tcW w:w="324" w:type="pct"/>
            <w:vMerge w:val="continue"/>
            <w:tcBorders>
              <w:top w:val="nil"/>
              <w:left w:val="single" w:color="auto" w:sz="8" w:space="0"/>
              <w:bottom w:val="single" w:color="auto" w:sz="4" w:space="0"/>
              <w:right w:val="single" w:color="auto" w:sz="8" w:space="0"/>
            </w:tcBorders>
            <w:vAlign w:val="center"/>
          </w:tcPr>
          <w:p>
            <w:pPr>
              <w:widowControl/>
              <w:jc w:val="left"/>
              <w:rPr>
                <w:rFonts w:ascii="宋体" w:hAnsi="宋体" w:cs="宋体"/>
                <w:color w:val="auto"/>
                <w:kern w:val="0"/>
                <w:sz w:val="24"/>
              </w:rPr>
            </w:pPr>
          </w:p>
        </w:tc>
        <w:tc>
          <w:tcPr>
            <w:tcW w:w="407" w:type="pct"/>
            <w:vMerge w:val="continue"/>
            <w:tcBorders>
              <w:top w:val="nil"/>
              <w:left w:val="single" w:color="auto" w:sz="8" w:space="0"/>
              <w:bottom w:val="single" w:color="auto" w:sz="4" w:space="0"/>
              <w:right w:val="single" w:color="auto" w:sz="8" w:space="0"/>
            </w:tcBorders>
            <w:vAlign w:val="center"/>
          </w:tcPr>
          <w:p>
            <w:pPr>
              <w:widowControl/>
              <w:jc w:val="left"/>
              <w:rPr>
                <w:rFonts w:ascii="宋体" w:hAnsi="宋体" w:cs="宋体"/>
                <w:color w:val="auto"/>
                <w:kern w:val="0"/>
                <w:sz w:val="24"/>
              </w:rPr>
            </w:pPr>
          </w:p>
        </w:tc>
        <w:tc>
          <w:tcPr>
            <w:tcW w:w="474" w:type="pct"/>
            <w:vMerge w:val="continue"/>
            <w:tcBorders>
              <w:top w:val="nil"/>
              <w:left w:val="single" w:color="auto" w:sz="8" w:space="0"/>
              <w:bottom w:val="single" w:color="auto" w:sz="4" w:space="0"/>
              <w:right w:val="single" w:color="auto" w:sz="8" w:space="0"/>
            </w:tcBorders>
            <w:vAlign w:val="center"/>
          </w:tcPr>
          <w:p>
            <w:pPr>
              <w:widowControl/>
              <w:jc w:val="left"/>
              <w:rPr>
                <w:rFonts w:ascii="宋体" w:hAnsi="宋体" w:cs="宋体"/>
                <w:color w:val="auto"/>
                <w:kern w:val="0"/>
                <w:sz w:val="24"/>
              </w:rPr>
            </w:pPr>
          </w:p>
        </w:tc>
        <w:tc>
          <w:tcPr>
            <w:tcW w:w="3198" w:type="pct"/>
            <w:tcBorders>
              <w:top w:val="nil"/>
              <w:left w:val="nil"/>
              <w:bottom w:val="single" w:color="auto" w:sz="4" w:space="0"/>
              <w:right w:val="single" w:color="auto" w:sz="8" w:space="0"/>
            </w:tcBorders>
            <w:shd w:val="clear" w:color="auto" w:fill="auto"/>
            <w:noWrap/>
            <w:vAlign w:val="center"/>
          </w:tcPr>
          <w:p>
            <w:pPr>
              <w:widowControl/>
              <w:rPr>
                <w:rFonts w:ascii="宋体" w:hAnsi="宋体" w:cs="宋体"/>
                <w:color w:val="auto"/>
                <w:kern w:val="0"/>
                <w:sz w:val="24"/>
              </w:rPr>
            </w:pPr>
            <w:r>
              <w:rPr>
                <w:rFonts w:hint="eastAsia" w:ascii="宋体" w:hAnsi="宋体" w:cs="宋体"/>
                <w:color w:val="auto"/>
                <w:kern w:val="0"/>
                <w:sz w:val="24"/>
              </w:rPr>
              <w:t>7) 操作系统支持：IBM AIX；Linux：Red Hat、SUSE Linux Enterprise Server；Microsoft Windows Server 2、Microsoft Windows 7/8/10；支持跨Windows/Linux/Unix系统平台的文件管理。</w:t>
            </w:r>
          </w:p>
        </w:tc>
        <w:tc>
          <w:tcPr>
            <w:tcW w:w="594"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884" w:hRule="atLeast"/>
        </w:trPr>
        <w:tc>
          <w:tcPr>
            <w:tcW w:w="324" w:type="pct"/>
            <w:tcBorders>
              <w:top w:val="single" w:color="auto" w:sz="4" w:space="0"/>
              <w:left w:val="single" w:color="auto" w:sz="4" w:space="0"/>
              <w:bottom w:val="single" w:color="auto" w:sz="4" w:space="0"/>
              <w:right w:val="single" w:color="auto" w:sz="8" w:space="0"/>
            </w:tcBorders>
            <w:shd w:val="clear" w:color="auto" w:fill="auto"/>
            <w:noWrap/>
          </w:tcPr>
          <w:p>
            <w:pPr>
              <w:widowControl/>
              <w:jc w:val="center"/>
              <w:rPr>
                <w:rFonts w:ascii="宋体" w:hAnsi="宋体" w:cs="宋体"/>
                <w:color w:val="auto"/>
                <w:kern w:val="0"/>
                <w:sz w:val="24"/>
              </w:rPr>
            </w:pPr>
            <w:r>
              <w:rPr>
                <w:rFonts w:hint="eastAsia" w:ascii="宋体" w:hAnsi="宋体" w:cs="宋体"/>
                <w:color w:val="auto"/>
                <w:kern w:val="0"/>
                <w:sz w:val="24"/>
              </w:rPr>
              <w:t>10</w:t>
            </w:r>
          </w:p>
        </w:tc>
        <w:tc>
          <w:tcPr>
            <w:tcW w:w="407" w:type="pct"/>
            <w:tcBorders>
              <w:top w:val="single" w:color="auto" w:sz="4" w:space="0"/>
              <w:left w:val="nil"/>
              <w:bottom w:val="single" w:color="auto" w:sz="4" w:space="0"/>
              <w:right w:val="single" w:color="auto" w:sz="8" w:space="0"/>
            </w:tcBorders>
            <w:shd w:val="clear" w:color="auto" w:fill="auto"/>
          </w:tcPr>
          <w:p>
            <w:pPr>
              <w:widowControl/>
              <w:jc w:val="left"/>
              <w:rPr>
                <w:rFonts w:ascii="宋体" w:hAnsi="宋体" w:cs="宋体"/>
                <w:color w:val="auto"/>
                <w:kern w:val="0"/>
                <w:sz w:val="24"/>
              </w:rPr>
            </w:pPr>
            <w:r>
              <w:rPr>
                <w:rFonts w:hint="eastAsia" w:ascii="宋体" w:hAnsi="宋体" w:cs="宋体"/>
                <w:color w:val="auto"/>
                <w:kern w:val="0"/>
                <w:sz w:val="24"/>
              </w:rPr>
              <w:t>编译环境及并行库</w:t>
            </w:r>
          </w:p>
        </w:tc>
        <w:tc>
          <w:tcPr>
            <w:tcW w:w="47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集群编译软件</w:t>
            </w:r>
          </w:p>
        </w:tc>
        <w:tc>
          <w:tcPr>
            <w:tcW w:w="3198" w:type="pct"/>
            <w:tcBorders>
              <w:top w:val="single" w:color="auto" w:sz="4" w:space="0"/>
              <w:left w:val="nil"/>
              <w:bottom w:val="single" w:color="auto" w:sz="4" w:space="0"/>
              <w:right w:val="nil"/>
            </w:tcBorders>
            <w:shd w:val="clear" w:color="auto" w:fill="auto"/>
            <w:vAlign w:val="bottom"/>
          </w:tcPr>
          <w:p>
            <w:pPr>
              <w:widowControl/>
              <w:jc w:val="left"/>
              <w:rPr>
                <w:rFonts w:ascii="宋体" w:hAnsi="宋体" w:cs="宋体"/>
                <w:color w:val="auto"/>
                <w:kern w:val="0"/>
                <w:sz w:val="24"/>
              </w:rPr>
            </w:pPr>
            <w:r>
              <w:rPr>
                <w:rFonts w:hint="eastAsia" w:ascii="宋体" w:hAnsi="宋体" w:cs="宋体"/>
                <w:color w:val="auto"/>
                <w:kern w:val="0"/>
                <w:sz w:val="24"/>
              </w:rPr>
              <w:t>1）常用的Intel程序编译环境，基于64位操作系统并兼容32位系统。提供：Intel Fortran、C、C++编译器；GNU系列开发工具、含GNU Fortran、C、C++、Perl、Python等编译系统；</w:t>
            </w:r>
            <w:r>
              <w:rPr>
                <w:rFonts w:hint="eastAsia" w:ascii="宋体" w:hAnsi="宋体" w:cs="宋体"/>
                <w:color w:val="auto"/>
                <w:kern w:val="0"/>
                <w:sz w:val="24"/>
              </w:rPr>
              <w:br w:type="textWrapping"/>
            </w:r>
            <w:r>
              <w:rPr>
                <w:rFonts w:hint="eastAsia" w:ascii="宋体" w:hAnsi="宋体" w:cs="宋体"/>
                <w:color w:val="auto"/>
                <w:kern w:val="0"/>
                <w:sz w:val="24"/>
              </w:rPr>
              <w:t>2）支持并行开发环境，Intel MPI、OpenMPI等；</w:t>
            </w:r>
            <w:r>
              <w:rPr>
                <w:rFonts w:hint="eastAsia" w:ascii="宋体" w:hAnsi="宋体" w:cs="宋体"/>
                <w:color w:val="auto"/>
                <w:kern w:val="0"/>
                <w:sz w:val="24"/>
              </w:rPr>
              <w:br w:type="textWrapping"/>
            </w:r>
            <w:r>
              <w:rPr>
                <w:rFonts w:hint="eastAsia" w:ascii="宋体" w:hAnsi="宋体" w:cs="宋体"/>
                <w:color w:val="auto"/>
                <w:kern w:val="0"/>
                <w:sz w:val="24"/>
              </w:rPr>
              <w:t>3）支持数学程序库Intel MKL等；</w:t>
            </w:r>
            <w:r>
              <w:rPr>
                <w:rFonts w:hint="eastAsia" w:ascii="宋体" w:hAnsi="宋体" w:cs="宋体"/>
                <w:color w:val="auto"/>
                <w:kern w:val="0"/>
                <w:sz w:val="24"/>
              </w:rPr>
              <w:br w:type="textWrapping"/>
            </w:r>
            <w:r>
              <w:rPr>
                <w:rFonts w:hint="eastAsia" w:ascii="宋体" w:hAnsi="宋体" w:cs="宋体"/>
                <w:color w:val="auto"/>
                <w:kern w:val="0"/>
                <w:sz w:val="24"/>
              </w:rPr>
              <w:t>4）支持Intel MPI 基准测试工具集。</w:t>
            </w:r>
          </w:p>
        </w:tc>
        <w:tc>
          <w:tcPr>
            <w:tcW w:w="594" w:type="pct"/>
            <w:tcBorders>
              <w:top w:val="nil"/>
              <w:left w:val="single" w:color="auto" w:sz="8" w:space="0"/>
              <w:bottom w:val="single" w:color="auto" w:sz="4" w:space="0"/>
              <w:right w:val="single" w:color="auto" w:sz="8" w:space="0"/>
            </w:tcBorders>
            <w:shd w:val="clear" w:color="auto" w:fill="auto"/>
            <w:noWrap/>
          </w:tcPr>
          <w:p>
            <w:pPr>
              <w:widowControl/>
              <w:jc w:val="center"/>
              <w:rPr>
                <w:rFonts w:ascii="宋体" w:hAnsi="宋体" w:cs="宋体"/>
                <w:color w:val="auto"/>
                <w:kern w:val="0"/>
                <w:sz w:val="24"/>
              </w:rPr>
            </w:pPr>
            <w:r>
              <w:rPr>
                <w:rFonts w:hint="eastAsia" w:ascii="宋体" w:hAnsi="宋体" w:cs="宋体"/>
                <w:color w:val="auto"/>
                <w:kern w:val="0"/>
                <w:sz w:val="24"/>
              </w:rPr>
              <w:t>1套</w:t>
            </w:r>
          </w:p>
        </w:tc>
      </w:tr>
      <w:tr>
        <w:tblPrEx>
          <w:tblCellMar>
            <w:top w:w="0" w:type="dxa"/>
            <w:left w:w="108" w:type="dxa"/>
            <w:bottom w:w="0" w:type="dxa"/>
            <w:right w:w="108" w:type="dxa"/>
          </w:tblCellMar>
        </w:tblPrEx>
        <w:trPr>
          <w:trHeight w:val="694" w:hRule="atLeast"/>
        </w:trPr>
        <w:tc>
          <w:tcPr>
            <w:tcW w:w="324" w:type="pct"/>
            <w:tcBorders>
              <w:top w:val="single" w:color="auto" w:sz="4" w:space="0"/>
              <w:left w:val="single" w:color="auto" w:sz="8" w:space="0"/>
              <w:bottom w:val="single" w:color="auto" w:sz="8" w:space="0"/>
              <w:right w:val="single" w:color="auto" w:sz="8" w:space="0"/>
            </w:tcBorders>
            <w:shd w:val="clear" w:color="auto" w:fill="auto"/>
            <w:noWrap/>
          </w:tcPr>
          <w:p>
            <w:pPr>
              <w:widowControl/>
              <w:jc w:val="center"/>
              <w:rPr>
                <w:rFonts w:ascii="宋体" w:hAnsi="宋体" w:cs="宋体"/>
                <w:color w:val="auto"/>
                <w:kern w:val="0"/>
                <w:sz w:val="24"/>
              </w:rPr>
            </w:pPr>
            <w:r>
              <w:rPr>
                <w:rFonts w:hint="eastAsia" w:ascii="宋体" w:hAnsi="宋体" w:cs="宋体"/>
                <w:color w:val="auto"/>
                <w:kern w:val="0"/>
                <w:sz w:val="24"/>
              </w:rPr>
              <w:t>11</w:t>
            </w:r>
          </w:p>
        </w:tc>
        <w:tc>
          <w:tcPr>
            <w:tcW w:w="407" w:type="pct"/>
            <w:tcBorders>
              <w:top w:val="single" w:color="auto" w:sz="4" w:space="0"/>
              <w:left w:val="nil"/>
              <w:bottom w:val="single" w:color="auto" w:sz="8" w:space="0"/>
              <w:right w:val="single" w:color="auto" w:sz="8" w:space="0"/>
            </w:tcBorders>
            <w:shd w:val="clear" w:color="auto" w:fill="auto"/>
          </w:tcPr>
          <w:p>
            <w:pPr>
              <w:widowControl/>
              <w:jc w:val="left"/>
              <w:rPr>
                <w:rFonts w:ascii="宋体" w:hAnsi="宋体" w:cs="宋体"/>
                <w:color w:val="auto"/>
                <w:kern w:val="0"/>
                <w:sz w:val="24"/>
              </w:rPr>
            </w:pPr>
            <w:r>
              <w:rPr>
                <w:rFonts w:hint="eastAsia" w:ascii="宋体" w:hAnsi="宋体" w:cs="宋体"/>
                <w:color w:val="auto"/>
                <w:kern w:val="0"/>
                <w:sz w:val="24"/>
              </w:rPr>
              <w:t>数据迁移</w:t>
            </w:r>
          </w:p>
        </w:tc>
        <w:tc>
          <w:tcPr>
            <w:tcW w:w="474" w:type="pct"/>
            <w:tcBorders>
              <w:top w:val="single" w:color="auto" w:sz="4" w:space="0"/>
              <w:left w:val="nil"/>
              <w:bottom w:val="single" w:color="auto" w:sz="8" w:space="0"/>
              <w:right w:val="single" w:color="auto" w:sz="4" w:space="0"/>
            </w:tcBorders>
            <w:shd w:val="clear" w:color="auto" w:fill="auto"/>
            <w:vAlign w:val="center"/>
          </w:tcPr>
          <w:p>
            <w:pPr>
              <w:widowControl/>
              <w:jc w:val="center"/>
              <w:rPr>
                <w:rFonts w:ascii="宋体" w:hAnsi="宋体" w:cs="宋体"/>
                <w:color w:val="auto"/>
                <w:kern w:val="0"/>
                <w:sz w:val="24"/>
              </w:rPr>
            </w:pPr>
          </w:p>
        </w:tc>
        <w:tc>
          <w:tcPr>
            <w:tcW w:w="3198" w:type="pct"/>
            <w:tcBorders>
              <w:top w:val="single" w:color="auto" w:sz="4" w:space="0"/>
              <w:left w:val="nil"/>
              <w:bottom w:val="single" w:color="auto" w:sz="8" w:space="0"/>
              <w:right w:val="nil"/>
            </w:tcBorders>
            <w:shd w:val="clear" w:color="auto" w:fill="auto"/>
            <w:vAlign w:val="bottom"/>
          </w:tcPr>
          <w:p>
            <w:pPr>
              <w:widowControl/>
              <w:jc w:val="left"/>
              <w:rPr>
                <w:rFonts w:ascii="宋体" w:hAnsi="宋体" w:cs="宋体"/>
                <w:color w:val="auto"/>
                <w:kern w:val="0"/>
                <w:sz w:val="24"/>
              </w:rPr>
            </w:pPr>
            <w:r>
              <w:rPr>
                <w:rFonts w:hint="eastAsia" w:ascii="宋体" w:hAnsi="宋体" w:cs="宋体"/>
                <w:color w:val="auto"/>
                <w:kern w:val="0"/>
                <w:sz w:val="24"/>
              </w:rPr>
              <w:t>WRF4.0,NCL绘图系统等软件的安装，调试，培训及原数据迁移。</w:t>
            </w:r>
          </w:p>
        </w:tc>
        <w:tc>
          <w:tcPr>
            <w:tcW w:w="594" w:type="pct"/>
            <w:tcBorders>
              <w:top w:val="single" w:color="auto" w:sz="4" w:space="0"/>
              <w:left w:val="single" w:color="auto" w:sz="8" w:space="0"/>
              <w:bottom w:val="single" w:color="auto" w:sz="8" w:space="0"/>
              <w:right w:val="single" w:color="auto" w:sz="8" w:space="0"/>
            </w:tcBorders>
            <w:shd w:val="clear" w:color="auto" w:fill="auto"/>
            <w:noWrap/>
          </w:tcPr>
          <w:p>
            <w:pPr>
              <w:widowControl/>
              <w:jc w:val="center"/>
              <w:rPr>
                <w:rFonts w:ascii="宋体" w:hAnsi="宋体" w:cs="宋体"/>
                <w:color w:val="auto"/>
                <w:kern w:val="0"/>
                <w:sz w:val="24"/>
              </w:rPr>
            </w:pPr>
            <w:r>
              <w:rPr>
                <w:rFonts w:hint="eastAsia" w:ascii="宋体" w:hAnsi="宋体" w:cs="宋体"/>
                <w:color w:val="auto"/>
                <w:kern w:val="0"/>
                <w:sz w:val="24"/>
              </w:rPr>
              <w:t>1套</w:t>
            </w:r>
          </w:p>
        </w:tc>
      </w:tr>
    </w:tbl>
    <w:p>
      <w:pPr>
        <w:pStyle w:val="10"/>
        <w:adjustRightInd w:val="0"/>
        <w:snapToGrid w:val="0"/>
        <w:spacing w:before="120" w:after="120" w:line="360" w:lineRule="auto"/>
        <w:rPr>
          <w:rStyle w:val="42"/>
          <w:rFonts w:ascii="宋体" w:hAnsi="宋体" w:eastAsia="宋体"/>
          <w:b w:val="0"/>
          <w:color w:val="auto"/>
          <w:sz w:val="28"/>
          <w:szCs w:val="28"/>
        </w:rPr>
      </w:pPr>
    </w:p>
    <w:p>
      <w:pPr>
        <w:spacing w:line="360" w:lineRule="auto"/>
        <w:rPr>
          <w:rFonts w:ascii="宋体" w:hAnsi="宋体" w:cs="宋体"/>
          <w:b/>
          <w:color w:val="auto"/>
          <w:sz w:val="28"/>
          <w:szCs w:val="28"/>
        </w:rPr>
      </w:pPr>
      <w:r>
        <w:rPr>
          <w:rFonts w:hint="eastAsia" w:ascii="宋体" w:hAnsi="宋体" w:cs="宋体"/>
          <w:b/>
          <w:color w:val="auto"/>
          <w:sz w:val="28"/>
          <w:szCs w:val="28"/>
        </w:rPr>
        <w:t>注：</w:t>
      </w:r>
      <w:r>
        <w:rPr>
          <w:rFonts w:hint="eastAsia" w:ascii="宋体" w:hAnsi="宋体" w:cs="宋体"/>
          <w:b/>
          <w:color w:val="auto"/>
          <w:sz w:val="28"/>
          <w:szCs w:val="28"/>
          <w:u w:val="single"/>
        </w:rPr>
        <w:t>报价时必须注明或说明品牌中具体投标品牌，否则投标无效。</w:t>
      </w:r>
    </w:p>
    <w:p>
      <w:pPr>
        <w:spacing w:line="360" w:lineRule="auto"/>
        <w:rPr>
          <w:rFonts w:ascii="宋体" w:hAnsi="宋体" w:cs="宋体"/>
          <w:b/>
          <w:color w:val="auto"/>
          <w:sz w:val="28"/>
          <w:szCs w:val="28"/>
        </w:rPr>
      </w:pPr>
      <w:r>
        <w:rPr>
          <w:rFonts w:hint="eastAsia" w:ascii="宋体" w:hAnsi="宋体" w:cs="宋体"/>
          <w:b/>
          <w:color w:val="auto"/>
          <w:sz w:val="28"/>
          <w:szCs w:val="28"/>
        </w:rPr>
        <w:t>★</w:t>
      </w:r>
      <w:r>
        <w:rPr>
          <w:rFonts w:hint="eastAsia" w:ascii="宋体" w:hAnsi="宋体" w:cs="宋体"/>
          <w:color w:val="auto"/>
          <w:sz w:val="28"/>
          <w:szCs w:val="28"/>
        </w:rPr>
        <w:t>▲</w:t>
      </w:r>
      <w:r>
        <w:rPr>
          <w:rFonts w:hint="eastAsia" w:ascii="宋体" w:hAnsi="宋体" w:cs="宋体"/>
          <w:b/>
          <w:color w:val="auto"/>
          <w:sz w:val="28"/>
          <w:szCs w:val="28"/>
        </w:rPr>
        <w:t>中标后五日内提供所投上述要求原厂授权函、原厂售后服务承诺函</w:t>
      </w:r>
      <w:r>
        <w:rPr>
          <w:rFonts w:hint="eastAsia" w:ascii="宋体" w:hAnsi="宋体" w:cs="宋体"/>
          <w:b/>
          <w:color w:val="auto"/>
          <w:sz w:val="28"/>
          <w:szCs w:val="28"/>
          <w:lang w:eastAsia="zh-CN"/>
        </w:rPr>
        <w:t>、</w:t>
      </w:r>
      <w:r>
        <w:rPr>
          <w:rFonts w:hint="eastAsia" w:ascii="宋体" w:hAnsi="宋体" w:cs="宋体"/>
          <w:b/>
          <w:color w:val="auto"/>
          <w:sz w:val="28"/>
          <w:szCs w:val="28"/>
          <w:lang w:val="en-US" w:eastAsia="zh-CN"/>
        </w:rPr>
        <w:t>资质证明</w:t>
      </w:r>
      <w:r>
        <w:rPr>
          <w:rFonts w:hint="eastAsia" w:ascii="宋体" w:hAnsi="宋体" w:cs="宋体"/>
          <w:b/>
          <w:color w:val="auto"/>
          <w:sz w:val="28"/>
          <w:szCs w:val="28"/>
        </w:rPr>
        <w:t>原件等材料，否则取消中标资格。</w:t>
      </w:r>
    </w:p>
    <w:p>
      <w:pPr>
        <w:pStyle w:val="8"/>
        <w:ind w:left="1470" w:right="1470"/>
        <w:rPr>
          <w:color w:val="auto"/>
        </w:rPr>
      </w:pPr>
    </w:p>
    <w:p>
      <w:pPr>
        <w:pStyle w:val="8"/>
        <w:ind w:left="1470" w:right="1470"/>
        <w:rPr>
          <w:color w:val="auto"/>
        </w:rPr>
      </w:pPr>
    </w:p>
    <w:p>
      <w:pPr>
        <w:pStyle w:val="8"/>
        <w:ind w:left="1470" w:right="1470"/>
        <w:rPr>
          <w:color w:val="auto"/>
        </w:rPr>
      </w:pPr>
    </w:p>
    <w:p>
      <w:pPr>
        <w:pStyle w:val="8"/>
        <w:ind w:left="1470" w:right="1470"/>
        <w:rPr>
          <w:color w:val="auto"/>
        </w:rPr>
      </w:pPr>
    </w:p>
    <w:p>
      <w:pPr>
        <w:pStyle w:val="8"/>
        <w:ind w:left="1470" w:right="1470"/>
        <w:rPr>
          <w:color w:val="auto"/>
        </w:rPr>
      </w:pPr>
    </w:p>
    <w:p>
      <w:pPr>
        <w:pStyle w:val="8"/>
        <w:ind w:left="1470" w:right="1470"/>
        <w:rPr>
          <w:color w:val="auto"/>
        </w:rPr>
      </w:pPr>
    </w:p>
    <w:p>
      <w:pPr>
        <w:pStyle w:val="8"/>
        <w:ind w:left="1470" w:right="1470"/>
        <w:rPr>
          <w:color w:val="auto"/>
        </w:rPr>
      </w:pPr>
    </w:p>
    <w:p>
      <w:pPr>
        <w:pStyle w:val="8"/>
        <w:ind w:left="1470" w:right="1470"/>
        <w:rPr>
          <w:color w:val="auto"/>
        </w:rPr>
      </w:pPr>
    </w:p>
    <w:p>
      <w:pPr>
        <w:pStyle w:val="8"/>
        <w:ind w:left="1470" w:right="1470"/>
        <w:rPr>
          <w:color w:val="auto"/>
        </w:rPr>
      </w:pPr>
    </w:p>
    <w:p>
      <w:pPr>
        <w:pStyle w:val="8"/>
        <w:ind w:left="1470" w:right="1470"/>
        <w:rPr>
          <w:color w:val="auto"/>
        </w:rPr>
      </w:pPr>
    </w:p>
    <w:p>
      <w:pPr>
        <w:pStyle w:val="8"/>
        <w:ind w:left="1470" w:right="1470"/>
        <w:rPr>
          <w:color w:val="auto"/>
        </w:rPr>
      </w:pPr>
    </w:p>
    <w:p>
      <w:pPr>
        <w:pStyle w:val="8"/>
        <w:ind w:left="1470" w:right="1470"/>
        <w:rPr>
          <w:color w:val="auto"/>
        </w:rPr>
      </w:pPr>
    </w:p>
    <w:p>
      <w:pPr>
        <w:pStyle w:val="8"/>
        <w:ind w:left="1470" w:right="1470"/>
        <w:rPr>
          <w:color w:val="auto"/>
        </w:rPr>
      </w:pPr>
    </w:p>
    <w:p>
      <w:pPr>
        <w:widowControl/>
        <w:jc w:val="left"/>
        <w:rPr>
          <w:rFonts w:hAnsi="宋体"/>
          <w:b/>
          <w:color w:val="auto"/>
          <w:sz w:val="28"/>
          <w:szCs w:val="28"/>
        </w:rPr>
      </w:pPr>
    </w:p>
    <w:p>
      <w:pPr>
        <w:widowControl/>
        <w:jc w:val="left"/>
        <w:rPr>
          <w:rFonts w:hAnsi="宋体"/>
          <w:b/>
          <w:color w:val="auto"/>
          <w:sz w:val="36"/>
          <w:szCs w:val="36"/>
        </w:rPr>
      </w:pPr>
      <w:r>
        <w:rPr>
          <w:rFonts w:hint="eastAsia" w:hAnsi="宋体"/>
          <w:b/>
          <w:color w:val="auto"/>
          <w:sz w:val="28"/>
          <w:szCs w:val="28"/>
        </w:rPr>
        <w:t>附件</w:t>
      </w:r>
      <w:r>
        <w:rPr>
          <w:rFonts w:hAnsi="宋体"/>
          <w:b/>
          <w:color w:val="auto"/>
          <w:sz w:val="28"/>
          <w:szCs w:val="28"/>
        </w:rPr>
        <w:t>2</w:t>
      </w:r>
      <w:r>
        <w:rPr>
          <w:rFonts w:hint="eastAsia" w:hAnsi="宋体"/>
          <w:b/>
          <w:color w:val="auto"/>
          <w:sz w:val="28"/>
          <w:szCs w:val="28"/>
        </w:rPr>
        <w:t>：</w:t>
      </w:r>
    </w:p>
    <w:p>
      <w:pPr>
        <w:tabs>
          <w:tab w:val="left" w:pos="3270"/>
        </w:tabs>
        <w:autoSpaceDE w:val="0"/>
        <w:autoSpaceDN w:val="0"/>
        <w:adjustRightInd w:val="0"/>
        <w:spacing w:line="360" w:lineRule="exact"/>
        <w:rPr>
          <w:rFonts w:ascii="宋体" w:hAnsi="宋体"/>
          <w:b/>
          <w:color w:val="auto"/>
          <w:sz w:val="24"/>
          <w:lang w:val="zh-CN"/>
        </w:rPr>
      </w:pPr>
      <w:bookmarkStart w:id="10" w:name="_Hlk9862420"/>
    </w:p>
    <w:p>
      <w:pPr>
        <w:autoSpaceDE w:val="0"/>
        <w:autoSpaceDN w:val="0"/>
        <w:adjustRightInd w:val="0"/>
        <w:spacing w:line="360" w:lineRule="exact"/>
        <w:ind w:firstLine="723" w:firstLineChars="200"/>
        <w:jc w:val="center"/>
        <w:rPr>
          <w:rFonts w:ascii="宋体" w:hAnsi="宋体"/>
          <w:b/>
          <w:color w:val="auto"/>
          <w:sz w:val="36"/>
          <w:szCs w:val="36"/>
          <w:lang w:val="zh-CN"/>
        </w:rPr>
      </w:pPr>
      <w:r>
        <w:rPr>
          <w:rFonts w:hint="eastAsia" w:ascii="宋体" w:hAnsi="宋体"/>
          <w:b/>
          <w:color w:val="auto"/>
          <w:sz w:val="36"/>
          <w:szCs w:val="36"/>
          <w:lang w:val="zh-CN"/>
        </w:rPr>
        <w:t>投标函</w:t>
      </w:r>
    </w:p>
    <w:p>
      <w:pPr>
        <w:autoSpaceDE w:val="0"/>
        <w:autoSpaceDN w:val="0"/>
        <w:adjustRightInd w:val="0"/>
        <w:spacing w:line="300" w:lineRule="auto"/>
        <w:rPr>
          <w:rFonts w:ascii="宋体" w:hAnsi="宋体"/>
          <w:color w:val="auto"/>
          <w:sz w:val="24"/>
          <w:lang w:val="zh-CN"/>
        </w:rPr>
      </w:pPr>
      <w:r>
        <w:rPr>
          <w:rFonts w:hint="eastAsia" w:ascii="宋体" w:hAnsi="宋体"/>
          <w:color w:val="auto"/>
          <w:sz w:val="24"/>
          <w:lang w:val="zh-CN"/>
        </w:rPr>
        <w:t>致：南京信息工程大学</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根据贵方（项目名称）（项目编号）投标邀请，正式授权下述签字人</w:t>
      </w:r>
      <w:r>
        <w:rPr>
          <w:rFonts w:ascii="宋体" w:hAnsi="宋体"/>
          <w:color w:val="auto"/>
          <w:sz w:val="24"/>
          <w:lang w:val="zh-CN"/>
        </w:rPr>
        <w:t>(</w:t>
      </w:r>
      <w:r>
        <w:rPr>
          <w:rFonts w:hint="eastAsia" w:ascii="宋体" w:hAnsi="宋体"/>
          <w:color w:val="auto"/>
          <w:sz w:val="24"/>
          <w:lang w:val="zh-CN"/>
        </w:rPr>
        <w:t>姓名和职务</w:t>
      </w:r>
      <w:r>
        <w:rPr>
          <w:rFonts w:ascii="宋体" w:hAnsi="宋体"/>
          <w:color w:val="auto"/>
          <w:sz w:val="24"/>
          <w:lang w:val="zh-CN"/>
        </w:rPr>
        <w:t>)</w:t>
      </w:r>
      <w:r>
        <w:rPr>
          <w:rFonts w:hint="eastAsia" w:ascii="宋体" w:hAnsi="宋体"/>
          <w:color w:val="auto"/>
          <w:sz w:val="24"/>
          <w:lang w:val="zh-CN"/>
        </w:rPr>
        <w:t>代表投标人 （投标人名称），提交投标文件。</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据此函，签字人兹宣布声明和承诺如下：</w:t>
      </w:r>
    </w:p>
    <w:p>
      <w:pPr>
        <w:autoSpaceDE w:val="0"/>
        <w:autoSpaceDN w:val="0"/>
        <w:adjustRightInd w:val="0"/>
        <w:spacing w:line="300" w:lineRule="auto"/>
        <w:ind w:firstLine="480" w:firstLineChars="200"/>
        <w:rPr>
          <w:rFonts w:ascii="宋体" w:hAnsi="宋体"/>
          <w:color w:val="auto"/>
          <w:sz w:val="24"/>
        </w:rPr>
      </w:pPr>
      <w:r>
        <w:rPr>
          <w:rFonts w:ascii="宋体" w:hAnsi="宋体"/>
          <w:color w:val="auto"/>
          <w:sz w:val="24"/>
          <w:lang w:val="zh-CN"/>
        </w:rPr>
        <w:t>1</w:t>
      </w:r>
      <w:r>
        <w:rPr>
          <w:rFonts w:hint="eastAsia" w:ascii="宋体" w:hAnsi="宋体"/>
          <w:color w:val="auto"/>
          <w:sz w:val="24"/>
          <w:lang w:val="zh-CN"/>
        </w:rPr>
        <w:t>、</w:t>
      </w:r>
      <w:r>
        <w:rPr>
          <w:rFonts w:hint="eastAsia" w:ascii="宋体" w:hAnsi="宋体"/>
          <w:b/>
          <w:color w:val="auto"/>
          <w:sz w:val="24"/>
          <w:lang w:val="zh-CN"/>
        </w:rPr>
        <w:t>我们的资格条件完全符合本次招标要求</w:t>
      </w:r>
      <w:r>
        <w:rPr>
          <w:rFonts w:hint="eastAsia" w:ascii="宋体" w:hAnsi="宋体"/>
          <w:color w:val="auto"/>
          <w:sz w:val="24"/>
          <w:lang w:val="zh-CN"/>
        </w:rPr>
        <w:t>，</w:t>
      </w:r>
      <w:r>
        <w:rPr>
          <w:rFonts w:hint="eastAsia" w:ascii="宋体" w:hAnsi="宋体"/>
          <w:color w:val="auto"/>
          <w:sz w:val="24"/>
        </w:rPr>
        <w:t>我们</w:t>
      </w:r>
      <w:r>
        <w:rPr>
          <w:rFonts w:hint="eastAsia" w:ascii="宋体" w:hAnsi="宋体"/>
          <w:color w:val="auto"/>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color w:val="auto"/>
          <w:sz w:val="24"/>
          <w:lang w:val="zh-CN"/>
        </w:rPr>
      </w:pPr>
      <w:r>
        <w:rPr>
          <w:rFonts w:ascii="宋体" w:hAnsi="宋体"/>
          <w:color w:val="auto"/>
          <w:sz w:val="24"/>
        </w:rPr>
        <w:t>2</w:t>
      </w:r>
      <w:r>
        <w:rPr>
          <w:rFonts w:hint="eastAsia" w:ascii="宋体" w:hAnsi="宋体"/>
          <w:color w:val="auto"/>
          <w:sz w:val="24"/>
        </w:rPr>
        <w:t>、</w:t>
      </w:r>
      <w:r>
        <w:rPr>
          <w:rFonts w:hint="eastAsia" w:ascii="宋体" w:hAnsi="宋体"/>
          <w:color w:val="auto"/>
          <w:sz w:val="24"/>
          <w:lang w:val="zh-CN"/>
        </w:rPr>
        <w:t>按招标要求，我们的投标总报价为人民币大写</w:t>
      </w:r>
      <w:r>
        <w:rPr>
          <w:rFonts w:hint="eastAsia" w:ascii="宋体" w:hAnsi="宋体"/>
          <w:color w:val="auto"/>
          <w:sz w:val="24"/>
          <w:u w:val="single"/>
          <w:lang w:val="zh-CN"/>
        </w:rPr>
        <w:t xml:space="preserve">                        ，</w:t>
      </w:r>
      <w:r>
        <w:rPr>
          <w:rFonts w:hint="eastAsia" w:ascii="宋体" w:hAnsi="宋体"/>
          <w:color w:val="auto"/>
          <w:sz w:val="24"/>
          <w:lang w:val="zh-CN"/>
        </w:rPr>
        <w:t>小写：</w:t>
      </w:r>
      <w:r>
        <w:rPr>
          <w:rFonts w:hint="eastAsia" w:ascii="宋体" w:hAnsi="宋体"/>
          <w:color w:val="auto"/>
          <w:sz w:val="24"/>
          <w:u w:val="single"/>
          <w:lang w:val="zh-CN"/>
        </w:rPr>
        <w:t>￥         。</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3、项目负责人</w:t>
      </w:r>
      <w:r>
        <w:rPr>
          <w:rFonts w:ascii="宋体" w:hAnsi="宋体"/>
          <w:color w:val="auto"/>
          <w:sz w:val="24"/>
          <w:lang w:val="zh-CN"/>
        </w:rPr>
        <w:t>(</w:t>
      </w:r>
      <w:r>
        <w:rPr>
          <w:rFonts w:hint="eastAsia" w:ascii="宋体" w:hAnsi="宋体"/>
          <w:color w:val="auto"/>
          <w:sz w:val="24"/>
          <w:lang w:val="zh-CN"/>
        </w:rPr>
        <w:t>姓名</w:t>
      </w:r>
      <w:r>
        <w:rPr>
          <w:rFonts w:ascii="宋体" w:hAnsi="宋体"/>
          <w:color w:val="auto"/>
          <w:sz w:val="24"/>
          <w:lang w:val="zh-CN"/>
        </w:rPr>
        <w:t>)</w:t>
      </w:r>
      <w:r>
        <w:rPr>
          <w:rFonts w:hint="eastAsia" w:ascii="宋体" w:hAnsi="宋体"/>
          <w:color w:val="auto"/>
          <w:sz w:val="24"/>
          <w:lang w:val="zh-CN"/>
        </w:rPr>
        <w:t>，身份证号。</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4、我们已详细审核全部招标文件及其有效补充文件，我们放弃对招标文件任何误解的权利，提交投标文件后，</w:t>
      </w:r>
      <w:r>
        <w:rPr>
          <w:rFonts w:hint="eastAsia" w:ascii="宋体" w:hAnsi="宋体"/>
          <w:b/>
          <w:color w:val="auto"/>
          <w:sz w:val="24"/>
          <w:lang w:val="zh-CN"/>
        </w:rPr>
        <w:t>不对招标文件本身提出质疑</w:t>
      </w:r>
      <w:r>
        <w:rPr>
          <w:rFonts w:hint="eastAsia" w:ascii="宋体" w:hAnsi="宋体"/>
          <w:color w:val="auto"/>
          <w:sz w:val="24"/>
          <w:lang w:val="zh-CN"/>
        </w:rPr>
        <w:t>。否则，属于不诚信和故意扰乱采购活动行为，我们将无条件接受处罚。</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6、一旦我方中标，我方将根据招标文件的规定严格履行合同，并保证于承诺的时间完成服务的启动</w:t>
      </w:r>
      <w:r>
        <w:rPr>
          <w:rFonts w:ascii="宋体" w:hAnsi="宋体"/>
          <w:color w:val="auto"/>
          <w:sz w:val="24"/>
          <w:lang w:val="zh-CN"/>
        </w:rPr>
        <w:t>/</w:t>
      </w:r>
      <w:r>
        <w:rPr>
          <w:rFonts w:hint="eastAsia" w:ascii="宋体" w:hAnsi="宋体"/>
          <w:color w:val="auto"/>
          <w:sz w:val="24"/>
          <w:lang w:val="zh-CN"/>
        </w:rPr>
        <w:t>集成、调试等服务，交付采购人验收、使用。</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color w:val="auto"/>
          <w:sz w:val="24"/>
          <w:lang w:val="zh-CN"/>
        </w:rPr>
      </w:pPr>
      <w:r>
        <w:rPr>
          <w:rFonts w:ascii="宋体" w:hAnsi="宋体"/>
          <w:color w:val="auto"/>
          <w:sz w:val="24"/>
          <w:lang w:val="zh-CN"/>
        </w:rPr>
        <w:t>8</w:t>
      </w:r>
      <w:r>
        <w:rPr>
          <w:rFonts w:hint="eastAsia" w:ascii="宋体" w:hAnsi="宋体"/>
          <w:color w:val="auto"/>
          <w:sz w:val="24"/>
          <w:lang w:val="zh-CN"/>
        </w:rPr>
        <w:t>、与本投标有关的正式联系方式为：</w:t>
      </w:r>
    </w:p>
    <w:p>
      <w:pPr>
        <w:autoSpaceDE w:val="0"/>
        <w:autoSpaceDN w:val="0"/>
        <w:adjustRightInd w:val="0"/>
        <w:spacing w:line="300" w:lineRule="auto"/>
        <w:ind w:firstLine="480" w:firstLineChars="200"/>
        <w:rPr>
          <w:rFonts w:ascii="宋体" w:hAnsi="宋体"/>
          <w:color w:val="auto"/>
          <w:sz w:val="24"/>
          <w:u w:val="single"/>
          <w:lang w:val="zh-CN"/>
        </w:rPr>
      </w:pPr>
      <w:r>
        <w:rPr>
          <w:rFonts w:hint="eastAsia" w:ascii="宋体" w:hAnsi="宋体"/>
          <w:color w:val="auto"/>
          <w:sz w:val="24"/>
          <w:lang w:val="zh-CN"/>
        </w:rPr>
        <w:t>地址：</w:t>
      </w:r>
    </w:p>
    <w:p>
      <w:pPr>
        <w:autoSpaceDE w:val="0"/>
        <w:autoSpaceDN w:val="0"/>
        <w:adjustRightInd w:val="0"/>
        <w:spacing w:line="300" w:lineRule="auto"/>
        <w:ind w:firstLine="480" w:firstLineChars="200"/>
        <w:rPr>
          <w:rFonts w:ascii="宋体" w:hAnsi="宋体"/>
          <w:color w:val="auto"/>
          <w:sz w:val="24"/>
          <w:u w:val="single"/>
          <w:lang w:val="zh-CN"/>
        </w:rPr>
      </w:pPr>
      <w:r>
        <w:rPr>
          <w:rFonts w:hint="eastAsia" w:ascii="宋体" w:hAnsi="宋体"/>
          <w:color w:val="auto"/>
          <w:sz w:val="24"/>
          <w:lang w:val="zh-CN"/>
        </w:rPr>
        <w:t>电话：</w:t>
      </w:r>
    </w:p>
    <w:p>
      <w:pPr>
        <w:autoSpaceDE w:val="0"/>
        <w:autoSpaceDN w:val="0"/>
        <w:adjustRightInd w:val="0"/>
        <w:spacing w:line="300" w:lineRule="auto"/>
        <w:ind w:firstLine="480" w:firstLineChars="200"/>
        <w:rPr>
          <w:rFonts w:ascii="宋体" w:hAnsi="宋体"/>
          <w:color w:val="auto"/>
          <w:sz w:val="24"/>
          <w:u w:val="single"/>
          <w:lang w:val="zh-CN"/>
        </w:rPr>
      </w:pPr>
      <w:r>
        <w:rPr>
          <w:rFonts w:hint="eastAsia" w:ascii="宋体" w:hAnsi="宋体"/>
          <w:color w:val="auto"/>
          <w:sz w:val="24"/>
          <w:lang w:val="zh-CN"/>
        </w:rPr>
        <w:t>传真：</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开户银行：</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银行账号：</w:t>
      </w:r>
    </w:p>
    <w:p>
      <w:pPr>
        <w:autoSpaceDE w:val="0"/>
        <w:autoSpaceDN w:val="0"/>
        <w:adjustRightInd w:val="0"/>
        <w:spacing w:line="300" w:lineRule="auto"/>
        <w:ind w:firstLine="480" w:firstLineChars="200"/>
        <w:rPr>
          <w:rFonts w:ascii="宋体" w:hAnsi="宋体"/>
          <w:color w:val="auto"/>
          <w:sz w:val="24"/>
          <w:u w:val="single"/>
          <w:lang w:val="zh-CN"/>
        </w:rPr>
      </w:pPr>
      <w:r>
        <w:rPr>
          <w:rFonts w:hint="eastAsia" w:ascii="宋体" w:hAnsi="宋体"/>
          <w:color w:val="auto"/>
          <w:sz w:val="24"/>
          <w:lang w:val="zh-CN"/>
        </w:rPr>
        <w:t>投标人法定代表人姓名（签字）：</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投标人名称：（盖章）</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日期：     年   月    日</w:t>
      </w:r>
    </w:p>
    <w:p>
      <w:pPr>
        <w:spacing w:line="360" w:lineRule="auto"/>
        <w:rPr>
          <w:rFonts w:ascii="宋体"/>
          <w:b/>
          <w:color w:val="auto"/>
          <w:sz w:val="28"/>
          <w:szCs w:val="28"/>
        </w:rPr>
      </w:pPr>
      <w:r>
        <w:rPr>
          <w:rFonts w:ascii="宋体" w:hAnsi="宋体"/>
          <w:b/>
          <w:color w:val="auto"/>
          <w:sz w:val="28"/>
          <w:szCs w:val="28"/>
        </w:rPr>
        <w:br w:type="page"/>
      </w:r>
      <w:r>
        <w:rPr>
          <w:rFonts w:hint="eastAsia" w:ascii="宋体" w:hAnsi="宋体"/>
          <w:b/>
          <w:color w:val="auto"/>
          <w:sz w:val="28"/>
          <w:szCs w:val="28"/>
        </w:rPr>
        <w:t>附件</w:t>
      </w:r>
      <w:r>
        <w:rPr>
          <w:rFonts w:ascii="宋体" w:hAnsi="宋体"/>
          <w:b/>
          <w:color w:val="auto"/>
          <w:sz w:val="28"/>
          <w:szCs w:val="28"/>
        </w:rPr>
        <w:t>3</w:t>
      </w:r>
      <w:r>
        <w:rPr>
          <w:rFonts w:hint="eastAsia" w:ascii="宋体" w:hAnsi="宋体"/>
          <w:b/>
          <w:color w:val="auto"/>
          <w:sz w:val="28"/>
          <w:szCs w:val="28"/>
        </w:rPr>
        <w:t>：</w:t>
      </w:r>
    </w:p>
    <w:p>
      <w:pPr>
        <w:spacing w:line="360" w:lineRule="auto"/>
        <w:jc w:val="center"/>
        <w:rPr>
          <w:rFonts w:ascii="宋体"/>
          <w:color w:val="auto"/>
          <w:sz w:val="44"/>
          <w:szCs w:val="44"/>
        </w:rPr>
      </w:pPr>
      <w:r>
        <w:rPr>
          <w:rFonts w:hint="eastAsia" w:ascii="宋体" w:hAnsi="宋体"/>
          <w:color w:val="auto"/>
          <w:sz w:val="44"/>
          <w:szCs w:val="44"/>
        </w:rPr>
        <w:t>投标项目报价明细表</w:t>
      </w:r>
    </w:p>
    <w:p>
      <w:pPr>
        <w:spacing w:line="360" w:lineRule="auto"/>
        <w:rPr>
          <w:rFonts w:ascii="宋体"/>
          <w:color w:val="auto"/>
          <w:sz w:val="28"/>
          <w:szCs w:val="28"/>
          <w:u w:val="single"/>
        </w:rPr>
      </w:pPr>
      <w:r>
        <w:rPr>
          <w:rFonts w:hint="eastAsia" w:ascii="宋体" w:hAnsi="宋体"/>
          <w:color w:val="auto"/>
          <w:sz w:val="28"/>
          <w:szCs w:val="28"/>
        </w:rPr>
        <w:t>投标人</w:t>
      </w:r>
    </w:p>
    <w:p>
      <w:pPr>
        <w:spacing w:line="360" w:lineRule="auto"/>
        <w:rPr>
          <w:rFonts w:ascii="宋体"/>
          <w:color w:val="auto"/>
          <w:sz w:val="28"/>
          <w:szCs w:val="28"/>
          <w:u w:val="single"/>
        </w:rPr>
      </w:pPr>
      <w:r>
        <w:rPr>
          <w:rFonts w:hint="eastAsia" w:ascii="宋体" w:hAnsi="宋体"/>
          <w:color w:val="auto"/>
          <w:sz w:val="28"/>
          <w:szCs w:val="28"/>
        </w:rPr>
        <w:t>招标编号及分包号</w:t>
      </w:r>
    </w:p>
    <w:p>
      <w:pPr>
        <w:spacing w:line="360" w:lineRule="auto"/>
        <w:rPr>
          <w:rFonts w:ascii="宋体"/>
          <w:color w:val="auto"/>
          <w:sz w:val="28"/>
          <w:szCs w:val="28"/>
          <w:u w:val="single"/>
        </w:rPr>
      </w:pPr>
      <w:r>
        <w:rPr>
          <w:rFonts w:hint="eastAsia" w:ascii="宋体" w:hAnsi="宋体"/>
          <w:color w:val="auto"/>
          <w:sz w:val="28"/>
          <w:szCs w:val="28"/>
        </w:rPr>
        <w:t>投标报价</w:t>
      </w:r>
    </w:p>
    <w:tbl>
      <w:tblPr>
        <w:tblStyle w:val="1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color w:val="auto"/>
                <w:sz w:val="28"/>
                <w:szCs w:val="28"/>
              </w:rPr>
            </w:pPr>
            <w:r>
              <w:rPr>
                <w:rFonts w:hint="eastAsia" w:ascii="宋体" w:hAnsi="宋体"/>
                <w:b/>
                <w:color w:val="auto"/>
                <w:sz w:val="28"/>
                <w:szCs w:val="28"/>
              </w:rPr>
              <w:t>分包号</w:t>
            </w:r>
          </w:p>
        </w:tc>
        <w:tc>
          <w:tcPr>
            <w:tcW w:w="1065" w:type="dxa"/>
            <w:vAlign w:val="center"/>
          </w:tcPr>
          <w:p>
            <w:pPr>
              <w:spacing w:line="360" w:lineRule="auto"/>
              <w:jc w:val="center"/>
              <w:rPr>
                <w:rFonts w:ascii="宋体" w:hAnsi="宋体"/>
                <w:b/>
                <w:color w:val="auto"/>
                <w:sz w:val="28"/>
                <w:szCs w:val="28"/>
              </w:rPr>
            </w:pPr>
            <w:r>
              <w:rPr>
                <w:rFonts w:hint="eastAsia" w:ascii="宋体" w:hAnsi="宋体"/>
                <w:b/>
                <w:color w:val="auto"/>
                <w:sz w:val="28"/>
                <w:szCs w:val="28"/>
              </w:rPr>
              <w:t>品牌</w:t>
            </w:r>
          </w:p>
        </w:tc>
        <w:tc>
          <w:tcPr>
            <w:tcW w:w="1065" w:type="dxa"/>
            <w:vAlign w:val="center"/>
          </w:tcPr>
          <w:p>
            <w:pPr>
              <w:spacing w:line="360" w:lineRule="auto"/>
              <w:jc w:val="center"/>
              <w:rPr>
                <w:rFonts w:ascii="宋体"/>
                <w:b/>
                <w:color w:val="auto"/>
                <w:sz w:val="28"/>
                <w:szCs w:val="28"/>
              </w:rPr>
            </w:pPr>
            <w:r>
              <w:rPr>
                <w:rFonts w:hint="eastAsia" w:ascii="宋体" w:hAnsi="宋体"/>
                <w:b/>
                <w:color w:val="auto"/>
                <w:sz w:val="28"/>
                <w:szCs w:val="28"/>
              </w:rPr>
              <w:t>货物</w:t>
            </w:r>
          </w:p>
          <w:p>
            <w:pPr>
              <w:spacing w:line="360" w:lineRule="auto"/>
              <w:jc w:val="center"/>
              <w:rPr>
                <w:rFonts w:ascii="宋体"/>
                <w:b/>
                <w:color w:val="auto"/>
                <w:sz w:val="28"/>
                <w:szCs w:val="28"/>
              </w:rPr>
            </w:pPr>
            <w:r>
              <w:rPr>
                <w:rFonts w:hint="eastAsia" w:ascii="宋体" w:hAnsi="宋体"/>
                <w:b/>
                <w:color w:val="auto"/>
                <w:sz w:val="28"/>
                <w:szCs w:val="28"/>
              </w:rPr>
              <w:t>名称</w:t>
            </w:r>
          </w:p>
        </w:tc>
        <w:tc>
          <w:tcPr>
            <w:tcW w:w="1065" w:type="dxa"/>
            <w:vAlign w:val="center"/>
          </w:tcPr>
          <w:p>
            <w:pPr>
              <w:spacing w:line="360" w:lineRule="auto"/>
              <w:jc w:val="center"/>
              <w:rPr>
                <w:rFonts w:ascii="宋体"/>
                <w:b/>
                <w:color w:val="auto"/>
                <w:sz w:val="28"/>
                <w:szCs w:val="28"/>
              </w:rPr>
            </w:pPr>
            <w:r>
              <w:rPr>
                <w:rFonts w:hint="eastAsia" w:ascii="宋体" w:hAnsi="宋体"/>
                <w:b/>
                <w:color w:val="auto"/>
                <w:sz w:val="28"/>
                <w:szCs w:val="28"/>
              </w:rPr>
              <w:t>货物</w:t>
            </w:r>
          </w:p>
          <w:p>
            <w:pPr>
              <w:spacing w:line="360" w:lineRule="auto"/>
              <w:jc w:val="center"/>
              <w:rPr>
                <w:rFonts w:ascii="宋体"/>
                <w:b/>
                <w:color w:val="auto"/>
                <w:sz w:val="28"/>
                <w:szCs w:val="28"/>
              </w:rPr>
            </w:pPr>
            <w:r>
              <w:rPr>
                <w:rFonts w:hint="eastAsia" w:ascii="宋体" w:hAnsi="宋体"/>
                <w:b/>
                <w:color w:val="auto"/>
                <w:sz w:val="28"/>
                <w:szCs w:val="28"/>
              </w:rPr>
              <w:t>描述</w:t>
            </w:r>
          </w:p>
        </w:tc>
        <w:tc>
          <w:tcPr>
            <w:tcW w:w="1065" w:type="dxa"/>
            <w:vAlign w:val="center"/>
          </w:tcPr>
          <w:p>
            <w:pPr>
              <w:spacing w:line="360" w:lineRule="auto"/>
              <w:jc w:val="center"/>
              <w:rPr>
                <w:rFonts w:ascii="宋体"/>
                <w:b/>
                <w:color w:val="auto"/>
                <w:sz w:val="28"/>
                <w:szCs w:val="28"/>
              </w:rPr>
            </w:pPr>
            <w:r>
              <w:rPr>
                <w:rFonts w:hint="eastAsia" w:ascii="宋体" w:hAnsi="宋体"/>
                <w:b/>
                <w:color w:val="auto"/>
                <w:sz w:val="28"/>
                <w:szCs w:val="28"/>
              </w:rPr>
              <w:t>计量</w:t>
            </w:r>
          </w:p>
          <w:p>
            <w:pPr>
              <w:spacing w:line="360" w:lineRule="auto"/>
              <w:jc w:val="center"/>
              <w:rPr>
                <w:rFonts w:ascii="宋体"/>
                <w:b/>
                <w:color w:val="auto"/>
                <w:sz w:val="28"/>
                <w:szCs w:val="28"/>
              </w:rPr>
            </w:pPr>
            <w:r>
              <w:rPr>
                <w:rFonts w:hint="eastAsia" w:ascii="宋体" w:hAnsi="宋体"/>
                <w:b/>
                <w:color w:val="auto"/>
                <w:sz w:val="28"/>
                <w:szCs w:val="28"/>
              </w:rPr>
              <w:t>单位</w:t>
            </w:r>
          </w:p>
        </w:tc>
        <w:tc>
          <w:tcPr>
            <w:tcW w:w="1065" w:type="dxa"/>
            <w:vAlign w:val="center"/>
          </w:tcPr>
          <w:p>
            <w:pPr>
              <w:spacing w:line="360" w:lineRule="auto"/>
              <w:jc w:val="center"/>
              <w:rPr>
                <w:rFonts w:ascii="宋体"/>
                <w:b/>
                <w:color w:val="auto"/>
                <w:sz w:val="28"/>
                <w:szCs w:val="28"/>
              </w:rPr>
            </w:pPr>
            <w:r>
              <w:rPr>
                <w:rFonts w:hint="eastAsia" w:ascii="宋体" w:hAnsi="宋体"/>
                <w:b/>
                <w:color w:val="auto"/>
                <w:sz w:val="28"/>
                <w:szCs w:val="28"/>
              </w:rPr>
              <w:t>数量</w:t>
            </w:r>
          </w:p>
        </w:tc>
        <w:tc>
          <w:tcPr>
            <w:tcW w:w="1065" w:type="dxa"/>
            <w:vAlign w:val="center"/>
          </w:tcPr>
          <w:p>
            <w:pPr>
              <w:spacing w:line="360" w:lineRule="auto"/>
              <w:jc w:val="center"/>
              <w:rPr>
                <w:rFonts w:ascii="宋体"/>
                <w:b/>
                <w:color w:val="auto"/>
                <w:sz w:val="28"/>
                <w:szCs w:val="28"/>
              </w:rPr>
            </w:pPr>
            <w:r>
              <w:rPr>
                <w:rFonts w:hint="eastAsia" w:ascii="宋体" w:hAnsi="宋体"/>
                <w:b/>
                <w:color w:val="auto"/>
                <w:sz w:val="28"/>
                <w:szCs w:val="28"/>
              </w:rPr>
              <w:t>单价</w:t>
            </w:r>
          </w:p>
        </w:tc>
        <w:tc>
          <w:tcPr>
            <w:tcW w:w="1066" w:type="dxa"/>
            <w:vAlign w:val="center"/>
          </w:tcPr>
          <w:p>
            <w:pPr>
              <w:spacing w:line="360" w:lineRule="auto"/>
              <w:jc w:val="center"/>
              <w:rPr>
                <w:rFonts w:ascii="宋体"/>
                <w:b/>
                <w:color w:val="auto"/>
                <w:sz w:val="28"/>
                <w:szCs w:val="28"/>
              </w:rPr>
            </w:pPr>
            <w:r>
              <w:rPr>
                <w:rFonts w:hint="eastAsia" w:ascii="宋体" w:hAnsi="宋体"/>
                <w:b/>
                <w:color w:val="auto"/>
                <w:sz w:val="28"/>
                <w:szCs w:val="28"/>
              </w:rPr>
              <w:t>每项</w:t>
            </w:r>
          </w:p>
          <w:p>
            <w:pPr>
              <w:spacing w:line="360" w:lineRule="auto"/>
              <w:jc w:val="center"/>
              <w:rPr>
                <w:rFonts w:ascii="宋体"/>
                <w:b/>
                <w:color w:val="auto"/>
                <w:sz w:val="28"/>
                <w:szCs w:val="28"/>
              </w:rPr>
            </w:pPr>
            <w:r>
              <w:rPr>
                <w:rFonts w:hint="eastAsia" w:ascii="宋体" w:hAnsi="宋体"/>
                <w:b/>
                <w:color w:val="auto"/>
                <w:sz w:val="28"/>
                <w:szCs w:val="28"/>
              </w:rPr>
              <w:t>总价</w:t>
            </w:r>
          </w:p>
        </w:tc>
        <w:tc>
          <w:tcPr>
            <w:tcW w:w="1066" w:type="dxa"/>
          </w:tcPr>
          <w:p>
            <w:pPr>
              <w:spacing w:line="360" w:lineRule="auto"/>
              <w:jc w:val="center"/>
              <w:rPr>
                <w:rFonts w:ascii="宋体"/>
                <w:b/>
                <w:color w:val="auto"/>
                <w:sz w:val="28"/>
                <w:szCs w:val="28"/>
              </w:rPr>
            </w:pPr>
            <w:r>
              <w:rPr>
                <w:rFonts w:hint="eastAsia" w:ascii="宋体" w:hAnsi="宋体"/>
                <w:b/>
                <w:color w:val="auto"/>
                <w:sz w:val="28"/>
                <w:szCs w:val="28"/>
              </w:rPr>
              <w:t>质保</w:t>
            </w:r>
          </w:p>
          <w:p>
            <w:pPr>
              <w:spacing w:line="360" w:lineRule="auto"/>
              <w:jc w:val="center"/>
              <w:rPr>
                <w:rFonts w:ascii="宋体"/>
                <w:b/>
                <w:color w:val="auto"/>
                <w:sz w:val="28"/>
                <w:szCs w:val="28"/>
              </w:rPr>
            </w:pPr>
            <w:r>
              <w:rPr>
                <w:rFonts w:hint="eastAsia" w:ascii="宋体" w:hAnsi="宋体"/>
                <w:b/>
                <w:color w:val="auto"/>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color w:val="auto"/>
                <w:sz w:val="28"/>
                <w:szCs w:val="28"/>
              </w:rPr>
            </w:pPr>
          </w:p>
        </w:tc>
        <w:tc>
          <w:tcPr>
            <w:tcW w:w="2130" w:type="dxa"/>
            <w:gridSpan w:val="2"/>
            <w:vAlign w:val="center"/>
          </w:tcPr>
          <w:p>
            <w:pPr>
              <w:spacing w:line="360" w:lineRule="auto"/>
              <w:jc w:val="center"/>
              <w:rPr>
                <w:rFonts w:ascii="宋体"/>
                <w:color w:val="auto"/>
                <w:sz w:val="28"/>
                <w:szCs w:val="28"/>
              </w:rPr>
            </w:pPr>
            <w:r>
              <w:rPr>
                <w:rFonts w:hint="eastAsia" w:ascii="宋体" w:hAnsi="宋体"/>
                <w:color w:val="auto"/>
                <w:sz w:val="28"/>
                <w:szCs w:val="28"/>
              </w:rPr>
              <w:t>合计总价</w:t>
            </w:r>
          </w:p>
        </w:tc>
        <w:tc>
          <w:tcPr>
            <w:tcW w:w="6392" w:type="dxa"/>
            <w:gridSpan w:val="6"/>
            <w:vAlign w:val="center"/>
          </w:tcPr>
          <w:p>
            <w:pPr>
              <w:spacing w:line="360" w:lineRule="auto"/>
              <w:rPr>
                <w:rFonts w:ascii="宋体"/>
                <w:color w:val="auto"/>
                <w:sz w:val="28"/>
                <w:szCs w:val="28"/>
                <w:u w:val="single"/>
              </w:rPr>
            </w:pPr>
            <w:r>
              <w:rPr>
                <w:rFonts w:hint="eastAsia" w:ascii="宋体" w:hAnsi="宋体"/>
                <w:color w:val="auto"/>
                <w:sz w:val="28"/>
                <w:szCs w:val="28"/>
              </w:rPr>
              <w:t>大写：小写：元</w:t>
            </w:r>
          </w:p>
        </w:tc>
      </w:tr>
    </w:tbl>
    <w:p>
      <w:pPr>
        <w:spacing w:line="360" w:lineRule="auto"/>
        <w:rPr>
          <w:rFonts w:ascii="宋体"/>
          <w:color w:val="auto"/>
          <w:sz w:val="28"/>
          <w:szCs w:val="28"/>
        </w:rPr>
      </w:pPr>
      <w:r>
        <w:rPr>
          <w:rFonts w:hint="eastAsia" w:ascii="宋体" w:hAnsi="宋体"/>
          <w:color w:val="auto"/>
          <w:sz w:val="28"/>
          <w:szCs w:val="28"/>
        </w:rPr>
        <w:t>（可续页）</w:t>
      </w:r>
    </w:p>
    <w:p>
      <w:pPr>
        <w:spacing w:line="360" w:lineRule="auto"/>
        <w:rPr>
          <w:rFonts w:ascii="宋体"/>
          <w:color w:val="auto"/>
          <w:sz w:val="28"/>
          <w:szCs w:val="28"/>
        </w:rPr>
      </w:pPr>
    </w:p>
    <w:p>
      <w:pPr>
        <w:spacing w:line="360" w:lineRule="auto"/>
        <w:rPr>
          <w:rFonts w:ascii="宋体"/>
          <w:color w:val="auto"/>
          <w:sz w:val="28"/>
          <w:szCs w:val="28"/>
          <w:u w:val="single"/>
        </w:rPr>
      </w:pPr>
      <w:r>
        <w:rPr>
          <w:rFonts w:hint="eastAsia" w:ascii="宋体" w:hAnsi="宋体"/>
          <w:color w:val="auto"/>
          <w:sz w:val="28"/>
          <w:szCs w:val="28"/>
        </w:rPr>
        <w:t>单位盖章：</w:t>
      </w:r>
    </w:p>
    <w:p>
      <w:pPr>
        <w:spacing w:line="360" w:lineRule="auto"/>
        <w:rPr>
          <w:rFonts w:ascii="宋体"/>
          <w:color w:val="auto"/>
          <w:sz w:val="28"/>
          <w:szCs w:val="28"/>
          <w:u w:val="single"/>
        </w:rPr>
      </w:pPr>
      <w:r>
        <w:rPr>
          <w:rFonts w:hint="eastAsia" w:ascii="宋体" w:hAnsi="宋体"/>
          <w:color w:val="auto"/>
          <w:sz w:val="28"/>
          <w:szCs w:val="28"/>
        </w:rPr>
        <w:t>授权代表签字：</w:t>
      </w:r>
    </w:p>
    <w:p>
      <w:pPr>
        <w:spacing w:line="360" w:lineRule="auto"/>
        <w:rPr>
          <w:rFonts w:ascii="宋体"/>
          <w:color w:val="auto"/>
          <w:sz w:val="28"/>
          <w:szCs w:val="28"/>
        </w:rPr>
      </w:pPr>
    </w:p>
    <w:p>
      <w:pPr>
        <w:spacing w:line="360" w:lineRule="auto"/>
        <w:rPr>
          <w:rFonts w:ascii="宋体"/>
          <w:color w:val="auto"/>
          <w:sz w:val="28"/>
          <w:szCs w:val="28"/>
        </w:rPr>
      </w:pPr>
      <w:r>
        <w:rPr>
          <w:rFonts w:hint="eastAsia" w:ascii="宋体" w:hAnsi="宋体"/>
          <w:color w:val="auto"/>
          <w:sz w:val="28"/>
          <w:szCs w:val="28"/>
        </w:rPr>
        <w:t>年月日</w:t>
      </w:r>
    </w:p>
    <w:p>
      <w:pPr>
        <w:jc w:val="left"/>
        <w:rPr>
          <w:b/>
          <w:color w:val="auto"/>
          <w:sz w:val="28"/>
          <w:szCs w:val="28"/>
        </w:rPr>
      </w:pPr>
    </w:p>
    <w:bookmarkEnd w:id="9"/>
    <w:bookmarkEnd w:id="10"/>
    <w:p>
      <w:pPr>
        <w:jc w:val="left"/>
        <w:rPr>
          <w:b/>
          <w:color w:val="auto"/>
          <w:sz w:val="28"/>
          <w:szCs w:val="28"/>
        </w:rPr>
      </w:pPr>
      <w:r>
        <w:rPr>
          <w:rFonts w:hint="eastAsia"/>
          <w:b/>
          <w:color w:val="auto"/>
          <w:sz w:val="28"/>
          <w:szCs w:val="28"/>
        </w:rPr>
        <w:t>附件</w:t>
      </w:r>
      <w:r>
        <w:rPr>
          <w:b/>
          <w:color w:val="auto"/>
          <w:sz w:val="28"/>
          <w:szCs w:val="28"/>
        </w:rPr>
        <w:t>4</w:t>
      </w:r>
      <w:r>
        <w:rPr>
          <w:rFonts w:hint="eastAsia"/>
          <w:b/>
          <w:color w:val="auto"/>
          <w:sz w:val="28"/>
          <w:szCs w:val="28"/>
        </w:rPr>
        <w:t>：服务要求</w:t>
      </w:r>
    </w:p>
    <w:p>
      <w:pPr>
        <w:widowControl/>
        <w:spacing w:line="360" w:lineRule="auto"/>
        <w:textAlignment w:val="center"/>
        <w:rPr>
          <w:rFonts w:ascii="宋体" w:hAnsi="宋体"/>
          <w:bCs/>
          <w:color w:val="auto"/>
          <w:sz w:val="24"/>
          <w:highlight w:val="none"/>
        </w:rPr>
      </w:pPr>
      <w:r>
        <w:rPr>
          <w:rFonts w:hint="eastAsia" w:ascii="宋体" w:hAnsi="宋体"/>
          <w:bCs/>
          <w:color w:val="auto"/>
          <w:sz w:val="24"/>
        </w:rPr>
        <w:t>1、运输、安装、调试：在合同签署后1</w:t>
      </w:r>
      <w:r>
        <w:rPr>
          <w:rFonts w:hint="eastAsia" w:ascii="宋体" w:hAnsi="宋体"/>
          <w:bCs/>
          <w:color w:val="auto"/>
          <w:sz w:val="24"/>
          <w:lang w:val="en-US" w:eastAsia="zh-CN"/>
        </w:rPr>
        <w:t>5</w:t>
      </w:r>
      <w:r>
        <w:rPr>
          <w:rFonts w:hint="eastAsia" w:ascii="宋体" w:hAnsi="宋体"/>
          <w:bCs/>
          <w:color w:val="auto"/>
          <w:sz w:val="24"/>
        </w:rPr>
        <w:t>天内安装、调试完毕，并协助使用单位组织验收，最终通过用户及有关部门验收交付使用；供应商提供各硬件设备物理安装、操作系统安装、新软件平台环境的搭建，系统软件的安装调试，数据的备份转储，并对整体系统进行优化等服务；</w:t>
      </w:r>
      <w:r>
        <w:rPr>
          <w:rFonts w:hint="eastAsia" w:ascii="宋体" w:hAnsi="宋体"/>
          <w:bCs/>
          <w:color w:val="auto"/>
          <w:sz w:val="24"/>
          <w:highlight w:val="none"/>
        </w:rPr>
        <w:t>按行业通行标准、厂方出厂标准</w:t>
      </w:r>
      <w:r>
        <w:rPr>
          <w:rFonts w:hint="eastAsia" w:ascii="宋体" w:hAnsi="宋体"/>
          <w:bCs/>
          <w:color w:val="auto"/>
          <w:sz w:val="24"/>
          <w:highlight w:val="none"/>
          <w:lang w:eastAsia="zh-CN"/>
        </w:rPr>
        <w:t>、</w:t>
      </w:r>
      <w:r>
        <w:rPr>
          <w:rFonts w:hint="eastAsia" w:ascii="宋体" w:hAnsi="宋体"/>
          <w:bCs/>
          <w:color w:val="auto"/>
          <w:sz w:val="24"/>
          <w:highlight w:val="none"/>
        </w:rPr>
        <w:t>供应商投标文件的承诺</w:t>
      </w:r>
      <w:r>
        <w:rPr>
          <w:rFonts w:hint="eastAsia" w:ascii="宋体" w:hAnsi="宋体"/>
          <w:bCs/>
          <w:color w:val="auto"/>
          <w:sz w:val="24"/>
          <w:highlight w:val="none"/>
          <w:lang w:val="en-US" w:eastAsia="zh-CN"/>
        </w:rPr>
        <w:t>和签订合同的条款等进行验收</w:t>
      </w:r>
      <w:r>
        <w:rPr>
          <w:rFonts w:hint="eastAsia" w:ascii="宋体" w:hAnsi="宋体"/>
          <w:bCs/>
          <w:color w:val="auto"/>
          <w:sz w:val="24"/>
          <w:highlight w:val="none"/>
        </w:rPr>
        <w:t>。</w:t>
      </w:r>
    </w:p>
    <w:p>
      <w:pPr>
        <w:spacing w:line="360" w:lineRule="auto"/>
        <w:rPr>
          <w:rFonts w:ascii="宋体" w:hAnsi="宋体"/>
          <w:bCs/>
          <w:color w:val="auto"/>
          <w:sz w:val="24"/>
        </w:rPr>
      </w:pPr>
      <w:r>
        <w:rPr>
          <w:rFonts w:hint="eastAsia" w:ascii="宋体" w:hAnsi="宋体"/>
          <w:bCs/>
          <w:color w:val="auto"/>
          <w:sz w:val="24"/>
        </w:rPr>
        <w:t>2、质量要求：为了保证产品质量,所有产品必须是未拆封。</w:t>
      </w:r>
    </w:p>
    <w:p>
      <w:pPr>
        <w:widowControl/>
        <w:spacing w:line="360" w:lineRule="auto"/>
        <w:textAlignment w:val="center"/>
        <w:rPr>
          <w:rFonts w:ascii="宋体" w:hAnsi="宋体"/>
          <w:bCs/>
          <w:color w:val="auto"/>
          <w:sz w:val="24"/>
        </w:rPr>
      </w:pPr>
      <w:r>
        <w:rPr>
          <w:rFonts w:hint="eastAsia" w:ascii="宋体" w:hAnsi="宋体"/>
          <w:bCs/>
          <w:color w:val="auto"/>
          <w:sz w:val="24"/>
        </w:rPr>
        <w:t>3、培训要求：供应商须提供优质的培训服务，根据不同需要分批为使用单位操作及工程技术人员提供培训，保证操作及工程技术人员能够熟悉运用、正常使用设备的各种功能并提供相关使用文档；</w:t>
      </w:r>
    </w:p>
    <w:p>
      <w:pPr>
        <w:spacing w:line="360" w:lineRule="auto"/>
        <w:rPr>
          <w:rFonts w:ascii="宋体" w:hAnsi="宋体" w:cs="宋体"/>
          <w:color w:val="auto"/>
          <w:sz w:val="24"/>
        </w:rPr>
      </w:pPr>
      <w:r>
        <w:rPr>
          <w:rFonts w:hint="eastAsia" w:ascii="宋体" w:hAnsi="宋体" w:cs="宋体"/>
          <w:color w:val="auto"/>
          <w:sz w:val="24"/>
        </w:rPr>
        <w:t>（1）中标供应商应制定详细的培训方案，培训内容应涵盖并行集群系统基本概念、文件系统管理、网络服务管理、任务和资源调度系统、集群管理平台管理与使用、集群环境配置和管理、集群的基本排错、性能调优等方面。培训时长、培训人数和培训地点由采购人确定。应由有多年系统开发经验的人员担任培训教师。</w:t>
      </w:r>
    </w:p>
    <w:p>
      <w:pPr>
        <w:spacing w:line="360" w:lineRule="auto"/>
        <w:rPr>
          <w:rFonts w:ascii="宋体" w:hAnsi="宋体" w:cs="宋体"/>
          <w:color w:val="auto"/>
          <w:sz w:val="24"/>
        </w:rPr>
      </w:pPr>
      <w:r>
        <w:rPr>
          <w:rFonts w:hint="eastAsia" w:ascii="宋体" w:hAnsi="宋体" w:cs="宋体"/>
          <w:color w:val="auto"/>
          <w:sz w:val="24"/>
        </w:rPr>
        <w:t>（2）系统培训：对系统管理员进行培训，以系统管理员能熟练使用该系统为合格标准。</w:t>
      </w:r>
    </w:p>
    <w:p>
      <w:pPr>
        <w:spacing w:line="360" w:lineRule="auto"/>
        <w:rPr>
          <w:rFonts w:ascii="宋体" w:hAnsi="宋体" w:cs="宋体"/>
          <w:color w:val="auto"/>
          <w:sz w:val="24"/>
        </w:rPr>
      </w:pPr>
      <w:r>
        <w:rPr>
          <w:rFonts w:hint="eastAsia" w:ascii="宋体" w:hAnsi="宋体" w:cs="宋体"/>
          <w:color w:val="auto"/>
          <w:sz w:val="24"/>
        </w:rPr>
        <w:t>（3）应用培训：面向系统管理员和应用编程人员。</w:t>
      </w:r>
    </w:p>
    <w:p>
      <w:pPr>
        <w:spacing w:line="360" w:lineRule="auto"/>
        <w:rPr>
          <w:rFonts w:ascii="宋体" w:hAnsi="宋体" w:cs="宋体"/>
          <w:color w:val="auto"/>
          <w:sz w:val="24"/>
        </w:rPr>
      </w:pPr>
      <w:r>
        <w:rPr>
          <w:rFonts w:hint="eastAsia" w:ascii="宋体" w:hAnsi="宋体" w:cs="宋体"/>
          <w:color w:val="auto"/>
          <w:sz w:val="24"/>
        </w:rPr>
        <w:t>（4）现场工作培训：在安装过程中对有关人员进行有关设备安装、调试以及维护进行培训。</w:t>
      </w:r>
    </w:p>
    <w:p>
      <w:pPr>
        <w:spacing w:line="360" w:lineRule="auto"/>
        <w:rPr>
          <w:rFonts w:ascii="宋体" w:hAnsi="宋体" w:cs="宋体"/>
          <w:color w:val="auto"/>
          <w:sz w:val="24"/>
        </w:rPr>
      </w:pPr>
      <w:r>
        <w:rPr>
          <w:rFonts w:hint="eastAsia" w:ascii="宋体" w:hAnsi="宋体" w:cs="宋体"/>
          <w:color w:val="auto"/>
          <w:sz w:val="24"/>
        </w:rPr>
        <w:t>（5）培训教材：提供PDF或DOC格式的中文或英文教材并提供可打印的电子版（PDF或DOC格式）和浏览器使用的电子版（html）。</w:t>
      </w:r>
    </w:p>
    <w:p>
      <w:pPr>
        <w:spacing w:line="360" w:lineRule="auto"/>
        <w:rPr>
          <w:rFonts w:ascii="宋体" w:hAnsi="宋体" w:cs="宋体"/>
          <w:color w:val="auto"/>
          <w:sz w:val="24"/>
        </w:rPr>
      </w:pPr>
      <w:r>
        <w:rPr>
          <w:rFonts w:hint="eastAsia" w:ascii="宋体" w:hAnsi="宋体" w:cs="宋体"/>
          <w:color w:val="auto"/>
          <w:sz w:val="24"/>
        </w:rPr>
        <w:t>4、售后服务响应：</w:t>
      </w:r>
    </w:p>
    <w:p>
      <w:pPr>
        <w:spacing w:line="360" w:lineRule="auto"/>
        <w:rPr>
          <w:rFonts w:ascii="宋体" w:hAnsi="宋体" w:cs="宋体"/>
          <w:color w:val="auto"/>
          <w:sz w:val="24"/>
        </w:rPr>
      </w:pPr>
      <w:r>
        <w:rPr>
          <w:rFonts w:hint="eastAsia" w:ascii="宋体" w:hAnsi="宋体" w:cs="宋体"/>
          <w:color w:val="auto"/>
          <w:sz w:val="24"/>
        </w:rPr>
        <w:t>（1）供应商必须提供7×24小时响应服务。在接到用户故障报告后，应及时响应，4小时内到达现场服务。如确实无法4小时内到达现场，需要获得用户认可，但最迟不能超过12小时。</w:t>
      </w:r>
    </w:p>
    <w:p>
      <w:pPr>
        <w:spacing w:line="360" w:lineRule="auto"/>
        <w:rPr>
          <w:rFonts w:ascii="宋体" w:hAnsi="宋体" w:cs="宋体"/>
          <w:color w:val="auto"/>
          <w:sz w:val="24"/>
        </w:rPr>
      </w:pPr>
      <w:r>
        <w:rPr>
          <w:rFonts w:hint="eastAsia" w:ascii="宋体" w:hAnsi="宋体" w:cs="宋体"/>
          <w:color w:val="auto"/>
          <w:sz w:val="24"/>
        </w:rPr>
        <w:t>（2）影响设备整体运行指运行能力低于70%（包含存储及计算峰值）的重大故障(硬件故障），如果7个工作日内无法解决，则需要提供替代方案保障设备的运行能力不低于整体能力的70%，并在双方认可的日期内完成维护维修。</w:t>
      </w:r>
    </w:p>
    <w:p>
      <w:pPr>
        <w:spacing w:line="360" w:lineRule="auto"/>
        <w:rPr>
          <w:rFonts w:ascii="宋体" w:hAnsi="宋体" w:cs="宋体"/>
          <w:color w:val="auto"/>
          <w:sz w:val="24"/>
        </w:rPr>
      </w:pPr>
      <w:r>
        <w:rPr>
          <w:rFonts w:hint="eastAsia" w:ascii="宋体" w:hAnsi="宋体" w:cs="宋体"/>
          <w:color w:val="auto"/>
          <w:sz w:val="24"/>
        </w:rPr>
        <w:t>（3）供应商必须相对固定一名资深服务工程师，提供全程服务，协助用户进行应用程序的安装、调试、调优，帮助解决各种软硬件故障。</w:t>
      </w:r>
    </w:p>
    <w:p>
      <w:pPr>
        <w:pStyle w:val="8"/>
        <w:ind w:left="0" w:leftChars="0" w:right="1470"/>
        <w:jc w:val="left"/>
        <w:rPr>
          <w:color w:val="auto"/>
        </w:rPr>
      </w:pPr>
      <w:r>
        <w:rPr>
          <w:rFonts w:hint="eastAsia" w:ascii="宋体" w:hAnsi="宋体" w:cs="宋体"/>
          <w:color w:val="auto"/>
          <w:sz w:val="24"/>
        </w:rPr>
        <w:t>（4）提供此次招标软硬件的安装、上架、理线服务。</w:t>
      </w:r>
    </w:p>
    <w:p>
      <w:pPr>
        <w:spacing w:line="360" w:lineRule="auto"/>
        <w:rPr>
          <w:rFonts w:ascii="宋体" w:hAnsi="宋体" w:cs="宋体"/>
          <w:color w:val="auto"/>
          <w:sz w:val="24"/>
        </w:rPr>
      </w:pPr>
      <w:r>
        <w:rPr>
          <w:rFonts w:hint="eastAsia" w:ascii="宋体" w:hAnsi="宋体" w:cs="宋体"/>
          <w:color w:val="auto"/>
          <w:kern w:val="0"/>
          <w:sz w:val="24"/>
        </w:rPr>
        <w:t>▲5</w:t>
      </w:r>
      <w:r>
        <w:rPr>
          <w:rFonts w:hint="eastAsia" w:ascii="宋体" w:hAnsi="宋体" w:cs="宋体"/>
          <w:color w:val="auto"/>
          <w:sz w:val="24"/>
        </w:rPr>
        <w:t>、服务总体要求：为确保系统的一致性，本次项目中的计算节点、登录管理节点为同一制造商品牌，中</w:t>
      </w:r>
      <w:r>
        <w:rPr>
          <w:rFonts w:hint="eastAsia" w:ascii="宋体" w:hAnsi="宋体" w:cs="宋体"/>
          <w:color w:val="auto"/>
          <w:sz w:val="24"/>
          <w:highlight w:val="none"/>
        </w:rPr>
        <w:t>标后供应商</w:t>
      </w:r>
      <w:r>
        <w:rPr>
          <w:rFonts w:hint="eastAsia" w:ascii="宋体" w:hAnsi="宋体" w:cs="宋体"/>
          <w:color w:val="auto"/>
          <w:sz w:val="24"/>
        </w:rPr>
        <w:t>五日内出具</w:t>
      </w:r>
      <w:r>
        <w:rPr>
          <w:rFonts w:hint="eastAsia" w:ascii="宋体" w:hAnsi="宋体" w:cs="宋体"/>
          <w:color w:val="auto"/>
          <w:sz w:val="24"/>
          <w:lang w:val="en-US" w:eastAsia="zh-CN"/>
        </w:rPr>
        <w:t>投标文件承诺</w:t>
      </w:r>
      <w:r>
        <w:rPr>
          <w:rFonts w:hint="eastAsia" w:ascii="宋体" w:hAnsi="宋体" w:cs="宋体"/>
          <w:color w:val="auto"/>
          <w:sz w:val="24"/>
        </w:rPr>
        <w:t>的原厂商服务承诺函证明</w:t>
      </w:r>
      <w:r>
        <w:rPr>
          <w:rFonts w:hint="eastAsia" w:ascii="宋体" w:hAnsi="宋体" w:cs="宋体"/>
          <w:color w:val="auto"/>
          <w:sz w:val="24"/>
          <w:lang w:val="en-US" w:eastAsia="zh-CN"/>
        </w:rPr>
        <w:t>原</w:t>
      </w:r>
      <w:r>
        <w:rPr>
          <w:rFonts w:hint="eastAsia" w:ascii="宋体" w:hAnsi="宋体" w:cs="宋体"/>
          <w:color w:val="auto"/>
          <w:sz w:val="24"/>
        </w:rPr>
        <w:t>件</w:t>
      </w:r>
      <w:r>
        <w:rPr>
          <w:rFonts w:hint="eastAsia" w:ascii="宋体" w:hAnsi="宋体" w:cs="宋体"/>
          <w:color w:val="auto"/>
          <w:sz w:val="24"/>
          <w:lang w:eastAsia="zh-CN"/>
        </w:rPr>
        <w:t>（</w:t>
      </w:r>
      <w:r>
        <w:rPr>
          <w:rFonts w:hint="eastAsia" w:ascii="宋体" w:hAnsi="宋体" w:cs="宋体"/>
          <w:color w:val="auto"/>
          <w:sz w:val="24"/>
        </w:rPr>
        <w:t>三年7*24*4级别原厂免费质保服务</w:t>
      </w:r>
      <w:r>
        <w:rPr>
          <w:rFonts w:hint="eastAsia" w:ascii="宋体" w:hAnsi="宋体" w:cs="宋体"/>
          <w:color w:val="auto"/>
          <w:sz w:val="24"/>
          <w:lang w:eastAsia="zh-CN"/>
        </w:rPr>
        <w:t>）</w:t>
      </w:r>
      <w:r>
        <w:rPr>
          <w:rFonts w:hint="eastAsia" w:ascii="宋体" w:hAnsi="宋体" w:cs="宋体"/>
          <w:color w:val="auto"/>
          <w:sz w:val="24"/>
        </w:rPr>
        <w:t>。</w:t>
      </w:r>
    </w:p>
    <w:p>
      <w:pPr>
        <w:spacing w:line="360" w:lineRule="auto"/>
        <w:rPr>
          <w:rFonts w:ascii="宋体" w:hAnsi="宋体" w:cs="宋体"/>
          <w:color w:val="auto"/>
          <w:sz w:val="24"/>
        </w:rPr>
      </w:pPr>
      <w:r>
        <w:rPr>
          <w:rFonts w:hint="eastAsia" w:ascii="宋体" w:hAnsi="宋体" w:cs="宋体"/>
          <w:color w:val="auto"/>
          <w:sz w:val="24"/>
        </w:rPr>
        <w:t>6、价格条件：DDP</w:t>
      </w:r>
      <w:r>
        <w:rPr>
          <w:rFonts w:hint="eastAsia" w:ascii="宋体" w:hAnsi="宋体" w:cs="宋体"/>
          <w:color w:val="auto"/>
          <w:sz w:val="24"/>
          <w:lang w:val="en-US" w:eastAsia="zh-CN"/>
        </w:rPr>
        <w:t>（国产设备）或CIP南京机场（进口设备）。进口设备由南京禄口国际机场至学校指定地点的仓储、运输、保险、人力等费用以及货物灭失、损毁等风险由中标单位承担。</w:t>
      </w:r>
    </w:p>
    <w:p>
      <w:pPr>
        <w:spacing w:line="360" w:lineRule="auto"/>
        <w:rPr>
          <w:rFonts w:ascii="宋体" w:hAnsi="宋体" w:cs="宋体"/>
          <w:color w:val="auto"/>
          <w:sz w:val="24"/>
        </w:rPr>
      </w:pPr>
      <w:r>
        <w:rPr>
          <w:rFonts w:hint="eastAsia" w:ascii="宋体" w:hAnsi="宋体" w:cs="宋体"/>
          <w:color w:val="auto"/>
          <w:sz w:val="24"/>
        </w:rPr>
        <w:t>7、供应商应充分考虑合同履行期间和服务期间的税收等政策性调整和汇率等市场风险，确定风险系数计入总报价。所有政策性调整和市场风险带来的额外支出均由供应商承担。</w:t>
      </w:r>
    </w:p>
    <w:p>
      <w:pPr>
        <w:spacing w:line="360" w:lineRule="auto"/>
        <w:rPr>
          <w:rFonts w:ascii="宋体" w:hAnsi="宋体" w:cs="宋体"/>
          <w:color w:val="auto"/>
          <w:sz w:val="24"/>
        </w:rPr>
      </w:pPr>
      <w:r>
        <w:rPr>
          <w:rFonts w:hint="eastAsia" w:ascii="宋体" w:hAnsi="宋体" w:cs="宋体"/>
          <w:color w:val="auto"/>
          <w:sz w:val="24"/>
        </w:rPr>
        <w:t>依法不能减免的费用（包含但不限于中美贸易战加征的关税及可能的其他费用）由供应商承担。</w:t>
      </w:r>
    </w:p>
    <w:p>
      <w:pPr>
        <w:widowControl/>
        <w:spacing w:line="360" w:lineRule="auto"/>
        <w:textAlignment w:val="center"/>
        <w:rPr>
          <w:rFonts w:ascii="宋体" w:hAnsi="宋体"/>
          <w:bCs/>
          <w:color w:val="auto"/>
          <w:sz w:val="24"/>
        </w:rPr>
      </w:pPr>
      <w:r>
        <w:rPr>
          <w:rFonts w:hint="eastAsia" w:ascii="宋体" w:hAnsi="宋体"/>
          <w:bCs/>
          <w:color w:val="auto"/>
          <w:sz w:val="24"/>
        </w:rPr>
        <w:t>8、其他要求及补充说明</w:t>
      </w:r>
    </w:p>
    <w:p>
      <w:pPr>
        <w:widowControl/>
        <w:spacing w:line="360" w:lineRule="auto"/>
        <w:textAlignment w:val="center"/>
        <w:rPr>
          <w:rFonts w:ascii="宋体" w:hAnsi="宋体"/>
          <w:bCs/>
          <w:color w:val="auto"/>
          <w:sz w:val="24"/>
        </w:rPr>
      </w:pPr>
      <w:r>
        <w:rPr>
          <w:rFonts w:hint="eastAsia" w:ascii="宋体" w:hAnsi="宋体" w:cs="宋体"/>
          <w:color w:val="auto"/>
          <w:sz w:val="24"/>
        </w:rPr>
        <w:t>（1）</w:t>
      </w:r>
      <w:r>
        <w:rPr>
          <w:rFonts w:hint="eastAsia" w:ascii="宋体" w:hAnsi="宋体"/>
          <w:bCs/>
          <w:color w:val="auto"/>
          <w:sz w:val="24"/>
        </w:rPr>
        <w:t>投标总报价包括满足本项目要求的所有产品及其配件、包装、运杂、安装调试及售后服务等从项目中标起到项目正式交付以及质保期内所发生的一切费用；</w:t>
      </w:r>
    </w:p>
    <w:p>
      <w:pPr>
        <w:widowControl/>
        <w:spacing w:line="360" w:lineRule="auto"/>
        <w:textAlignment w:val="center"/>
        <w:rPr>
          <w:rFonts w:ascii="宋体" w:hAnsi="宋体" w:cs="宋体"/>
          <w:color w:val="auto"/>
          <w:sz w:val="24"/>
        </w:rPr>
      </w:pPr>
      <w:r>
        <w:rPr>
          <w:rFonts w:hint="eastAsia" w:ascii="宋体" w:hAnsi="宋体" w:cs="宋体"/>
          <w:color w:val="auto"/>
          <w:sz w:val="24"/>
        </w:rPr>
        <w:t>（2）投标人必须在满足招标文件要求的基础上进行报价，如有技术偏离请于投标偏离表中说明。</w:t>
      </w:r>
    </w:p>
    <w:p>
      <w:pPr>
        <w:widowControl/>
        <w:spacing w:line="360" w:lineRule="auto"/>
        <w:textAlignment w:val="center"/>
        <w:rPr>
          <w:rFonts w:ascii="宋体" w:hAnsi="宋体" w:cs="宋体"/>
          <w:color w:val="auto"/>
          <w:sz w:val="24"/>
        </w:rPr>
      </w:pPr>
    </w:p>
    <w:p>
      <w:pPr>
        <w:pStyle w:val="8"/>
        <w:ind w:left="1470" w:right="1470"/>
        <w:rPr>
          <w:rFonts w:ascii="宋体" w:hAnsi="宋体" w:cs="仿宋"/>
          <w:b/>
          <w:bCs/>
          <w:color w:val="auto"/>
          <w:sz w:val="28"/>
          <w:szCs w:val="28"/>
        </w:rPr>
      </w:pPr>
    </w:p>
    <w:p>
      <w:pPr>
        <w:pStyle w:val="8"/>
        <w:ind w:left="1470" w:right="1470"/>
        <w:rPr>
          <w:rFonts w:ascii="宋体" w:hAnsi="宋体" w:cs="仿宋"/>
          <w:b/>
          <w:bCs/>
          <w:color w:val="auto"/>
          <w:sz w:val="28"/>
          <w:szCs w:val="28"/>
        </w:rPr>
      </w:pPr>
    </w:p>
    <w:p>
      <w:pPr>
        <w:pStyle w:val="8"/>
        <w:ind w:left="1470" w:right="1470"/>
        <w:rPr>
          <w:rFonts w:ascii="宋体" w:hAnsi="宋体" w:cs="仿宋"/>
          <w:b/>
          <w:bCs/>
          <w:color w:val="auto"/>
          <w:sz w:val="28"/>
          <w:szCs w:val="28"/>
        </w:rPr>
      </w:pPr>
    </w:p>
    <w:p>
      <w:pPr>
        <w:pStyle w:val="8"/>
        <w:ind w:left="1470" w:right="1470"/>
        <w:rPr>
          <w:rFonts w:ascii="宋体" w:hAnsi="宋体" w:cs="仿宋"/>
          <w:b/>
          <w:bCs/>
          <w:color w:val="auto"/>
          <w:sz w:val="28"/>
          <w:szCs w:val="28"/>
        </w:rPr>
      </w:pPr>
    </w:p>
    <w:p>
      <w:pPr>
        <w:pStyle w:val="8"/>
        <w:ind w:left="1470" w:right="1470"/>
        <w:rPr>
          <w:rFonts w:ascii="宋体" w:hAnsi="宋体" w:cs="仿宋"/>
          <w:b/>
          <w:bCs/>
          <w:color w:val="auto"/>
          <w:sz w:val="28"/>
          <w:szCs w:val="28"/>
        </w:rPr>
      </w:pPr>
    </w:p>
    <w:p>
      <w:pPr>
        <w:pStyle w:val="8"/>
        <w:ind w:left="1470" w:right="1470"/>
        <w:rPr>
          <w:rFonts w:ascii="宋体" w:hAnsi="宋体" w:cs="仿宋"/>
          <w:b/>
          <w:bCs/>
          <w:color w:val="auto"/>
          <w:sz w:val="28"/>
          <w:szCs w:val="28"/>
        </w:rPr>
      </w:pPr>
    </w:p>
    <w:p>
      <w:pPr>
        <w:pStyle w:val="8"/>
        <w:ind w:left="1470" w:right="1470"/>
        <w:rPr>
          <w:rFonts w:ascii="宋体" w:hAnsi="宋体" w:cs="仿宋"/>
          <w:b/>
          <w:bCs/>
          <w:color w:val="auto"/>
          <w:sz w:val="28"/>
          <w:szCs w:val="28"/>
        </w:rPr>
      </w:pPr>
    </w:p>
    <w:p>
      <w:pPr>
        <w:pStyle w:val="8"/>
        <w:ind w:left="1470" w:right="1470"/>
        <w:rPr>
          <w:rFonts w:ascii="宋体" w:hAnsi="宋体" w:cs="仿宋"/>
          <w:b/>
          <w:bCs/>
          <w:color w:val="auto"/>
          <w:sz w:val="28"/>
          <w:szCs w:val="28"/>
        </w:rPr>
      </w:pPr>
    </w:p>
    <w:p>
      <w:pPr>
        <w:pStyle w:val="8"/>
        <w:ind w:left="1470" w:right="1470"/>
        <w:rPr>
          <w:rFonts w:ascii="宋体" w:hAnsi="宋体" w:cs="仿宋"/>
          <w:b/>
          <w:bCs/>
          <w:color w:val="auto"/>
          <w:sz w:val="28"/>
          <w:szCs w:val="28"/>
        </w:rPr>
      </w:pPr>
    </w:p>
    <w:p>
      <w:pPr>
        <w:pStyle w:val="8"/>
        <w:ind w:left="1470" w:right="1470"/>
        <w:rPr>
          <w:rFonts w:ascii="宋体" w:hAnsi="宋体" w:cs="仿宋"/>
          <w:b/>
          <w:bCs/>
          <w:color w:val="auto"/>
          <w:sz w:val="28"/>
          <w:szCs w:val="28"/>
        </w:rPr>
      </w:pPr>
    </w:p>
    <w:p>
      <w:pPr>
        <w:pStyle w:val="8"/>
        <w:ind w:left="1470" w:right="1470"/>
        <w:rPr>
          <w:rFonts w:ascii="宋体" w:hAnsi="宋体" w:cs="仿宋"/>
          <w:b/>
          <w:bCs/>
          <w:color w:val="auto"/>
          <w:sz w:val="28"/>
          <w:szCs w:val="28"/>
        </w:rPr>
      </w:pPr>
    </w:p>
    <w:p>
      <w:pPr>
        <w:pStyle w:val="8"/>
        <w:ind w:left="1470" w:right="1470"/>
        <w:rPr>
          <w:rFonts w:ascii="宋体" w:hAnsi="宋体" w:cs="仿宋"/>
          <w:b/>
          <w:bCs/>
          <w:color w:val="auto"/>
          <w:sz w:val="28"/>
          <w:szCs w:val="28"/>
        </w:rPr>
      </w:pPr>
    </w:p>
    <w:p>
      <w:pPr>
        <w:pStyle w:val="8"/>
        <w:ind w:left="1470" w:right="1470"/>
        <w:rPr>
          <w:rFonts w:ascii="宋体" w:hAnsi="宋体" w:cs="仿宋"/>
          <w:b/>
          <w:bCs/>
          <w:color w:val="auto"/>
          <w:sz w:val="28"/>
          <w:szCs w:val="28"/>
        </w:rPr>
      </w:pPr>
    </w:p>
    <w:p>
      <w:pPr>
        <w:pStyle w:val="8"/>
        <w:ind w:left="1470" w:right="1470"/>
        <w:rPr>
          <w:rFonts w:ascii="宋体" w:hAnsi="宋体" w:cs="仿宋"/>
          <w:b/>
          <w:bCs/>
          <w:color w:val="auto"/>
          <w:sz w:val="28"/>
          <w:szCs w:val="28"/>
        </w:rPr>
      </w:pPr>
    </w:p>
    <w:p>
      <w:pPr>
        <w:adjustRightInd w:val="0"/>
        <w:snapToGrid w:val="0"/>
        <w:spacing w:line="360" w:lineRule="auto"/>
        <w:rPr>
          <w:rFonts w:ascii="宋体" w:hAnsi="宋体" w:cs="仿宋"/>
          <w:b/>
          <w:bCs/>
          <w:color w:val="auto"/>
          <w:sz w:val="28"/>
          <w:szCs w:val="28"/>
        </w:rPr>
      </w:pPr>
    </w:p>
    <w:p>
      <w:pPr>
        <w:adjustRightInd w:val="0"/>
        <w:snapToGrid w:val="0"/>
        <w:spacing w:line="360" w:lineRule="auto"/>
        <w:rPr>
          <w:rFonts w:ascii="宋体" w:hAnsi="宋体" w:cs="仿宋"/>
          <w:b/>
          <w:bCs/>
          <w:color w:val="auto"/>
          <w:sz w:val="28"/>
          <w:szCs w:val="28"/>
        </w:rPr>
      </w:pPr>
    </w:p>
    <w:p>
      <w:pPr>
        <w:adjustRightInd w:val="0"/>
        <w:snapToGrid w:val="0"/>
        <w:spacing w:line="360" w:lineRule="auto"/>
        <w:rPr>
          <w:rFonts w:ascii="宋体" w:hAnsi="宋体" w:cs="仿宋"/>
          <w:b/>
          <w:bCs/>
          <w:color w:val="auto"/>
          <w:sz w:val="28"/>
          <w:szCs w:val="28"/>
        </w:rPr>
      </w:pPr>
      <w:r>
        <w:rPr>
          <w:rFonts w:hint="eastAsia" w:ascii="宋体" w:hAnsi="宋体" w:cs="仿宋"/>
          <w:b/>
          <w:bCs/>
          <w:color w:val="auto"/>
          <w:sz w:val="28"/>
          <w:szCs w:val="28"/>
        </w:rPr>
        <w:t>附件</w:t>
      </w:r>
      <w:r>
        <w:rPr>
          <w:rFonts w:ascii="宋体" w:hAnsi="宋体" w:cs="仿宋"/>
          <w:b/>
          <w:bCs/>
          <w:color w:val="auto"/>
          <w:sz w:val="28"/>
          <w:szCs w:val="28"/>
        </w:rPr>
        <w:t>5</w:t>
      </w:r>
      <w:r>
        <w:rPr>
          <w:rFonts w:hint="eastAsia" w:ascii="宋体" w:hAnsi="宋体" w:cs="仿宋"/>
          <w:b/>
          <w:bCs/>
          <w:color w:val="auto"/>
          <w:sz w:val="28"/>
          <w:szCs w:val="28"/>
        </w:rPr>
        <w:t>：评标办法</w:t>
      </w:r>
    </w:p>
    <w:tbl>
      <w:tblPr>
        <w:tblStyle w:val="17"/>
        <w:tblW w:w="4810"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1360"/>
        <w:gridCol w:w="7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483" w:type="pct"/>
            <w:shd w:val="clear" w:color="auto" w:fill="auto"/>
            <w:vAlign w:val="center"/>
          </w:tcPr>
          <w:p>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序号</w:t>
            </w:r>
          </w:p>
        </w:tc>
        <w:tc>
          <w:tcPr>
            <w:tcW w:w="678" w:type="pct"/>
            <w:shd w:val="clear" w:color="auto" w:fill="auto"/>
            <w:vAlign w:val="center"/>
          </w:tcPr>
          <w:p>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评审因素</w:t>
            </w:r>
          </w:p>
        </w:tc>
        <w:tc>
          <w:tcPr>
            <w:tcW w:w="3838" w:type="pct"/>
            <w:shd w:val="clear" w:color="auto" w:fill="auto"/>
            <w:vAlign w:val="center"/>
          </w:tcPr>
          <w:p>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83" w:type="pct"/>
            <w:vMerge w:val="restart"/>
            <w:shd w:val="clear" w:color="auto" w:fill="auto"/>
            <w:vAlign w:val="center"/>
          </w:tcPr>
          <w:p>
            <w:pPr>
              <w:widowControl/>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678" w:type="pct"/>
            <w:vMerge w:val="restart"/>
            <w:shd w:val="clear" w:color="auto" w:fill="auto"/>
            <w:vAlign w:val="center"/>
          </w:tcPr>
          <w:p>
            <w:pPr>
              <w:widowControl/>
              <w:jc w:val="center"/>
              <w:rPr>
                <w:rFonts w:hint="eastAsia" w:ascii="宋体" w:hAnsi="宋体" w:eastAsia="宋体" w:cs="宋体"/>
                <w:color w:val="auto"/>
                <w:kern w:val="0"/>
                <w:sz w:val="24"/>
              </w:rPr>
            </w:pPr>
            <w:r>
              <w:rPr>
                <w:rFonts w:hint="eastAsia" w:ascii="宋体" w:hAnsi="宋体" w:eastAsia="宋体" w:cs="宋体"/>
                <w:color w:val="auto"/>
                <w:kern w:val="0"/>
                <w:sz w:val="24"/>
              </w:rPr>
              <w:t>投标报价（30分）</w:t>
            </w:r>
          </w:p>
        </w:tc>
        <w:tc>
          <w:tcPr>
            <w:tcW w:w="3838" w:type="pct"/>
            <w:shd w:val="clear" w:color="auto" w:fill="auto"/>
            <w:vAlign w:val="center"/>
          </w:tcPr>
          <w:p>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价格分采用低价优先法计算，即满足招标文件要求且投标价格最低的投标报价为评标基准价，其价格分为满分30分。其他投标人的价格分按照下列公式计算：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483" w:type="pct"/>
            <w:vMerge w:val="continue"/>
            <w:vAlign w:val="center"/>
          </w:tcPr>
          <w:p>
            <w:pPr>
              <w:widowControl/>
              <w:jc w:val="left"/>
              <w:rPr>
                <w:rFonts w:hint="eastAsia" w:ascii="宋体" w:hAnsi="宋体" w:eastAsia="宋体" w:cs="宋体"/>
                <w:color w:val="auto"/>
                <w:kern w:val="0"/>
                <w:sz w:val="24"/>
              </w:rPr>
            </w:pPr>
          </w:p>
        </w:tc>
        <w:tc>
          <w:tcPr>
            <w:tcW w:w="678" w:type="pct"/>
            <w:vMerge w:val="continue"/>
            <w:vAlign w:val="center"/>
          </w:tcPr>
          <w:p>
            <w:pPr>
              <w:widowControl/>
              <w:jc w:val="left"/>
              <w:rPr>
                <w:rFonts w:hint="eastAsia" w:ascii="宋体" w:hAnsi="宋体" w:eastAsia="宋体" w:cs="宋体"/>
                <w:color w:val="auto"/>
                <w:kern w:val="0"/>
                <w:sz w:val="24"/>
              </w:rPr>
            </w:pPr>
          </w:p>
        </w:tc>
        <w:tc>
          <w:tcPr>
            <w:tcW w:w="3838" w:type="pct"/>
            <w:shd w:val="clear" w:color="auto" w:fill="auto"/>
            <w:vAlign w:val="center"/>
          </w:tcPr>
          <w:p>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投标报价得分=（评标基准价／投标报价）×30（精确到小数点后两位）。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7" w:hRule="atLeast"/>
        </w:trPr>
        <w:tc>
          <w:tcPr>
            <w:tcW w:w="483" w:type="pct"/>
            <w:vMerge w:val="restart"/>
            <w:shd w:val="clear" w:color="auto" w:fill="auto"/>
            <w:vAlign w:val="center"/>
          </w:tcPr>
          <w:p>
            <w:pPr>
              <w:widowControl/>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678" w:type="pct"/>
            <w:vMerge w:val="restart"/>
            <w:shd w:val="clear" w:color="auto" w:fill="auto"/>
            <w:vAlign w:val="center"/>
          </w:tcPr>
          <w:p>
            <w:pPr>
              <w:widowControl/>
              <w:jc w:val="center"/>
              <w:rPr>
                <w:rFonts w:hint="eastAsia" w:ascii="宋体" w:hAnsi="宋体" w:eastAsia="宋体" w:cs="宋体"/>
                <w:color w:val="auto"/>
                <w:kern w:val="0"/>
                <w:sz w:val="24"/>
              </w:rPr>
            </w:pPr>
            <w:r>
              <w:rPr>
                <w:rFonts w:hint="eastAsia" w:ascii="宋体" w:hAnsi="宋体" w:eastAsia="宋体" w:cs="宋体"/>
                <w:color w:val="auto"/>
                <w:kern w:val="0"/>
                <w:sz w:val="24"/>
              </w:rPr>
              <w:t>商务及技术证明(44分)</w:t>
            </w:r>
          </w:p>
        </w:tc>
        <w:tc>
          <w:tcPr>
            <w:tcW w:w="3838" w:type="pct"/>
            <w:shd w:val="clear" w:color="auto" w:fill="auto"/>
            <w:vAlign w:val="center"/>
          </w:tcPr>
          <w:p>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产品商务及技术参数响应情况占3</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分，具体由评委根据供应商的投标文件中产品情况、《分项报价表》、《技术参数响应表》、《商务条款响应表》等有关资料打分。其中：完全满足招标文件商务及技术参数要求的得3</w:t>
            </w:r>
            <w:r>
              <w:rPr>
                <w:rFonts w:hint="eastAsia" w:ascii="宋体" w:hAnsi="宋体" w:cs="宋体"/>
                <w:color w:val="auto"/>
                <w:kern w:val="0"/>
                <w:sz w:val="24"/>
                <w:lang w:val="en-US" w:eastAsia="zh-CN"/>
              </w:rPr>
              <w:t>2</w:t>
            </w:r>
            <w:r>
              <w:rPr>
                <w:rFonts w:hint="eastAsia" w:ascii="宋体" w:hAnsi="宋体" w:eastAsia="宋体" w:cs="宋体"/>
                <w:color w:val="auto"/>
                <w:kern w:val="0"/>
                <w:sz w:val="24"/>
              </w:rPr>
              <w:t>分；在此基础上，招标文件中标注“★”的内容为实质性要求，有一项不符合的，作无效标处理；标注“▲”的内容为重要参数，有一项负偏离扣3分；所有“▲”技术内容的响应均应提供支撑资料（明确说明该技术内容的公开发行的产品彩页、产品说明书或第三方检测机构的检测报告等，自拟无效），否则视为未实质性响应，其他非重要参数和商务条款负偏离的，则每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83" w:type="pct"/>
            <w:vMerge w:val="continue"/>
            <w:vAlign w:val="center"/>
          </w:tcPr>
          <w:p>
            <w:pPr>
              <w:widowControl/>
              <w:jc w:val="left"/>
              <w:rPr>
                <w:rFonts w:hint="eastAsia" w:ascii="宋体" w:hAnsi="宋体" w:eastAsia="宋体" w:cs="宋体"/>
                <w:color w:val="auto"/>
                <w:kern w:val="0"/>
                <w:sz w:val="24"/>
              </w:rPr>
            </w:pPr>
          </w:p>
        </w:tc>
        <w:tc>
          <w:tcPr>
            <w:tcW w:w="678" w:type="pct"/>
            <w:vMerge w:val="continue"/>
            <w:vAlign w:val="center"/>
          </w:tcPr>
          <w:p>
            <w:pPr>
              <w:widowControl/>
              <w:jc w:val="left"/>
              <w:rPr>
                <w:rFonts w:hint="eastAsia" w:ascii="宋体" w:hAnsi="宋体" w:eastAsia="宋体" w:cs="宋体"/>
                <w:color w:val="auto"/>
                <w:kern w:val="0"/>
                <w:sz w:val="24"/>
              </w:rPr>
            </w:pPr>
          </w:p>
        </w:tc>
        <w:tc>
          <w:tcPr>
            <w:tcW w:w="3838" w:type="pct"/>
            <w:vMerge w:val="restart"/>
            <w:shd w:val="clear" w:color="auto" w:fill="auto"/>
            <w:vAlign w:val="center"/>
          </w:tcPr>
          <w:p>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设备厂商具有ITSS信息技术服务运行维护标准认证资质，认证级别不低于三级，满足得3分，未提供不得分。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83" w:type="pct"/>
            <w:vMerge w:val="continue"/>
            <w:vAlign w:val="center"/>
          </w:tcPr>
          <w:p>
            <w:pPr>
              <w:widowControl/>
              <w:jc w:val="left"/>
              <w:rPr>
                <w:rFonts w:hint="eastAsia" w:ascii="宋体" w:hAnsi="宋体" w:eastAsia="宋体" w:cs="宋体"/>
                <w:color w:val="auto"/>
                <w:kern w:val="0"/>
                <w:sz w:val="24"/>
              </w:rPr>
            </w:pPr>
          </w:p>
        </w:tc>
        <w:tc>
          <w:tcPr>
            <w:tcW w:w="678" w:type="pct"/>
            <w:vMerge w:val="continue"/>
            <w:vAlign w:val="center"/>
          </w:tcPr>
          <w:p>
            <w:pPr>
              <w:widowControl/>
              <w:jc w:val="left"/>
              <w:rPr>
                <w:rFonts w:hint="eastAsia" w:ascii="宋体" w:hAnsi="宋体" w:eastAsia="宋体" w:cs="宋体"/>
                <w:color w:val="auto"/>
                <w:kern w:val="0"/>
                <w:sz w:val="24"/>
              </w:rPr>
            </w:pPr>
          </w:p>
        </w:tc>
        <w:tc>
          <w:tcPr>
            <w:tcW w:w="3838" w:type="pct"/>
            <w:vMerge w:val="continue"/>
            <w:vAlign w:val="center"/>
          </w:tcPr>
          <w:p>
            <w:pPr>
              <w:widowControl/>
              <w:jc w:val="left"/>
              <w:rPr>
                <w:rFonts w:hint="eastAsia" w:ascii="宋体" w:hAnsi="宋体" w:eastAsia="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483" w:type="pct"/>
            <w:vMerge w:val="continue"/>
            <w:vAlign w:val="center"/>
          </w:tcPr>
          <w:p>
            <w:pPr>
              <w:widowControl/>
              <w:jc w:val="left"/>
              <w:rPr>
                <w:rFonts w:hint="eastAsia" w:ascii="宋体" w:hAnsi="宋体" w:eastAsia="宋体" w:cs="宋体"/>
                <w:color w:val="auto"/>
                <w:kern w:val="0"/>
                <w:sz w:val="24"/>
              </w:rPr>
            </w:pPr>
          </w:p>
        </w:tc>
        <w:tc>
          <w:tcPr>
            <w:tcW w:w="678" w:type="pct"/>
            <w:vMerge w:val="continue"/>
            <w:vAlign w:val="center"/>
          </w:tcPr>
          <w:p>
            <w:pPr>
              <w:widowControl/>
              <w:jc w:val="left"/>
              <w:rPr>
                <w:rFonts w:hint="eastAsia" w:ascii="宋体" w:hAnsi="宋体" w:eastAsia="宋体" w:cs="宋体"/>
                <w:color w:val="auto"/>
                <w:kern w:val="0"/>
                <w:sz w:val="24"/>
              </w:rPr>
            </w:pPr>
          </w:p>
        </w:tc>
        <w:tc>
          <w:tcPr>
            <w:tcW w:w="3838" w:type="pct"/>
            <w:shd w:val="clear" w:color="auto" w:fill="auto"/>
            <w:vAlign w:val="center"/>
          </w:tcPr>
          <w:p>
            <w:pPr>
              <w:widowControl/>
              <w:rPr>
                <w:rFonts w:hint="eastAsia" w:ascii="宋体" w:hAnsi="宋体" w:eastAsia="宋体" w:cs="宋体"/>
                <w:color w:val="auto"/>
                <w:kern w:val="0"/>
                <w:sz w:val="24"/>
              </w:rPr>
            </w:pPr>
            <w:r>
              <w:rPr>
                <w:rFonts w:hint="eastAsia" w:ascii="宋体" w:hAnsi="宋体" w:eastAsia="宋体" w:cs="宋体"/>
                <w:color w:val="auto"/>
                <w:kern w:val="0"/>
                <w:sz w:val="24"/>
                <w:highlight w:val="none"/>
              </w:rPr>
              <w:t>设备厂商具有ISO27001信息安全管理体系</w:t>
            </w:r>
            <w:r>
              <w:rPr>
                <w:rFonts w:hint="eastAsia" w:ascii="宋体" w:hAnsi="宋体" w:eastAsia="宋体" w:cs="宋体"/>
                <w:color w:val="auto"/>
                <w:kern w:val="0"/>
                <w:sz w:val="24"/>
              </w:rPr>
              <w:t>、ISO9001质量管理体系、ISO45001职业健康安全管理体系、ISO50001能源管理体系、ISO14001环境管理体系等行业认证，满足一项得1分，总分5分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3" w:type="pct"/>
            <w:vMerge w:val="continue"/>
            <w:vAlign w:val="center"/>
          </w:tcPr>
          <w:p>
            <w:pPr>
              <w:widowControl/>
              <w:jc w:val="left"/>
              <w:rPr>
                <w:rFonts w:hint="eastAsia" w:ascii="宋体" w:hAnsi="宋体" w:eastAsia="宋体" w:cs="宋体"/>
                <w:color w:val="auto"/>
                <w:kern w:val="0"/>
                <w:sz w:val="24"/>
              </w:rPr>
            </w:pPr>
          </w:p>
        </w:tc>
        <w:tc>
          <w:tcPr>
            <w:tcW w:w="678" w:type="pct"/>
            <w:vMerge w:val="continue"/>
            <w:vAlign w:val="center"/>
          </w:tcPr>
          <w:p>
            <w:pPr>
              <w:widowControl/>
              <w:jc w:val="left"/>
              <w:rPr>
                <w:rFonts w:hint="eastAsia" w:ascii="宋体" w:hAnsi="宋体" w:eastAsia="宋体" w:cs="宋体"/>
                <w:color w:val="auto"/>
                <w:kern w:val="0"/>
                <w:sz w:val="24"/>
              </w:rPr>
            </w:pPr>
          </w:p>
        </w:tc>
        <w:tc>
          <w:tcPr>
            <w:tcW w:w="3838" w:type="pct"/>
            <w:shd w:val="clear" w:color="auto" w:fill="auto"/>
            <w:vAlign w:val="center"/>
          </w:tcPr>
          <w:p>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设备厂商具有CNAS可靠性实验室认证，满足得2分，未提供不得分。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83" w:type="pct"/>
            <w:vMerge w:val="continue"/>
            <w:vAlign w:val="center"/>
          </w:tcPr>
          <w:p>
            <w:pPr>
              <w:widowControl/>
              <w:jc w:val="left"/>
              <w:rPr>
                <w:rFonts w:hint="eastAsia" w:ascii="宋体" w:hAnsi="宋体" w:eastAsia="宋体" w:cs="宋体"/>
                <w:color w:val="auto"/>
                <w:kern w:val="0"/>
                <w:sz w:val="24"/>
              </w:rPr>
            </w:pPr>
          </w:p>
        </w:tc>
        <w:tc>
          <w:tcPr>
            <w:tcW w:w="678" w:type="pct"/>
            <w:vMerge w:val="continue"/>
            <w:vAlign w:val="center"/>
          </w:tcPr>
          <w:p>
            <w:pPr>
              <w:widowControl/>
              <w:jc w:val="left"/>
              <w:rPr>
                <w:rFonts w:hint="eastAsia" w:ascii="宋体" w:hAnsi="宋体" w:eastAsia="宋体" w:cs="宋体"/>
                <w:color w:val="auto"/>
                <w:kern w:val="0"/>
                <w:sz w:val="24"/>
              </w:rPr>
            </w:pPr>
          </w:p>
        </w:tc>
        <w:tc>
          <w:tcPr>
            <w:tcW w:w="3838" w:type="pct"/>
            <w:shd w:val="clear" w:color="auto" w:fill="auto"/>
            <w:vAlign w:val="center"/>
          </w:tcPr>
          <w:p>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投标产品通过国家级的EAL信息安全产品测评认证，至少通过系统地设计级别及以上测试（EAL3及以上），满足得2分，未提供不得分。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83" w:type="pct"/>
            <w:vMerge w:val="restart"/>
            <w:shd w:val="clear" w:color="auto" w:fill="auto"/>
            <w:vAlign w:val="center"/>
          </w:tcPr>
          <w:p>
            <w:pPr>
              <w:widowControl/>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678" w:type="pct"/>
            <w:vMerge w:val="restart"/>
            <w:shd w:val="clear" w:color="auto" w:fill="auto"/>
            <w:vAlign w:val="center"/>
          </w:tcPr>
          <w:p>
            <w:pPr>
              <w:widowControl/>
              <w:jc w:val="center"/>
              <w:rPr>
                <w:rFonts w:hint="eastAsia" w:ascii="宋体" w:hAnsi="宋体" w:eastAsia="宋体" w:cs="宋体"/>
                <w:color w:val="auto"/>
                <w:kern w:val="0"/>
                <w:sz w:val="24"/>
              </w:rPr>
            </w:pPr>
            <w:r>
              <w:rPr>
                <w:rFonts w:hint="eastAsia" w:ascii="宋体" w:hAnsi="宋体" w:eastAsia="宋体" w:cs="宋体"/>
                <w:color w:val="auto"/>
                <w:kern w:val="0"/>
                <w:sz w:val="24"/>
              </w:rPr>
              <w:t>售后服务、培训等情况(17分)</w:t>
            </w:r>
          </w:p>
        </w:tc>
        <w:tc>
          <w:tcPr>
            <w:tcW w:w="3838" w:type="pct"/>
            <w:shd w:val="clear" w:color="auto" w:fill="auto"/>
            <w:vAlign w:val="center"/>
          </w:tcPr>
          <w:p>
            <w:pPr>
              <w:widowControl/>
              <w:rPr>
                <w:rFonts w:hint="eastAsia" w:ascii="宋体" w:hAnsi="宋体" w:eastAsia="宋体" w:cs="宋体"/>
                <w:color w:val="auto"/>
                <w:kern w:val="0"/>
                <w:sz w:val="24"/>
              </w:rPr>
            </w:pPr>
            <w:r>
              <w:rPr>
                <w:rFonts w:hint="eastAsia" w:ascii="宋体" w:hAnsi="宋体" w:eastAsia="宋体" w:cs="宋体"/>
                <w:color w:val="auto"/>
                <w:kern w:val="0"/>
                <w:sz w:val="24"/>
              </w:rPr>
              <w:t>投标人应根据招标文件要求提供具体详实的项目实施方案，方案内容详细、合理、可实施性强得3分，方案内容较详细、较合理、可实施性较好得2分，方案内容一般、合理性可实施性一般得1分，未提供不得分；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83" w:type="pct"/>
            <w:vMerge w:val="continue"/>
            <w:vAlign w:val="center"/>
          </w:tcPr>
          <w:p>
            <w:pPr>
              <w:widowControl/>
              <w:jc w:val="left"/>
              <w:rPr>
                <w:rFonts w:hint="eastAsia" w:ascii="宋体" w:hAnsi="宋体" w:eastAsia="宋体" w:cs="宋体"/>
                <w:color w:val="auto"/>
                <w:kern w:val="0"/>
                <w:sz w:val="24"/>
              </w:rPr>
            </w:pPr>
          </w:p>
        </w:tc>
        <w:tc>
          <w:tcPr>
            <w:tcW w:w="678" w:type="pct"/>
            <w:vMerge w:val="continue"/>
            <w:vAlign w:val="center"/>
          </w:tcPr>
          <w:p>
            <w:pPr>
              <w:widowControl/>
              <w:jc w:val="left"/>
              <w:rPr>
                <w:rFonts w:hint="eastAsia" w:ascii="宋体" w:hAnsi="宋体" w:eastAsia="宋体" w:cs="宋体"/>
                <w:color w:val="auto"/>
                <w:kern w:val="0"/>
                <w:sz w:val="24"/>
              </w:rPr>
            </w:pPr>
          </w:p>
        </w:tc>
        <w:tc>
          <w:tcPr>
            <w:tcW w:w="3838" w:type="pct"/>
            <w:shd w:val="clear" w:color="auto" w:fill="auto"/>
            <w:vAlign w:val="center"/>
          </w:tcPr>
          <w:p>
            <w:pPr>
              <w:widowControl/>
              <w:rPr>
                <w:rFonts w:hint="eastAsia" w:ascii="宋体" w:hAnsi="宋体" w:eastAsia="宋体" w:cs="宋体"/>
                <w:color w:val="auto"/>
                <w:kern w:val="0"/>
                <w:sz w:val="24"/>
              </w:rPr>
            </w:pPr>
            <w:r>
              <w:rPr>
                <w:rFonts w:hint="eastAsia" w:ascii="宋体" w:hAnsi="宋体" w:eastAsia="宋体" w:cs="宋体"/>
                <w:color w:val="auto"/>
                <w:kern w:val="0"/>
                <w:sz w:val="24"/>
              </w:rPr>
              <w:t>投标人应根据招标文件要求提供具体详实的项目验收方案，方案内容详细、合理、可实施性强得3分，方案内容较详细、较合理、可实施性较好得2分，方案内容一般、合理性可实施性一般得1分，未提供不得分；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483" w:type="pct"/>
            <w:vMerge w:val="continue"/>
            <w:vAlign w:val="center"/>
          </w:tcPr>
          <w:p>
            <w:pPr>
              <w:widowControl/>
              <w:jc w:val="left"/>
              <w:rPr>
                <w:rFonts w:hint="eastAsia" w:ascii="宋体" w:hAnsi="宋体" w:eastAsia="宋体" w:cs="宋体"/>
                <w:color w:val="auto"/>
                <w:kern w:val="0"/>
                <w:sz w:val="24"/>
              </w:rPr>
            </w:pPr>
          </w:p>
        </w:tc>
        <w:tc>
          <w:tcPr>
            <w:tcW w:w="678" w:type="pct"/>
            <w:vMerge w:val="continue"/>
            <w:vAlign w:val="center"/>
          </w:tcPr>
          <w:p>
            <w:pPr>
              <w:widowControl/>
              <w:jc w:val="left"/>
              <w:rPr>
                <w:rFonts w:hint="eastAsia" w:ascii="宋体" w:hAnsi="宋体" w:eastAsia="宋体" w:cs="宋体"/>
                <w:color w:val="auto"/>
                <w:kern w:val="0"/>
                <w:sz w:val="24"/>
              </w:rPr>
            </w:pPr>
          </w:p>
        </w:tc>
        <w:tc>
          <w:tcPr>
            <w:tcW w:w="3838" w:type="pct"/>
            <w:shd w:val="clear" w:color="auto" w:fill="auto"/>
            <w:vAlign w:val="center"/>
          </w:tcPr>
          <w:p>
            <w:pPr>
              <w:widowControl/>
              <w:rPr>
                <w:rFonts w:hint="eastAsia" w:ascii="宋体" w:hAnsi="宋体" w:eastAsia="宋体" w:cs="宋体"/>
                <w:color w:val="auto"/>
                <w:kern w:val="0"/>
                <w:sz w:val="24"/>
              </w:rPr>
            </w:pPr>
            <w:r>
              <w:rPr>
                <w:rFonts w:hint="eastAsia" w:ascii="宋体" w:hAnsi="宋体" w:eastAsia="宋体" w:cs="宋体"/>
                <w:color w:val="auto"/>
                <w:kern w:val="0"/>
                <w:sz w:val="24"/>
                <w:highlight w:val="none"/>
              </w:rPr>
              <w:t>提供投标产品厂商数据拯救服务，服务工程师具备“全工业和信息化岗位技能水平考试证书—数据恢复高级工程师认证证书”（提供证书复印件证明</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中标后提供加盖服务厂商公章文件）得2分，</w:t>
            </w:r>
            <w:r>
              <w:rPr>
                <w:rFonts w:hint="eastAsia" w:ascii="宋体" w:hAnsi="宋体" w:eastAsia="宋体" w:cs="宋体"/>
                <w:color w:val="auto"/>
                <w:kern w:val="0"/>
                <w:sz w:val="24"/>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483" w:type="pct"/>
            <w:vMerge w:val="continue"/>
            <w:vAlign w:val="center"/>
          </w:tcPr>
          <w:p>
            <w:pPr>
              <w:widowControl/>
              <w:jc w:val="left"/>
              <w:rPr>
                <w:rFonts w:hint="eastAsia" w:ascii="宋体" w:hAnsi="宋体" w:eastAsia="宋体" w:cs="宋体"/>
                <w:color w:val="auto"/>
                <w:kern w:val="0"/>
                <w:sz w:val="24"/>
              </w:rPr>
            </w:pPr>
          </w:p>
        </w:tc>
        <w:tc>
          <w:tcPr>
            <w:tcW w:w="678" w:type="pct"/>
            <w:vMerge w:val="continue"/>
            <w:vAlign w:val="center"/>
          </w:tcPr>
          <w:p>
            <w:pPr>
              <w:widowControl/>
              <w:jc w:val="left"/>
              <w:rPr>
                <w:rFonts w:hint="eastAsia" w:ascii="宋体" w:hAnsi="宋体" w:eastAsia="宋体" w:cs="宋体"/>
                <w:color w:val="auto"/>
                <w:kern w:val="0"/>
                <w:sz w:val="24"/>
              </w:rPr>
            </w:pPr>
          </w:p>
        </w:tc>
        <w:tc>
          <w:tcPr>
            <w:tcW w:w="3838" w:type="pct"/>
            <w:shd w:val="clear" w:color="auto" w:fill="auto"/>
            <w:vAlign w:val="center"/>
          </w:tcPr>
          <w:p>
            <w:pPr>
              <w:widowControl/>
              <w:rPr>
                <w:rFonts w:hint="eastAsia" w:ascii="宋体" w:hAnsi="宋体" w:eastAsia="宋体" w:cs="宋体"/>
                <w:color w:val="auto"/>
                <w:kern w:val="0"/>
                <w:sz w:val="24"/>
              </w:rPr>
            </w:pPr>
            <w:r>
              <w:rPr>
                <w:rFonts w:hint="eastAsia" w:ascii="宋体" w:hAnsi="宋体" w:eastAsia="宋体" w:cs="宋体"/>
                <w:color w:val="auto"/>
                <w:kern w:val="0"/>
                <w:sz w:val="24"/>
              </w:rPr>
              <w:t>投标人为保证数据安全性，数据拯救服务完成后需对过程中的镜像盘进行数据擦除，服务方提供原厂具有用以擦除的软件《涉密信息系统产品检测证书》和软件著作权证书得2分，未提供不得分。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83" w:type="pct"/>
            <w:vMerge w:val="continue"/>
            <w:vAlign w:val="center"/>
          </w:tcPr>
          <w:p>
            <w:pPr>
              <w:widowControl/>
              <w:jc w:val="left"/>
              <w:rPr>
                <w:rFonts w:hint="eastAsia" w:ascii="宋体" w:hAnsi="宋体" w:eastAsia="宋体" w:cs="宋体"/>
                <w:color w:val="auto"/>
                <w:kern w:val="0"/>
                <w:sz w:val="24"/>
              </w:rPr>
            </w:pPr>
          </w:p>
        </w:tc>
        <w:tc>
          <w:tcPr>
            <w:tcW w:w="678" w:type="pct"/>
            <w:vMerge w:val="continue"/>
            <w:vAlign w:val="center"/>
          </w:tcPr>
          <w:p>
            <w:pPr>
              <w:widowControl/>
              <w:jc w:val="left"/>
              <w:rPr>
                <w:rFonts w:hint="eastAsia" w:ascii="宋体" w:hAnsi="宋体" w:eastAsia="宋体" w:cs="宋体"/>
                <w:color w:val="auto"/>
                <w:kern w:val="0"/>
                <w:sz w:val="24"/>
              </w:rPr>
            </w:pPr>
          </w:p>
        </w:tc>
        <w:tc>
          <w:tcPr>
            <w:tcW w:w="3838" w:type="pct"/>
            <w:shd w:val="clear" w:color="auto" w:fill="auto"/>
            <w:vAlign w:val="center"/>
          </w:tcPr>
          <w:p>
            <w:pPr>
              <w:widowControl/>
              <w:rPr>
                <w:rFonts w:hint="eastAsia" w:ascii="宋体" w:hAnsi="宋体" w:eastAsia="宋体" w:cs="宋体"/>
                <w:color w:val="auto"/>
                <w:kern w:val="0"/>
                <w:sz w:val="24"/>
              </w:rPr>
            </w:pPr>
            <w:r>
              <w:rPr>
                <w:rFonts w:hint="eastAsia" w:ascii="宋体" w:hAnsi="宋体" w:eastAsia="宋体" w:cs="宋体"/>
                <w:color w:val="auto"/>
                <w:kern w:val="0"/>
                <w:sz w:val="24"/>
              </w:rPr>
              <w:t>供应商售后服务体系完善，在国内技术人员充足、维修便利，抵达现场服务响应时间及时、承诺解决问题周期短的得3分，良好得2分，一般得1分，未提供服务体系介绍的不得分。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483" w:type="pct"/>
            <w:vMerge w:val="continue"/>
            <w:vAlign w:val="center"/>
          </w:tcPr>
          <w:p>
            <w:pPr>
              <w:widowControl/>
              <w:jc w:val="left"/>
              <w:rPr>
                <w:rFonts w:hint="eastAsia" w:ascii="宋体" w:hAnsi="宋体" w:eastAsia="宋体" w:cs="宋体"/>
                <w:color w:val="auto"/>
                <w:kern w:val="0"/>
                <w:sz w:val="24"/>
              </w:rPr>
            </w:pPr>
          </w:p>
        </w:tc>
        <w:tc>
          <w:tcPr>
            <w:tcW w:w="678" w:type="pct"/>
            <w:vMerge w:val="continue"/>
            <w:vAlign w:val="center"/>
          </w:tcPr>
          <w:p>
            <w:pPr>
              <w:widowControl/>
              <w:jc w:val="left"/>
              <w:rPr>
                <w:rFonts w:hint="eastAsia" w:ascii="宋体" w:hAnsi="宋体" w:eastAsia="宋体" w:cs="宋体"/>
                <w:color w:val="auto"/>
                <w:kern w:val="0"/>
                <w:sz w:val="24"/>
              </w:rPr>
            </w:pPr>
          </w:p>
        </w:tc>
        <w:tc>
          <w:tcPr>
            <w:tcW w:w="3838" w:type="pct"/>
            <w:shd w:val="clear" w:color="auto" w:fill="auto"/>
            <w:vAlign w:val="center"/>
          </w:tcPr>
          <w:p>
            <w:pPr>
              <w:widowControl/>
              <w:rPr>
                <w:rFonts w:hint="eastAsia" w:ascii="宋体" w:hAnsi="宋体" w:eastAsia="宋体" w:cs="宋体"/>
                <w:color w:val="auto"/>
                <w:kern w:val="0"/>
                <w:sz w:val="24"/>
              </w:rPr>
            </w:pPr>
            <w:r>
              <w:rPr>
                <w:rFonts w:hint="eastAsia" w:ascii="宋体" w:hAnsi="宋体" w:eastAsia="宋体" w:cs="宋体"/>
                <w:color w:val="auto"/>
                <w:kern w:val="0"/>
                <w:sz w:val="24"/>
              </w:rPr>
              <w:t>根据提供的培训方案、培训时间、培训内容进行横向比较，方案内容详细、培训时间长、培训内容丰富得2分，各项内容一般的得1分，未提供不得分。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483" w:type="pct"/>
            <w:vMerge w:val="continue"/>
            <w:vAlign w:val="center"/>
          </w:tcPr>
          <w:p>
            <w:pPr>
              <w:widowControl/>
              <w:jc w:val="left"/>
              <w:rPr>
                <w:rFonts w:hint="eastAsia" w:ascii="宋体" w:hAnsi="宋体" w:eastAsia="宋体" w:cs="宋体"/>
                <w:color w:val="auto"/>
                <w:kern w:val="0"/>
                <w:sz w:val="24"/>
              </w:rPr>
            </w:pPr>
          </w:p>
        </w:tc>
        <w:tc>
          <w:tcPr>
            <w:tcW w:w="678" w:type="pct"/>
            <w:vMerge w:val="continue"/>
            <w:vAlign w:val="center"/>
          </w:tcPr>
          <w:p>
            <w:pPr>
              <w:widowControl/>
              <w:jc w:val="left"/>
              <w:rPr>
                <w:rFonts w:hint="eastAsia" w:ascii="宋体" w:hAnsi="宋体" w:eastAsia="宋体" w:cs="宋体"/>
                <w:color w:val="auto"/>
                <w:kern w:val="0"/>
                <w:sz w:val="24"/>
              </w:rPr>
            </w:pPr>
          </w:p>
        </w:tc>
        <w:tc>
          <w:tcPr>
            <w:tcW w:w="3838" w:type="pct"/>
            <w:shd w:val="clear" w:color="auto" w:fill="auto"/>
            <w:vAlign w:val="center"/>
          </w:tcPr>
          <w:p>
            <w:pPr>
              <w:widowControl/>
              <w:rPr>
                <w:rFonts w:hint="eastAsia" w:ascii="宋体" w:hAnsi="宋体" w:eastAsia="宋体" w:cs="宋体"/>
                <w:color w:val="auto"/>
                <w:kern w:val="0"/>
                <w:sz w:val="24"/>
              </w:rPr>
            </w:pPr>
            <w:r>
              <w:rPr>
                <w:rFonts w:hint="eastAsia" w:ascii="宋体" w:hAnsi="宋体" w:eastAsia="宋体" w:cs="宋体"/>
                <w:color w:val="auto"/>
                <w:kern w:val="0"/>
                <w:sz w:val="24"/>
                <w:highlight w:val="none"/>
              </w:rPr>
              <w:t>质保满足招标文件要求的不得分；</w:t>
            </w:r>
            <w:r>
              <w:rPr>
                <w:rFonts w:hint="eastAsia" w:ascii="宋体" w:hAnsi="宋体" w:eastAsia="宋体" w:cs="宋体"/>
                <w:color w:val="auto"/>
                <w:kern w:val="0"/>
                <w:sz w:val="24"/>
              </w:rPr>
              <w:t>每增加1年制造商提供的质保加1分，最多得2分；若投标文件中出现前后不一致的情况，以最低免费质保期作为评分依据。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483" w:type="pct"/>
            <w:shd w:val="clear" w:color="auto" w:fill="auto"/>
            <w:vAlign w:val="center"/>
          </w:tcPr>
          <w:p>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　4</w:t>
            </w:r>
          </w:p>
        </w:tc>
        <w:tc>
          <w:tcPr>
            <w:tcW w:w="678" w:type="pct"/>
            <w:shd w:val="clear" w:color="auto" w:fill="auto"/>
            <w:vAlign w:val="center"/>
          </w:tcPr>
          <w:p>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业绩（3分）</w:t>
            </w:r>
          </w:p>
        </w:tc>
        <w:tc>
          <w:tcPr>
            <w:tcW w:w="3838" w:type="pct"/>
            <w:shd w:val="clear" w:color="auto" w:fill="auto"/>
            <w:vAlign w:val="center"/>
          </w:tcPr>
          <w:p>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2017年度至今，投标人提供类似项目成功案例，提供一个得1分，最高得3分；提供合同复印件原件备查（价格、清单和签订时间不清晰的合同不得分）。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83" w:type="pct"/>
            <w:vMerge w:val="restart"/>
            <w:shd w:val="clear" w:color="auto" w:fill="auto"/>
            <w:vAlign w:val="center"/>
          </w:tcPr>
          <w:p>
            <w:pPr>
              <w:widowControl/>
              <w:jc w:val="center"/>
              <w:rPr>
                <w:rFonts w:hint="eastAsia" w:ascii="宋体" w:hAnsi="宋体" w:eastAsia="宋体" w:cs="宋体"/>
                <w:color w:val="auto"/>
                <w:kern w:val="0"/>
                <w:sz w:val="24"/>
              </w:rPr>
            </w:pPr>
            <w:r>
              <w:rPr>
                <w:rFonts w:hint="eastAsia" w:ascii="宋体" w:hAnsi="宋体" w:eastAsia="宋体" w:cs="宋体"/>
                <w:color w:val="auto"/>
                <w:kern w:val="0"/>
                <w:sz w:val="24"/>
              </w:rPr>
              <w:t>　5</w:t>
            </w:r>
          </w:p>
        </w:tc>
        <w:tc>
          <w:tcPr>
            <w:tcW w:w="678" w:type="pct"/>
            <w:vMerge w:val="restart"/>
            <w:shd w:val="clear" w:color="auto" w:fill="auto"/>
            <w:vAlign w:val="center"/>
          </w:tcPr>
          <w:p>
            <w:pPr>
              <w:widowControl/>
              <w:jc w:val="center"/>
              <w:rPr>
                <w:rFonts w:hint="eastAsia" w:ascii="宋体" w:hAnsi="宋体" w:eastAsia="宋体" w:cs="宋体"/>
                <w:color w:val="auto"/>
                <w:kern w:val="0"/>
                <w:sz w:val="24"/>
              </w:rPr>
            </w:pPr>
            <w:r>
              <w:rPr>
                <w:rFonts w:hint="eastAsia" w:ascii="宋体" w:hAnsi="宋体" w:eastAsia="宋体" w:cs="宋体"/>
                <w:color w:val="auto"/>
                <w:kern w:val="0"/>
                <w:sz w:val="24"/>
              </w:rPr>
              <w:t>履约能力（4分）</w:t>
            </w:r>
          </w:p>
        </w:tc>
        <w:tc>
          <w:tcPr>
            <w:tcW w:w="3838" w:type="pct"/>
            <w:shd w:val="clear" w:color="auto" w:fill="auto"/>
            <w:vAlign w:val="center"/>
          </w:tcPr>
          <w:p>
            <w:pPr>
              <w:rPr>
                <w:rFonts w:hint="eastAsia" w:ascii="宋体" w:hAnsi="宋体" w:eastAsia="宋体" w:cs="宋体"/>
                <w:color w:val="auto"/>
                <w:kern w:val="0"/>
                <w:sz w:val="24"/>
              </w:rPr>
            </w:pPr>
            <w:r>
              <w:rPr>
                <w:rFonts w:hint="eastAsia" w:ascii="宋体" w:hAnsi="宋体" w:eastAsia="宋体" w:cs="宋体"/>
                <w:color w:val="auto"/>
                <w:kern w:val="0"/>
                <w:sz w:val="24"/>
              </w:rPr>
              <w:t>1. 提供所投集群管理软件著作权证书（提供有效证书复印件）。（2分）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83" w:type="pct"/>
            <w:vMerge w:val="continue"/>
            <w:vAlign w:val="center"/>
          </w:tcPr>
          <w:p>
            <w:pPr>
              <w:widowControl/>
              <w:jc w:val="left"/>
              <w:rPr>
                <w:rFonts w:hint="eastAsia" w:ascii="宋体" w:hAnsi="宋体" w:eastAsia="宋体" w:cs="宋体"/>
                <w:color w:val="auto"/>
                <w:kern w:val="0"/>
                <w:sz w:val="24"/>
              </w:rPr>
            </w:pPr>
          </w:p>
        </w:tc>
        <w:tc>
          <w:tcPr>
            <w:tcW w:w="678" w:type="pct"/>
            <w:vMerge w:val="continue"/>
            <w:vAlign w:val="center"/>
          </w:tcPr>
          <w:p>
            <w:pPr>
              <w:widowControl/>
              <w:jc w:val="left"/>
              <w:rPr>
                <w:rFonts w:hint="eastAsia" w:ascii="宋体" w:hAnsi="宋体" w:eastAsia="宋体" w:cs="宋体"/>
                <w:color w:val="auto"/>
                <w:kern w:val="0"/>
                <w:sz w:val="24"/>
              </w:rPr>
            </w:pPr>
          </w:p>
        </w:tc>
        <w:tc>
          <w:tcPr>
            <w:tcW w:w="3838" w:type="pct"/>
            <w:shd w:val="clear" w:color="auto" w:fill="auto"/>
            <w:vAlign w:val="center"/>
          </w:tcPr>
          <w:p>
            <w:pPr>
              <w:widowControl/>
              <w:rPr>
                <w:rFonts w:hint="eastAsia" w:ascii="宋体" w:hAnsi="宋体" w:eastAsia="宋体" w:cs="宋体"/>
                <w:color w:val="auto"/>
                <w:kern w:val="0"/>
                <w:sz w:val="24"/>
              </w:rPr>
            </w:pPr>
            <w:r>
              <w:rPr>
                <w:rFonts w:hint="eastAsia" w:ascii="宋体" w:hAnsi="宋体" w:eastAsia="宋体" w:cs="宋体"/>
                <w:color w:val="auto"/>
                <w:kern w:val="0"/>
                <w:sz w:val="24"/>
              </w:rPr>
              <w:t>2. 提供所投设备制造商国家信息安全测评信息安全服务资质证书（安全工程类一级，提供有效证书复印件）。（2分）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83" w:type="pct"/>
            <w:shd w:val="clear" w:color="auto" w:fill="auto"/>
            <w:vAlign w:val="center"/>
          </w:tcPr>
          <w:p>
            <w:pPr>
              <w:widowControl/>
              <w:jc w:val="center"/>
              <w:rPr>
                <w:rFonts w:hint="eastAsia" w:ascii="宋体" w:hAnsi="宋体" w:eastAsia="宋体" w:cs="宋体"/>
                <w:color w:val="auto"/>
                <w:kern w:val="0"/>
                <w:sz w:val="24"/>
              </w:rPr>
            </w:pPr>
            <w:r>
              <w:rPr>
                <w:rFonts w:hint="eastAsia" w:ascii="宋体" w:hAnsi="宋体" w:eastAsia="宋体" w:cs="宋体"/>
                <w:color w:val="auto"/>
                <w:kern w:val="0"/>
                <w:sz w:val="24"/>
              </w:rPr>
              <w:t>　6</w:t>
            </w:r>
          </w:p>
        </w:tc>
        <w:tc>
          <w:tcPr>
            <w:tcW w:w="678" w:type="pct"/>
            <w:shd w:val="clear" w:color="auto" w:fill="auto"/>
            <w:vAlign w:val="center"/>
          </w:tcPr>
          <w:p>
            <w:pPr>
              <w:widowControl/>
              <w:jc w:val="center"/>
              <w:rPr>
                <w:rFonts w:hint="eastAsia" w:ascii="宋体" w:hAnsi="宋体" w:eastAsia="宋体" w:cs="宋体"/>
                <w:color w:val="auto"/>
                <w:kern w:val="0"/>
                <w:sz w:val="24"/>
              </w:rPr>
            </w:pPr>
            <w:r>
              <w:rPr>
                <w:rFonts w:hint="eastAsia" w:ascii="宋体" w:hAnsi="宋体" w:eastAsia="宋体" w:cs="宋体"/>
                <w:color w:val="auto"/>
                <w:kern w:val="0"/>
                <w:sz w:val="24"/>
              </w:rPr>
              <w:t>投标文件的制作（2分）</w:t>
            </w:r>
          </w:p>
        </w:tc>
        <w:tc>
          <w:tcPr>
            <w:tcW w:w="3838" w:type="pct"/>
            <w:shd w:val="clear" w:color="auto" w:fill="auto"/>
            <w:vAlign w:val="center"/>
          </w:tcPr>
          <w:p>
            <w:pPr>
              <w:widowControl/>
              <w:rPr>
                <w:rFonts w:hint="eastAsia" w:ascii="宋体" w:hAnsi="宋体" w:eastAsia="宋体" w:cs="宋体"/>
                <w:color w:val="auto"/>
                <w:kern w:val="0"/>
                <w:sz w:val="24"/>
              </w:rPr>
            </w:pPr>
            <w:r>
              <w:rPr>
                <w:rFonts w:hint="eastAsia" w:ascii="宋体" w:hAnsi="宋体" w:eastAsia="宋体" w:cs="宋体"/>
                <w:color w:val="auto"/>
                <w:kern w:val="0"/>
                <w:sz w:val="24"/>
              </w:rPr>
              <w:t>文件内容完备，格式规范，封装整齐，满足招标文件要求得2分。未经胶封（如文件夹或订书机等）此项不得分。</w:t>
            </w:r>
          </w:p>
        </w:tc>
      </w:tr>
    </w:tbl>
    <w:p>
      <w:pPr>
        <w:spacing w:line="360" w:lineRule="auto"/>
        <w:rPr>
          <w:b/>
          <w:color w:val="auto"/>
          <w:sz w:val="28"/>
          <w:szCs w:val="28"/>
        </w:rPr>
      </w:pPr>
    </w:p>
    <w:p>
      <w:pPr>
        <w:pStyle w:val="8"/>
        <w:ind w:left="1470" w:right="1470"/>
        <w:rPr>
          <w:b/>
          <w:color w:val="auto"/>
          <w:sz w:val="28"/>
          <w:szCs w:val="28"/>
        </w:rPr>
      </w:pPr>
    </w:p>
    <w:p>
      <w:pPr>
        <w:pStyle w:val="8"/>
        <w:ind w:left="1470" w:right="1470"/>
        <w:rPr>
          <w:b/>
          <w:color w:val="auto"/>
          <w:sz w:val="28"/>
          <w:szCs w:val="28"/>
        </w:rPr>
      </w:pPr>
    </w:p>
    <w:p>
      <w:pPr>
        <w:pStyle w:val="8"/>
        <w:ind w:left="1470" w:right="1470"/>
        <w:rPr>
          <w:b/>
          <w:color w:val="auto"/>
          <w:sz w:val="28"/>
          <w:szCs w:val="28"/>
        </w:rPr>
      </w:pPr>
    </w:p>
    <w:p>
      <w:pPr>
        <w:pStyle w:val="8"/>
        <w:ind w:left="1470" w:right="1470"/>
        <w:rPr>
          <w:b/>
          <w:color w:val="auto"/>
          <w:sz w:val="28"/>
          <w:szCs w:val="28"/>
        </w:rPr>
      </w:pPr>
    </w:p>
    <w:p>
      <w:pPr>
        <w:pStyle w:val="8"/>
        <w:ind w:left="1470" w:right="1470"/>
        <w:rPr>
          <w:b/>
          <w:color w:val="auto"/>
          <w:sz w:val="28"/>
          <w:szCs w:val="28"/>
        </w:rPr>
      </w:pPr>
    </w:p>
    <w:p>
      <w:pPr>
        <w:pStyle w:val="8"/>
        <w:ind w:left="1470" w:right="1470"/>
        <w:rPr>
          <w:b/>
          <w:color w:val="auto"/>
          <w:sz w:val="28"/>
          <w:szCs w:val="28"/>
        </w:rPr>
      </w:pPr>
    </w:p>
    <w:p>
      <w:pPr>
        <w:pStyle w:val="8"/>
        <w:ind w:left="1470" w:right="1470"/>
        <w:rPr>
          <w:b/>
          <w:color w:val="auto"/>
          <w:sz w:val="28"/>
          <w:szCs w:val="28"/>
        </w:rPr>
      </w:pPr>
    </w:p>
    <w:p>
      <w:pPr>
        <w:pStyle w:val="8"/>
        <w:ind w:left="1470" w:right="1470"/>
        <w:rPr>
          <w:b/>
          <w:color w:val="auto"/>
          <w:sz w:val="28"/>
          <w:szCs w:val="28"/>
        </w:rPr>
      </w:pPr>
    </w:p>
    <w:p>
      <w:pPr>
        <w:spacing w:line="360" w:lineRule="auto"/>
        <w:rPr>
          <w:b/>
          <w:color w:val="auto"/>
          <w:sz w:val="28"/>
          <w:szCs w:val="28"/>
        </w:rPr>
      </w:pPr>
    </w:p>
    <w:p>
      <w:pPr>
        <w:spacing w:line="360" w:lineRule="auto"/>
        <w:rPr>
          <w:b/>
          <w:color w:val="auto"/>
          <w:sz w:val="28"/>
          <w:szCs w:val="28"/>
        </w:rPr>
      </w:pPr>
      <w:r>
        <w:rPr>
          <w:rFonts w:hint="eastAsia"/>
          <w:b/>
          <w:color w:val="auto"/>
          <w:sz w:val="28"/>
          <w:szCs w:val="28"/>
        </w:rPr>
        <w:t>附件</w:t>
      </w:r>
      <w:r>
        <w:rPr>
          <w:b/>
          <w:color w:val="auto"/>
          <w:sz w:val="28"/>
          <w:szCs w:val="28"/>
        </w:rPr>
        <w:t>6</w:t>
      </w:r>
      <w:r>
        <w:rPr>
          <w:rFonts w:hint="eastAsia"/>
          <w:b/>
          <w:color w:val="auto"/>
          <w:sz w:val="28"/>
          <w:szCs w:val="28"/>
        </w:rPr>
        <w:t>：</w:t>
      </w:r>
    </w:p>
    <w:p>
      <w:pPr>
        <w:adjustRightInd w:val="0"/>
        <w:snapToGrid w:val="0"/>
        <w:spacing w:before="156" w:beforeLines="50" w:after="156" w:afterLines="50" w:line="360" w:lineRule="auto"/>
        <w:jc w:val="center"/>
        <w:outlineLvl w:val="0"/>
        <w:rPr>
          <w:rFonts w:ascii="黑体" w:hAnsi="黑体" w:eastAsia="黑体"/>
          <w:b/>
          <w:bCs/>
          <w:color w:val="auto"/>
          <w:sz w:val="34"/>
        </w:rPr>
      </w:pPr>
      <w:r>
        <w:rPr>
          <w:rFonts w:hint="eastAsia" w:ascii="黑体" w:hAnsi="黑体" w:eastAsia="黑体"/>
          <w:b/>
          <w:color w:val="auto"/>
          <w:sz w:val="34"/>
        </w:rPr>
        <w:t>采购合同</w:t>
      </w:r>
    </w:p>
    <w:p>
      <w:pPr>
        <w:pStyle w:val="10"/>
        <w:adjustRightInd w:val="0"/>
        <w:snapToGrid w:val="0"/>
        <w:spacing w:before="120" w:after="120" w:line="360" w:lineRule="auto"/>
        <w:ind w:firstLine="658"/>
        <w:rPr>
          <w:rFonts w:hAnsi="宋体"/>
          <w:color w:val="auto"/>
          <w:sz w:val="24"/>
          <w:szCs w:val="24"/>
        </w:rPr>
      </w:pPr>
      <w:r>
        <w:rPr>
          <w:rFonts w:hint="eastAsia" w:hAnsi="宋体"/>
          <w:color w:val="auto"/>
          <w:sz w:val="24"/>
          <w:szCs w:val="24"/>
        </w:rPr>
        <w:t>项目名称：</w:t>
      </w:r>
    </w:p>
    <w:p>
      <w:pPr>
        <w:pStyle w:val="10"/>
        <w:adjustRightInd w:val="0"/>
        <w:snapToGrid w:val="0"/>
        <w:spacing w:before="120" w:after="120" w:line="360" w:lineRule="auto"/>
        <w:ind w:firstLine="658"/>
        <w:rPr>
          <w:rFonts w:hAnsi="宋体"/>
          <w:color w:val="auto"/>
          <w:sz w:val="24"/>
          <w:szCs w:val="24"/>
        </w:rPr>
      </w:pPr>
      <w:r>
        <w:rPr>
          <w:rFonts w:hint="eastAsia" w:hAnsi="宋体"/>
          <w:color w:val="auto"/>
          <w:sz w:val="24"/>
          <w:szCs w:val="24"/>
        </w:rPr>
        <w:t>项目编号：</w:t>
      </w:r>
    </w:p>
    <w:p>
      <w:pPr>
        <w:pStyle w:val="10"/>
        <w:adjustRightInd w:val="0"/>
        <w:snapToGrid w:val="0"/>
        <w:spacing w:before="120" w:after="120" w:line="360" w:lineRule="auto"/>
        <w:ind w:firstLine="658"/>
        <w:rPr>
          <w:rFonts w:hAnsi="宋体"/>
          <w:color w:val="auto"/>
          <w:sz w:val="24"/>
          <w:szCs w:val="24"/>
          <w:u w:val="single"/>
        </w:rPr>
      </w:pPr>
      <w:r>
        <w:rPr>
          <w:rFonts w:hint="eastAsia" w:hAnsi="宋体"/>
          <w:color w:val="auto"/>
          <w:sz w:val="24"/>
          <w:szCs w:val="24"/>
        </w:rPr>
        <w:t>甲方：（买方）</w:t>
      </w:r>
      <w:r>
        <w:rPr>
          <w:rFonts w:hAnsi="宋体"/>
          <w:color w:val="auto"/>
          <w:sz w:val="24"/>
          <w:szCs w:val="24"/>
        </w:rPr>
        <w:t>__________________</w:t>
      </w:r>
    </w:p>
    <w:p>
      <w:pPr>
        <w:pStyle w:val="10"/>
        <w:adjustRightInd w:val="0"/>
        <w:snapToGrid w:val="0"/>
        <w:spacing w:before="120" w:after="120" w:line="360" w:lineRule="auto"/>
        <w:ind w:firstLine="658"/>
        <w:rPr>
          <w:rFonts w:hAnsi="宋体"/>
          <w:color w:val="auto"/>
          <w:sz w:val="24"/>
          <w:szCs w:val="24"/>
        </w:rPr>
      </w:pPr>
      <w:r>
        <w:rPr>
          <w:rFonts w:hint="eastAsia" w:hAnsi="宋体"/>
          <w:color w:val="auto"/>
          <w:sz w:val="24"/>
          <w:szCs w:val="24"/>
        </w:rPr>
        <w:t>乙方：（卖方）</w:t>
      </w:r>
      <w:r>
        <w:rPr>
          <w:rFonts w:hAnsi="宋体"/>
          <w:color w:val="auto"/>
          <w:sz w:val="24"/>
          <w:szCs w:val="24"/>
        </w:rPr>
        <w:t>__________________</w:t>
      </w:r>
    </w:p>
    <w:p>
      <w:pPr>
        <w:pStyle w:val="10"/>
        <w:adjustRightInd w:val="0"/>
        <w:snapToGrid w:val="0"/>
        <w:spacing w:before="120" w:after="120" w:line="360" w:lineRule="auto"/>
        <w:ind w:firstLine="658"/>
        <w:rPr>
          <w:rFonts w:hAnsi="宋体"/>
          <w:b/>
          <w:color w:val="auto"/>
          <w:sz w:val="24"/>
          <w:szCs w:val="24"/>
        </w:rPr>
      </w:pPr>
      <w:r>
        <w:rPr>
          <w:rFonts w:hint="eastAsia" w:hAnsi="宋体"/>
          <w:color w:val="auto"/>
          <w:sz w:val="24"/>
          <w:szCs w:val="24"/>
        </w:rPr>
        <w:t>甲、乙双方根据甲方项目采购谈判的结果，签署本合同。</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一、货物内容</w:t>
      </w:r>
    </w:p>
    <w:tbl>
      <w:tblPr>
        <w:tblStyle w:val="17"/>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color w:val="auto"/>
                <w:sz w:val="24"/>
              </w:rPr>
            </w:pPr>
            <w:r>
              <w:rPr>
                <w:rFonts w:hint="eastAsia" w:ascii="宋体" w:hAnsi="宋体"/>
                <w:b/>
                <w:color w:val="auto"/>
                <w:sz w:val="24"/>
              </w:rPr>
              <w:t>分包号</w:t>
            </w:r>
          </w:p>
        </w:tc>
        <w:tc>
          <w:tcPr>
            <w:tcW w:w="1165" w:type="dxa"/>
            <w:vAlign w:val="center"/>
          </w:tcPr>
          <w:p>
            <w:pPr>
              <w:spacing w:line="360" w:lineRule="auto"/>
              <w:jc w:val="center"/>
              <w:rPr>
                <w:rFonts w:ascii="宋体"/>
                <w:b/>
                <w:color w:val="auto"/>
                <w:sz w:val="24"/>
              </w:rPr>
            </w:pPr>
            <w:r>
              <w:rPr>
                <w:rFonts w:hint="eastAsia" w:ascii="宋体" w:hAnsi="宋体"/>
                <w:b/>
                <w:color w:val="auto"/>
                <w:sz w:val="24"/>
              </w:rPr>
              <w:t>货物</w:t>
            </w:r>
          </w:p>
          <w:p>
            <w:pPr>
              <w:spacing w:line="360" w:lineRule="auto"/>
              <w:jc w:val="center"/>
              <w:rPr>
                <w:rFonts w:ascii="宋体"/>
                <w:b/>
                <w:color w:val="auto"/>
                <w:sz w:val="24"/>
              </w:rPr>
            </w:pPr>
            <w:r>
              <w:rPr>
                <w:rFonts w:hint="eastAsia" w:ascii="宋体" w:hAnsi="宋体"/>
                <w:b/>
                <w:color w:val="auto"/>
                <w:sz w:val="24"/>
              </w:rPr>
              <w:t>名称</w:t>
            </w:r>
          </w:p>
        </w:tc>
        <w:tc>
          <w:tcPr>
            <w:tcW w:w="1115" w:type="dxa"/>
            <w:vAlign w:val="center"/>
          </w:tcPr>
          <w:p>
            <w:pPr>
              <w:spacing w:line="360" w:lineRule="auto"/>
              <w:jc w:val="center"/>
              <w:rPr>
                <w:rFonts w:ascii="宋体"/>
                <w:b/>
                <w:color w:val="auto"/>
                <w:sz w:val="24"/>
              </w:rPr>
            </w:pPr>
            <w:r>
              <w:rPr>
                <w:rFonts w:hint="eastAsia" w:ascii="宋体" w:hAnsi="宋体"/>
                <w:b/>
                <w:color w:val="auto"/>
                <w:sz w:val="24"/>
              </w:rPr>
              <w:t>型号</w:t>
            </w:r>
            <w:r>
              <w:rPr>
                <w:rFonts w:ascii="宋体" w:hAnsi="宋体"/>
                <w:b/>
                <w:color w:val="auto"/>
                <w:sz w:val="24"/>
              </w:rPr>
              <w:t>/</w:t>
            </w:r>
          </w:p>
          <w:p>
            <w:pPr>
              <w:spacing w:line="360" w:lineRule="auto"/>
              <w:jc w:val="center"/>
              <w:rPr>
                <w:rFonts w:ascii="宋体"/>
                <w:b/>
                <w:color w:val="auto"/>
                <w:sz w:val="24"/>
              </w:rPr>
            </w:pPr>
            <w:r>
              <w:rPr>
                <w:rFonts w:hint="eastAsia" w:ascii="宋体" w:hAnsi="宋体"/>
                <w:b/>
                <w:color w:val="auto"/>
                <w:sz w:val="24"/>
              </w:rPr>
              <w:t>规格</w:t>
            </w:r>
          </w:p>
        </w:tc>
        <w:tc>
          <w:tcPr>
            <w:tcW w:w="1160" w:type="dxa"/>
            <w:vAlign w:val="center"/>
          </w:tcPr>
          <w:p>
            <w:pPr>
              <w:spacing w:line="360" w:lineRule="auto"/>
              <w:jc w:val="center"/>
              <w:rPr>
                <w:rFonts w:ascii="宋体"/>
                <w:b/>
                <w:color w:val="auto"/>
                <w:sz w:val="24"/>
              </w:rPr>
            </w:pPr>
            <w:r>
              <w:rPr>
                <w:rFonts w:hint="eastAsia" w:ascii="宋体" w:hAnsi="宋体"/>
                <w:b/>
                <w:color w:val="auto"/>
                <w:sz w:val="24"/>
              </w:rPr>
              <w:t>品牌</w:t>
            </w:r>
            <w:r>
              <w:rPr>
                <w:rFonts w:ascii="宋体" w:hAnsi="宋体"/>
                <w:b/>
                <w:color w:val="auto"/>
                <w:sz w:val="24"/>
              </w:rPr>
              <w:t>/</w:t>
            </w:r>
            <w:r>
              <w:rPr>
                <w:rFonts w:hint="eastAsia" w:ascii="宋体" w:hAnsi="宋体"/>
                <w:b/>
                <w:color w:val="auto"/>
                <w:sz w:val="24"/>
              </w:rPr>
              <w:t>生产厂家</w:t>
            </w:r>
            <w:r>
              <w:rPr>
                <w:rFonts w:ascii="宋体" w:hAnsi="宋体"/>
                <w:b/>
                <w:color w:val="auto"/>
                <w:sz w:val="24"/>
              </w:rPr>
              <w:t>/</w:t>
            </w:r>
            <w:r>
              <w:rPr>
                <w:rFonts w:hint="eastAsia" w:ascii="宋体" w:hAnsi="宋体"/>
                <w:b/>
                <w:color w:val="auto"/>
                <w:sz w:val="24"/>
              </w:rPr>
              <w:t>国别</w:t>
            </w:r>
          </w:p>
        </w:tc>
        <w:tc>
          <w:tcPr>
            <w:tcW w:w="1160" w:type="dxa"/>
            <w:vAlign w:val="center"/>
          </w:tcPr>
          <w:p>
            <w:pPr>
              <w:spacing w:line="360" w:lineRule="auto"/>
              <w:jc w:val="center"/>
              <w:rPr>
                <w:rFonts w:ascii="宋体"/>
                <w:b/>
                <w:color w:val="auto"/>
                <w:sz w:val="24"/>
              </w:rPr>
            </w:pPr>
            <w:r>
              <w:rPr>
                <w:rFonts w:hint="eastAsia" w:ascii="宋体" w:hAnsi="宋体"/>
                <w:b/>
                <w:color w:val="auto"/>
                <w:sz w:val="24"/>
              </w:rPr>
              <w:t>计量</w:t>
            </w:r>
          </w:p>
          <w:p>
            <w:pPr>
              <w:spacing w:line="360" w:lineRule="auto"/>
              <w:jc w:val="center"/>
              <w:rPr>
                <w:rFonts w:ascii="宋体"/>
                <w:b/>
                <w:color w:val="auto"/>
                <w:sz w:val="24"/>
              </w:rPr>
            </w:pPr>
            <w:r>
              <w:rPr>
                <w:rFonts w:hint="eastAsia" w:ascii="宋体" w:hAnsi="宋体"/>
                <w:b/>
                <w:color w:val="auto"/>
                <w:sz w:val="24"/>
              </w:rPr>
              <w:t>单位</w:t>
            </w:r>
          </w:p>
        </w:tc>
        <w:tc>
          <w:tcPr>
            <w:tcW w:w="1160" w:type="dxa"/>
            <w:vAlign w:val="center"/>
          </w:tcPr>
          <w:p>
            <w:pPr>
              <w:spacing w:line="360" w:lineRule="auto"/>
              <w:jc w:val="center"/>
              <w:rPr>
                <w:rFonts w:ascii="宋体"/>
                <w:b/>
                <w:color w:val="auto"/>
                <w:sz w:val="24"/>
              </w:rPr>
            </w:pPr>
            <w:r>
              <w:rPr>
                <w:rFonts w:hint="eastAsia" w:ascii="宋体" w:hAnsi="宋体"/>
                <w:b/>
                <w:color w:val="auto"/>
                <w:sz w:val="24"/>
              </w:rPr>
              <w:t>数量</w:t>
            </w:r>
          </w:p>
        </w:tc>
        <w:tc>
          <w:tcPr>
            <w:tcW w:w="1160" w:type="dxa"/>
            <w:vAlign w:val="center"/>
          </w:tcPr>
          <w:p>
            <w:pPr>
              <w:spacing w:line="360" w:lineRule="auto"/>
              <w:jc w:val="center"/>
              <w:rPr>
                <w:rFonts w:ascii="宋体"/>
                <w:b/>
                <w:color w:val="auto"/>
                <w:sz w:val="24"/>
              </w:rPr>
            </w:pPr>
            <w:r>
              <w:rPr>
                <w:rFonts w:hint="eastAsia" w:ascii="宋体" w:hAnsi="宋体"/>
                <w:b/>
                <w:color w:val="auto"/>
                <w:sz w:val="24"/>
              </w:rPr>
              <w:t>单价</w:t>
            </w:r>
          </w:p>
        </w:tc>
        <w:tc>
          <w:tcPr>
            <w:tcW w:w="1162" w:type="dxa"/>
            <w:vAlign w:val="center"/>
          </w:tcPr>
          <w:p>
            <w:pPr>
              <w:spacing w:line="360" w:lineRule="auto"/>
              <w:jc w:val="center"/>
              <w:rPr>
                <w:rFonts w:ascii="宋体"/>
                <w:b/>
                <w:color w:val="auto"/>
                <w:sz w:val="24"/>
              </w:rPr>
            </w:pPr>
            <w:r>
              <w:rPr>
                <w:rFonts w:hint="eastAsia" w:ascii="宋体" w:hAnsi="宋体"/>
                <w:b/>
                <w:color w:val="auto"/>
                <w:sz w:val="24"/>
              </w:rPr>
              <w:t>每项</w:t>
            </w:r>
          </w:p>
          <w:p>
            <w:pPr>
              <w:spacing w:line="360" w:lineRule="auto"/>
              <w:jc w:val="center"/>
              <w:rPr>
                <w:rFonts w:ascii="宋体"/>
                <w:b/>
                <w:color w:val="auto"/>
                <w:sz w:val="24"/>
              </w:rPr>
            </w:pPr>
            <w:r>
              <w:rPr>
                <w:rFonts w:hint="eastAsia" w:ascii="宋体" w:hAnsi="宋体"/>
                <w:b/>
                <w:color w:val="auto"/>
                <w:sz w:val="24"/>
              </w:rPr>
              <w:t>总价</w:t>
            </w:r>
          </w:p>
        </w:tc>
        <w:tc>
          <w:tcPr>
            <w:tcW w:w="1171" w:type="dxa"/>
            <w:vAlign w:val="center"/>
          </w:tcPr>
          <w:p>
            <w:pPr>
              <w:spacing w:line="360" w:lineRule="auto"/>
              <w:jc w:val="center"/>
              <w:rPr>
                <w:rFonts w:ascii="宋体"/>
                <w:b/>
                <w:color w:val="auto"/>
                <w:sz w:val="24"/>
              </w:rPr>
            </w:pPr>
            <w:r>
              <w:rPr>
                <w:rFonts w:hint="eastAsia" w:ascii="宋体" w:hAnsi="宋体"/>
                <w:b/>
                <w:color w:val="auto"/>
                <w:sz w:val="24"/>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rPr>
            </w:pPr>
          </w:p>
        </w:tc>
        <w:tc>
          <w:tcPr>
            <w:tcW w:w="1165" w:type="dxa"/>
            <w:vAlign w:val="center"/>
          </w:tcPr>
          <w:p>
            <w:pPr>
              <w:spacing w:line="360" w:lineRule="auto"/>
              <w:jc w:val="center"/>
              <w:rPr>
                <w:rFonts w:ascii="宋体"/>
                <w:color w:val="auto"/>
                <w:sz w:val="24"/>
              </w:rPr>
            </w:pPr>
          </w:p>
        </w:tc>
        <w:tc>
          <w:tcPr>
            <w:tcW w:w="1115" w:type="dxa"/>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2" w:type="dxa"/>
            <w:vAlign w:val="center"/>
          </w:tcPr>
          <w:p>
            <w:pPr>
              <w:spacing w:line="360" w:lineRule="auto"/>
              <w:jc w:val="center"/>
              <w:rPr>
                <w:rFonts w:ascii="宋体"/>
                <w:color w:val="auto"/>
                <w:sz w:val="24"/>
              </w:rPr>
            </w:pPr>
          </w:p>
        </w:tc>
        <w:tc>
          <w:tcPr>
            <w:tcW w:w="1171" w:type="dxa"/>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rPr>
            </w:pPr>
          </w:p>
        </w:tc>
        <w:tc>
          <w:tcPr>
            <w:tcW w:w="1165" w:type="dxa"/>
            <w:vAlign w:val="center"/>
          </w:tcPr>
          <w:p>
            <w:pPr>
              <w:spacing w:line="360" w:lineRule="auto"/>
              <w:jc w:val="center"/>
              <w:rPr>
                <w:rFonts w:ascii="宋体"/>
                <w:color w:val="auto"/>
                <w:sz w:val="24"/>
              </w:rPr>
            </w:pPr>
          </w:p>
        </w:tc>
        <w:tc>
          <w:tcPr>
            <w:tcW w:w="1115" w:type="dxa"/>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2" w:type="dxa"/>
            <w:vAlign w:val="center"/>
          </w:tcPr>
          <w:p>
            <w:pPr>
              <w:spacing w:line="360" w:lineRule="auto"/>
              <w:jc w:val="center"/>
              <w:rPr>
                <w:rFonts w:ascii="宋体"/>
                <w:color w:val="auto"/>
                <w:sz w:val="24"/>
              </w:rPr>
            </w:pPr>
          </w:p>
        </w:tc>
        <w:tc>
          <w:tcPr>
            <w:tcW w:w="1171" w:type="dxa"/>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rPr>
            </w:pPr>
          </w:p>
        </w:tc>
        <w:tc>
          <w:tcPr>
            <w:tcW w:w="1165" w:type="dxa"/>
            <w:vAlign w:val="center"/>
          </w:tcPr>
          <w:p>
            <w:pPr>
              <w:spacing w:line="360" w:lineRule="auto"/>
              <w:jc w:val="center"/>
              <w:rPr>
                <w:rFonts w:ascii="宋体"/>
                <w:color w:val="auto"/>
                <w:sz w:val="24"/>
              </w:rPr>
            </w:pPr>
          </w:p>
        </w:tc>
        <w:tc>
          <w:tcPr>
            <w:tcW w:w="1115" w:type="dxa"/>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2" w:type="dxa"/>
            <w:vAlign w:val="center"/>
          </w:tcPr>
          <w:p>
            <w:pPr>
              <w:spacing w:line="360" w:lineRule="auto"/>
              <w:jc w:val="center"/>
              <w:rPr>
                <w:rFonts w:ascii="宋体"/>
                <w:color w:val="auto"/>
                <w:sz w:val="24"/>
              </w:rPr>
            </w:pPr>
          </w:p>
        </w:tc>
        <w:tc>
          <w:tcPr>
            <w:tcW w:w="1171" w:type="dxa"/>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rPr>
            </w:pPr>
          </w:p>
        </w:tc>
        <w:tc>
          <w:tcPr>
            <w:tcW w:w="1165" w:type="dxa"/>
            <w:vAlign w:val="center"/>
          </w:tcPr>
          <w:p>
            <w:pPr>
              <w:spacing w:line="360" w:lineRule="auto"/>
              <w:jc w:val="center"/>
              <w:rPr>
                <w:rFonts w:ascii="宋体"/>
                <w:color w:val="auto"/>
                <w:sz w:val="24"/>
              </w:rPr>
            </w:pPr>
          </w:p>
        </w:tc>
        <w:tc>
          <w:tcPr>
            <w:tcW w:w="1115" w:type="dxa"/>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2" w:type="dxa"/>
            <w:vAlign w:val="center"/>
          </w:tcPr>
          <w:p>
            <w:pPr>
              <w:spacing w:line="360" w:lineRule="auto"/>
              <w:jc w:val="center"/>
              <w:rPr>
                <w:rFonts w:ascii="宋体"/>
                <w:color w:val="auto"/>
                <w:sz w:val="24"/>
              </w:rPr>
            </w:pPr>
          </w:p>
        </w:tc>
        <w:tc>
          <w:tcPr>
            <w:tcW w:w="1171" w:type="dxa"/>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rPr>
            </w:pPr>
          </w:p>
        </w:tc>
        <w:tc>
          <w:tcPr>
            <w:tcW w:w="1165" w:type="dxa"/>
            <w:vAlign w:val="center"/>
          </w:tcPr>
          <w:p>
            <w:pPr>
              <w:spacing w:line="360" w:lineRule="auto"/>
              <w:jc w:val="center"/>
              <w:rPr>
                <w:rFonts w:ascii="宋体"/>
                <w:color w:val="auto"/>
                <w:sz w:val="24"/>
              </w:rPr>
            </w:pPr>
          </w:p>
        </w:tc>
        <w:tc>
          <w:tcPr>
            <w:tcW w:w="1115" w:type="dxa"/>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2" w:type="dxa"/>
            <w:vAlign w:val="center"/>
          </w:tcPr>
          <w:p>
            <w:pPr>
              <w:spacing w:line="360" w:lineRule="auto"/>
              <w:jc w:val="center"/>
              <w:rPr>
                <w:rFonts w:ascii="宋体"/>
                <w:color w:val="auto"/>
                <w:sz w:val="24"/>
              </w:rPr>
            </w:pPr>
          </w:p>
        </w:tc>
        <w:tc>
          <w:tcPr>
            <w:tcW w:w="1171" w:type="dxa"/>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color w:val="auto"/>
                <w:sz w:val="24"/>
              </w:rPr>
            </w:pPr>
            <w:r>
              <w:rPr>
                <w:rFonts w:hint="eastAsia" w:ascii="宋体" w:hAnsi="宋体"/>
                <w:color w:val="auto"/>
                <w:sz w:val="24"/>
              </w:rPr>
              <w:t>合计总价</w:t>
            </w:r>
          </w:p>
        </w:tc>
        <w:tc>
          <w:tcPr>
            <w:tcW w:w="8088" w:type="dxa"/>
            <w:gridSpan w:val="7"/>
            <w:vAlign w:val="center"/>
          </w:tcPr>
          <w:p>
            <w:pPr>
              <w:spacing w:line="360" w:lineRule="auto"/>
              <w:rPr>
                <w:rFonts w:ascii="宋体"/>
                <w:color w:val="auto"/>
                <w:sz w:val="24"/>
                <w:u w:val="single"/>
              </w:rPr>
            </w:pPr>
            <w:r>
              <w:rPr>
                <w:rFonts w:hint="eastAsia" w:ascii="宋体" w:hAnsi="宋体"/>
                <w:color w:val="auto"/>
                <w:sz w:val="24"/>
              </w:rPr>
              <w:t>大写：      小写：      元</w:t>
            </w:r>
          </w:p>
        </w:tc>
      </w:tr>
    </w:tbl>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二、合同金额</w:t>
      </w:r>
    </w:p>
    <w:p>
      <w:pPr>
        <w:pStyle w:val="10"/>
        <w:adjustRightInd w:val="0"/>
        <w:snapToGrid w:val="0"/>
        <w:spacing w:before="120" w:after="120" w:line="360" w:lineRule="auto"/>
        <w:ind w:left="48" w:firstLine="658"/>
        <w:rPr>
          <w:rFonts w:hint="eastAsia" w:ascii="宋体" w:hAnsi="宋体" w:eastAsia="宋体" w:cs="Times New Roman"/>
          <w:color w:val="auto"/>
          <w:sz w:val="24"/>
          <w:szCs w:val="24"/>
        </w:rPr>
      </w:pPr>
      <w:r>
        <w:rPr>
          <w:rFonts w:hint="eastAsia" w:ascii="宋体" w:hAnsi="宋体" w:eastAsia="宋体" w:cs="Times New Roman"/>
          <w:color w:val="auto"/>
          <w:sz w:val="24"/>
          <w:szCs w:val="24"/>
        </w:rPr>
        <w:t>2.1 本合同金额为（大写）：________________________元人民币。合同总价款包括货物设计、制造、包装、存储、运输、专用工具、安装、调试、检验、验收、技术培训及相关资料、以及验收合格前至质保期内备品备件发生的所有含有税费用，同时还包含乙方应当提供的售后服务等费用。乙方不得再提出其他费用要求。</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三、技术资料</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3.1</w:t>
      </w:r>
      <w:r>
        <w:rPr>
          <w:rFonts w:hint="eastAsia" w:hAnsi="宋体"/>
          <w:color w:val="auto"/>
          <w:sz w:val="24"/>
          <w:szCs w:val="24"/>
        </w:rPr>
        <w:t>乙方应按采购文件规定的时间向甲方提供使</w:t>
      </w:r>
      <w:r>
        <w:rPr>
          <w:rFonts w:hint="eastAsia" w:ascii="宋体" w:hAnsi="宋体" w:eastAsia="宋体" w:cs="Times New Roman"/>
          <w:color w:val="auto"/>
          <w:sz w:val="24"/>
          <w:szCs w:val="24"/>
        </w:rPr>
        <w:t>用货物的有关技术资料。乙方未按要求随货提交与设备相 关的技术资料的，视为未按约定提交货物，因此产生的不利后果由乙方承担。</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3.2 </w:t>
      </w:r>
      <w:r>
        <w:rPr>
          <w:rFonts w:hint="eastAsia" w:hAnsi="宋体"/>
          <w:color w:val="auto"/>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660"/>
        <w:rPr>
          <w:rFonts w:hAnsi="宋体"/>
          <w:b/>
          <w:color w:val="auto"/>
          <w:sz w:val="24"/>
          <w:szCs w:val="24"/>
        </w:rPr>
      </w:pPr>
      <w:r>
        <w:rPr>
          <w:rFonts w:hint="eastAsia" w:hAnsi="宋体"/>
          <w:b/>
          <w:color w:val="auto"/>
          <w:sz w:val="24"/>
          <w:szCs w:val="24"/>
        </w:rPr>
        <w:t>四、知识产权</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4.1</w:t>
      </w:r>
      <w:r>
        <w:rPr>
          <w:rFonts w:hint="eastAsia" w:hAnsi="宋体"/>
          <w:color w:val="auto"/>
          <w:sz w:val="24"/>
          <w:szCs w:val="24"/>
        </w:rPr>
        <w:t>乙方应保证甲方在使用、接受本合同货物和服务或其任何一部分时不受第三方提出侵犯其专利权、版权、商标权和工业设计权等知识产权的起诉。一旦出现侵权，由乙方负全部责任。</w:t>
      </w:r>
    </w:p>
    <w:p>
      <w:pPr>
        <w:pStyle w:val="10"/>
        <w:adjustRightInd w:val="0"/>
        <w:snapToGrid w:val="0"/>
        <w:spacing w:before="120" w:after="120" w:line="360" w:lineRule="auto"/>
        <w:ind w:firstLine="660"/>
        <w:rPr>
          <w:rFonts w:hAnsi="宋体"/>
          <w:color w:val="auto"/>
          <w:sz w:val="24"/>
          <w:szCs w:val="24"/>
          <w:u w:val="single"/>
        </w:rPr>
      </w:pPr>
      <w:r>
        <w:rPr>
          <w:rFonts w:hint="eastAsia" w:hAnsi="宋体"/>
          <w:b/>
          <w:color w:val="auto"/>
          <w:sz w:val="24"/>
          <w:szCs w:val="24"/>
        </w:rPr>
        <w:t>五、产权担保</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5.1 </w:t>
      </w:r>
      <w:r>
        <w:rPr>
          <w:rFonts w:hint="eastAsia" w:hAnsi="宋体"/>
          <w:color w:val="auto"/>
          <w:sz w:val="24"/>
          <w:szCs w:val="24"/>
        </w:rPr>
        <w:t>乙方保证所交付的货物的所有权完全属于乙方且无任何抵押、查封等产权瑕疵。</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六、履约保证金</w:t>
      </w:r>
    </w:p>
    <w:p>
      <w:pPr>
        <w:keepNext w:val="0"/>
        <w:keepLines w:val="0"/>
        <w:pageBreakBefore w:val="0"/>
        <w:kinsoku/>
        <w:wordWrap/>
        <w:overflowPunct/>
        <w:autoSpaceDE/>
        <w:autoSpaceDN/>
        <w:bidi w:val="0"/>
        <w:snapToGrid w:val="0"/>
        <w:spacing w:line="360" w:lineRule="auto"/>
        <w:ind w:firstLine="720" w:firstLineChars="3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6.1.合同签订前，乙方应向甲方缴纳合同总价10%的履约保证金。</w:t>
      </w:r>
    </w:p>
    <w:p>
      <w:pPr>
        <w:keepNext w:val="0"/>
        <w:keepLines w:val="0"/>
        <w:pageBreakBefore w:val="0"/>
        <w:kinsoku/>
        <w:wordWrap/>
        <w:overflowPunct/>
        <w:autoSpaceDE/>
        <w:autoSpaceDN/>
        <w:bidi w:val="0"/>
        <w:snapToGrid w:val="0"/>
        <w:spacing w:line="360" w:lineRule="auto"/>
        <w:ind w:firstLine="720" w:firstLineChars="3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6.2.履约保证金的有效期为项目通过最终验收合格，项目最终验收合格后20内无息退还履约保证金50%,剩余50%自动转为质量保证金。</w:t>
      </w:r>
    </w:p>
    <w:p>
      <w:pPr>
        <w:keepNext w:val="0"/>
        <w:keepLines w:val="0"/>
        <w:pageBreakBefore w:val="0"/>
        <w:kinsoku/>
        <w:wordWrap/>
        <w:overflowPunct/>
        <w:autoSpaceDE/>
        <w:autoSpaceDN/>
        <w:bidi w:val="0"/>
        <w:snapToGrid w:val="0"/>
        <w:spacing w:line="360" w:lineRule="auto"/>
        <w:ind w:firstLine="720" w:firstLineChars="300"/>
        <w:rPr>
          <w:rFonts w:hint="eastAsia" w:ascii="宋体" w:hAnsi="宋体" w:cs="宋体"/>
          <w:color w:val="auto"/>
          <w:sz w:val="28"/>
          <w:szCs w:val="28"/>
          <w:highlight w:val="yellow"/>
        </w:rPr>
      </w:pPr>
      <w:r>
        <w:rPr>
          <w:rFonts w:hint="eastAsia" w:ascii="宋体" w:hAnsi="宋体" w:eastAsia="宋体" w:cs="Times New Roman"/>
          <w:color w:val="auto"/>
          <w:kern w:val="2"/>
          <w:sz w:val="24"/>
          <w:szCs w:val="24"/>
          <w:lang w:val="en-US" w:eastAsia="zh-CN" w:bidi="ar-SA"/>
        </w:rPr>
        <w:t>6.3.未能按招标文件要求提供产品、服务及验收不合格的将扣除履约保证金。</w:t>
      </w:r>
    </w:p>
    <w:p>
      <w:pPr>
        <w:adjustRightInd w:val="0"/>
        <w:snapToGrid w:val="0"/>
        <w:spacing w:before="156" w:beforeLines="50" w:after="156" w:afterLines="50" w:line="360" w:lineRule="auto"/>
        <w:ind w:firstLine="480"/>
        <w:rPr>
          <w:rFonts w:ascii="宋体" w:cs="Courier New"/>
          <w:b/>
          <w:color w:val="auto"/>
          <w:sz w:val="24"/>
        </w:rPr>
      </w:pPr>
      <w:r>
        <w:rPr>
          <w:rFonts w:hint="eastAsia" w:ascii="宋体" w:hAnsi="宋体" w:cs="Courier New"/>
          <w:b/>
          <w:color w:val="auto"/>
          <w:sz w:val="24"/>
        </w:rPr>
        <w:t>七</w:t>
      </w:r>
      <w:r>
        <w:rPr>
          <w:rFonts w:ascii="宋体" w:cs="Courier New"/>
          <w:b/>
          <w:color w:val="auto"/>
          <w:sz w:val="24"/>
        </w:rPr>
        <w:t>.</w:t>
      </w:r>
      <w:r>
        <w:rPr>
          <w:rFonts w:hint="eastAsia" w:ascii="宋体" w:hAnsi="宋体" w:cs="Courier New"/>
          <w:b/>
          <w:color w:val="auto"/>
          <w:sz w:val="24"/>
        </w:rPr>
        <w:t>转包或分包</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7.1</w:t>
      </w:r>
      <w:r>
        <w:rPr>
          <w:rFonts w:hint="eastAsia" w:hAnsi="宋体"/>
          <w:color w:val="auto"/>
          <w:sz w:val="24"/>
          <w:szCs w:val="24"/>
        </w:rPr>
        <w:t>本合同范围的货物，应由乙方直接供应，不得转让他人供应；</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7.2</w:t>
      </w:r>
      <w:r>
        <w:rPr>
          <w:rFonts w:hint="eastAsia" w:hAnsi="宋体"/>
          <w:color w:val="auto"/>
          <w:sz w:val="24"/>
          <w:szCs w:val="24"/>
        </w:rPr>
        <w:t>除非得到甲方的书面同意，乙方不得部分分包给他人供应。</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7.3</w:t>
      </w:r>
      <w:r>
        <w:rPr>
          <w:rFonts w:hint="eastAsia" w:hAnsi="宋体"/>
          <w:color w:val="auto"/>
          <w:sz w:val="24"/>
          <w:szCs w:val="24"/>
        </w:rPr>
        <w:t>如有转让和未经甲方同意的分包行为，甲方有权给予终止合同。</w:t>
      </w:r>
    </w:p>
    <w:p>
      <w:pPr>
        <w:pStyle w:val="10"/>
        <w:adjustRightInd w:val="0"/>
        <w:snapToGrid w:val="0"/>
        <w:spacing w:before="120" w:after="120" w:line="360" w:lineRule="auto"/>
        <w:ind w:firstLine="660"/>
        <w:rPr>
          <w:rFonts w:hAnsi="宋体"/>
          <w:color w:val="auto"/>
          <w:sz w:val="24"/>
          <w:szCs w:val="24"/>
        </w:rPr>
      </w:pPr>
      <w:r>
        <w:rPr>
          <w:rFonts w:hint="eastAsia" w:hAnsi="宋体"/>
          <w:b/>
          <w:color w:val="auto"/>
          <w:sz w:val="24"/>
          <w:szCs w:val="24"/>
        </w:rPr>
        <w:t>八、质保期</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8.1 </w:t>
      </w:r>
      <w:r>
        <w:rPr>
          <w:rFonts w:hint="eastAsia" w:ascii="宋体" w:hAnsi="宋体" w:cs="宋体"/>
          <w:color w:val="auto"/>
          <w:sz w:val="24"/>
          <w:lang w:val="en-US" w:eastAsia="zh-CN"/>
        </w:rPr>
        <w:t>3</w:t>
      </w:r>
      <w:r>
        <w:rPr>
          <w:rFonts w:hint="eastAsia" w:ascii="宋体" w:hAnsi="宋体" w:cs="宋体"/>
          <w:color w:val="auto"/>
          <w:sz w:val="24"/>
        </w:rPr>
        <w:t>年7*24*4级别原厂免费质保服务</w:t>
      </w:r>
      <w:r>
        <w:rPr>
          <w:rFonts w:hint="eastAsia" w:hAnsi="宋体"/>
          <w:color w:val="auto"/>
          <w:sz w:val="24"/>
          <w:szCs w:val="24"/>
        </w:rPr>
        <w:t>。（自交货验收合格之日起计）</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九、交货期、交货方式及交货地点</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9.1 </w:t>
      </w:r>
      <w:r>
        <w:rPr>
          <w:rFonts w:hint="eastAsia" w:hAnsi="宋体"/>
          <w:color w:val="auto"/>
          <w:sz w:val="24"/>
          <w:szCs w:val="24"/>
        </w:rPr>
        <w:t>交货期：</w:t>
      </w:r>
      <w:r>
        <w:rPr>
          <w:rFonts w:hAnsi="宋体"/>
          <w:color w:val="auto"/>
          <w:sz w:val="24"/>
          <w:szCs w:val="24"/>
        </w:rPr>
        <w:t>_</w:t>
      </w:r>
      <w:r>
        <w:rPr>
          <w:rFonts w:hint="eastAsia" w:hAnsi="宋体"/>
          <w:color w:val="auto"/>
          <w:sz w:val="24"/>
          <w:szCs w:val="24"/>
          <w:u w:val="single"/>
        </w:rPr>
        <w:t>自合同签订</w:t>
      </w:r>
      <w:r>
        <w:rPr>
          <w:rFonts w:hint="eastAsia" w:hAnsi="宋体"/>
          <w:color w:val="auto"/>
          <w:sz w:val="24"/>
          <w:szCs w:val="24"/>
          <w:u w:val="single"/>
          <w:lang w:val="en-US" w:eastAsia="zh-CN"/>
        </w:rPr>
        <w:t>15</w:t>
      </w:r>
      <w:r>
        <w:rPr>
          <w:rFonts w:hint="eastAsia" w:hAnsi="宋体"/>
          <w:color w:val="auto"/>
          <w:sz w:val="24"/>
          <w:szCs w:val="24"/>
          <w:u w:val="single"/>
        </w:rPr>
        <w:t>日内</w:t>
      </w:r>
      <w:r>
        <w:rPr>
          <w:rFonts w:hAnsi="宋体"/>
          <w:color w:val="auto"/>
          <w:sz w:val="24"/>
          <w:szCs w:val="24"/>
        </w:rPr>
        <w:t>_</w:t>
      </w:r>
    </w:p>
    <w:p>
      <w:pPr>
        <w:pStyle w:val="10"/>
        <w:adjustRightInd w:val="0"/>
        <w:snapToGrid w:val="0"/>
        <w:spacing w:before="120" w:after="120" w:line="360" w:lineRule="auto"/>
        <w:ind w:left="48" w:firstLine="658"/>
        <w:rPr>
          <w:rFonts w:hint="eastAsia" w:hAnsi="宋体" w:eastAsia="宋体"/>
          <w:color w:val="auto"/>
          <w:sz w:val="24"/>
          <w:szCs w:val="24"/>
          <w:lang w:eastAsia="zh-CN"/>
        </w:rPr>
      </w:pPr>
      <w:r>
        <w:rPr>
          <w:rFonts w:hAnsi="宋体"/>
          <w:color w:val="auto"/>
          <w:sz w:val="24"/>
          <w:szCs w:val="24"/>
        </w:rPr>
        <w:t xml:space="preserve">9.2 </w:t>
      </w:r>
      <w:r>
        <w:rPr>
          <w:rFonts w:hint="eastAsia" w:hAnsi="宋体"/>
          <w:color w:val="auto"/>
          <w:sz w:val="24"/>
          <w:szCs w:val="24"/>
        </w:rPr>
        <w:t>交货方式：</w:t>
      </w:r>
      <w:r>
        <w:rPr>
          <w:rFonts w:hAnsi="宋体"/>
          <w:color w:val="auto"/>
          <w:sz w:val="24"/>
          <w:szCs w:val="24"/>
        </w:rPr>
        <w:t>_</w:t>
      </w:r>
      <w:r>
        <w:rPr>
          <w:rFonts w:hint="eastAsia" w:ascii="宋体" w:hAnsi="宋体" w:eastAsia="宋体" w:cs="Times New Roman"/>
          <w:color w:val="auto"/>
          <w:sz w:val="24"/>
          <w:szCs w:val="24"/>
          <w:u w:val="single"/>
        </w:rPr>
        <w:t>设备安装到位，并完成相关服务要求</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9.3 </w:t>
      </w:r>
      <w:r>
        <w:rPr>
          <w:rFonts w:hint="eastAsia" w:hAnsi="宋体"/>
          <w:color w:val="auto"/>
          <w:sz w:val="24"/>
          <w:szCs w:val="24"/>
        </w:rPr>
        <w:t>交货地点：用户单位地点或用户指定地点。</w:t>
      </w:r>
    </w:p>
    <w:p>
      <w:pPr>
        <w:pStyle w:val="10"/>
        <w:adjustRightInd w:val="0"/>
        <w:snapToGrid w:val="0"/>
        <w:spacing w:before="120" w:after="120" w:line="360" w:lineRule="auto"/>
        <w:ind w:firstLine="660"/>
        <w:rPr>
          <w:rFonts w:hAnsi="宋体" w:cs="宋体"/>
          <w:b/>
          <w:color w:val="auto"/>
          <w:sz w:val="24"/>
          <w:szCs w:val="24"/>
        </w:rPr>
      </w:pPr>
      <w:r>
        <w:rPr>
          <w:rFonts w:hint="eastAsia" w:hAnsi="宋体"/>
          <w:b/>
          <w:color w:val="auto"/>
          <w:sz w:val="24"/>
          <w:szCs w:val="24"/>
        </w:rPr>
        <w:t>十、</w:t>
      </w:r>
      <w:r>
        <w:rPr>
          <w:rFonts w:hint="eastAsia" w:hAnsi="宋体" w:cs="宋体"/>
          <w:b/>
          <w:color w:val="auto"/>
          <w:sz w:val="24"/>
          <w:szCs w:val="24"/>
        </w:rPr>
        <w:t>付款方式</w:t>
      </w:r>
    </w:p>
    <w:p>
      <w:pPr>
        <w:pStyle w:val="10"/>
        <w:adjustRightInd w:val="0"/>
        <w:snapToGrid w:val="0"/>
        <w:spacing w:before="120" w:after="120" w:line="360" w:lineRule="auto"/>
        <w:ind w:left="48" w:firstLine="658"/>
        <w:rPr>
          <w:rFonts w:hAnsi="宋体"/>
          <w:color w:val="auto"/>
          <w:sz w:val="24"/>
          <w:szCs w:val="24"/>
        </w:rPr>
      </w:pPr>
      <w:r>
        <w:rPr>
          <w:rFonts w:hint="eastAsia" w:hAnsi="宋体"/>
          <w:color w:val="auto"/>
          <w:sz w:val="24"/>
          <w:szCs w:val="24"/>
        </w:rPr>
        <w:t>针对国内供应货物，</w:t>
      </w:r>
      <w:r>
        <w:rPr>
          <w:rFonts w:hint="eastAsia" w:ascii="宋体" w:hAnsi="宋体" w:eastAsia="宋体" w:cs="Times New Roman"/>
          <w:color w:val="auto"/>
          <w:sz w:val="24"/>
          <w:szCs w:val="24"/>
        </w:rPr>
        <w:t>签订合同后，</w:t>
      </w:r>
      <w:r>
        <w:rPr>
          <w:rFonts w:hint="eastAsia" w:hAnsi="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rPr>
        <w:t>日内预付合同金额的50%，全部货物交货并最终验收合格后，凭验收凭证和货物验收合格等文件20内支</w:t>
      </w:r>
      <w:r>
        <w:rPr>
          <w:rFonts w:hint="eastAsia" w:ascii="宋体" w:hAnsi="宋体" w:eastAsia="宋体" w:cs="Times New Roman"/>
          <w:color w:val="auto"/>
          <w:sz w:val="24"/>
          <w:szCs w:val="24"/>
        </w:rPr>
        <w:t>付至合同金额的100%</w:t>
      </w:r>
      <w:r>
        <w:rPr>
          <w:rFonts w:hint="eastAsia" w:ascii="宋体" w:hAnsi="宋体" w:eastAsia="宋体" w:cs="Times New Roman"/>
          <w:color w:val="auto"/>
          <w:sz w:val="24"/>
          <w:szCs w:val="24"/>
          <w:lang w:eastAsia="zh-CN"/>
        </w:rPr>
        <w:t>。</w:t>
      </w:r>
      <w:r>
        <w:rPr>
          <w:rFonts w:hint="eastAsia" w:hAnsi="宋体"/>
          <w:color w:val="auto"/>
          <w:sz w:val="24"/>
          <w:szCs w:val="24"/>
        </w:rPr>
        <w:t>质保期满后，经有关单位确认质量</w:t>
      </w:r>
      <w:r>
        <w:rPr>
          <w:rFonts w:hint="eastAsia" w:hAnsi="宋体"/>
          <w:color w:val="auto"/>
          <w:sz w:val="24"/>
          <w:szCs w:val="24"/>
          <w:lang w:eastAsia="zh-CN"/>
        </w:rPr>
        <w:t>、</w:t>
      </w:r>
      <w:r>
        <w:rPr>
          <w:rFonts w:hint="eastAsia" w:hAnsi="宋体"/>
          <w:color w:val="auto"/>
          <w:sz w:val="24"/>
          <w:szCs w:val="24"/>
          <w:lang w:val="en-US" w:eastAsia="zh-CN"/>
        </w:rPr>
        <w:t>服务</w:t>
      </w:r>
      <w:r>
        <w:rPr>
          <w:rFonts w:hint="eastAsia" w:hAnsi="宋体"/>
          <w:color w:val="auto"/>
          <w:sz w:val="24"/>
          <w:szCs w:val="24"/>
        </w:rPr>
        <w:t>无问题后，一次性无息</w:t>
      </w:r>
      <w:r>
        <w:rPr>
          <w:rFonts w:hint="eastAsia" w:ascii="宋体" w:hAnsi="宋体" w:eastAsia="宋体" w:cs="Times New Roman"/>
          <w:color w:val="auto"/>
          <w:kern w:val="2"/>
          <w:sz w:val="24"/>
          <w:szCs w:val="24"/>
          <w:lang w:val="en-US" w:eastAsia="zh-CN" w:bidi="ar-SA"/>
        </w:rPr>
        <w:t>退还</w:t>
      </w:r>
      <w:r>
        <w:rPr>
          <w:rFonts w:hint="eastAsia" w:hAnsi="宋体"/>
          <w:color w:val="auto"/>
          <w:sz w:val="24"/>
          <w:szCs w:val="24"/>
        </w:rPr>
        <w:t>。具体内容以最终签署的合同约定为准。</w:t>
      </w:r>
    </w:p>
    <w:p>
      <w:pPr>
        <w:pStyle w:val="10"/>
        <w:adjustRightInd w:val="0"/>
        <w:snapToGrid w:val="0"/>
        <w:spacing w:before="120" w:after="120" w:line="360" w:lineRule="auto"/>
        <w:ind w:left="48" w:firstLine="658"/>
        <w:rPr>
          <w:rFonts w:hAnsi="宋体"/>
          <w:color w:val="auto"/>
          <w:sz w:val="24"/>
          <w:szCs w:val="24"/>
        </w:rPr>
      </w:pPr>
      <w:r>
        <w:rPr>
          <w:rFonts w:hint="eastAsia" w:hAnsi="宋体"/>
          <w:color w:val="auto"/>
          <w:sz w:val="24"/>
          <w:szCs w:val="24"/>
        </w:rPr>
        <w:t>针对国外供应货物（进口货物），由外贸公司开具全额发票，外贸合同中采用100%信用证，90%见单即付，10%凭最终用户方签字和盖章的验收报告支付。</w:t>
      </w:r>
    </w:p>
    <w:p>
      <w:pPr>
        <w:pStyle w:val="10"/>
        <w:adjustRightInd w:val="0"/>
        <w:snapToGrid w:val="0"/>
        <w:spacing w:before="120" w:after="120" w:line="360" w:lineRule="auto"/>
        <w:ind w:left="48" w:firstLine="658"/>
        <w:rPr>
          <w:rFonts w:hAnsi="宋体"/>
          <w:color w:val="auto"/>
          <w:sz w:val="24"/>
          <w:szCs w:val="24"/>
        </w:rPr>
      </w:pPr>
      <w:r>
        <w:rPr>
          <w:rFonts w:hint="eastAsia" w:hAnsi="宋体"/>
          <w:b/>
          <w:bCs/>
          <w:color w:val="auto"/>
          <w:sz w:val="24"/>
          <w:szCs w:val="24"/>
        </w:rPr>
        <w:t>十一、税</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11.1</w:t>
      </w:r>
      <w:r>
        <w:rPr>
          <w:rFonts w:hint="eastAsia" w:hAnsi="宋体"/>
          <w:color w:val="auto"/>
          <w:sz w:val="24"/>
          <w:szCs w:val="24"/>
        </w:rPr>
        <w:t>发票要求：针对国内供货的货物，乙方开具合同全额“增值税专用发票”。</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11.2</w:t>
      </w:r>
      <w:r>
        <w:rPr>
          <w:rFonts w:hint="eastAsia" w:hAnsi="宋体"/>
          <w:color w:val="auto"/>
          <w:sz w:val="24"/>
          <w:szCs w:val="24"/>
        </w:rPr>
        <w:t>本合同执行中相关的一切税费均由乙方负担。</w:t>
      </w:r>
    </w:p>
    <w:p>
      <w:pPr>
        <w:pStyle w:val="10"/>
        <w:adjustRightInd w:val="0"/>
        <w:snapToGrid w:val="0"/>
        <w:spacing w:before="120" w:after="120" w:line="360" w:lineRule="auto"/>
        <w:ind w:left="1" w:firstLine="660"/>
        <w:rPr>
          <w:rFonts w:hAnsi="宋体"/>
          <w:color w:val="auto"/>
          <w:sz w:val="24"/>
          <w:szCs w:val="24"/>
        </w:rPr>
      </w:pPr>
      <w:r>
        <w:rPr>
          <w:rFonts w:hint="eastAsia" w:hAnsi="宋体"/>
          <w:b/>
          <w:color w:val="auto"/>
          <w:sz w:val="24"/>
          <w:szCs w:val="24"/>
        </w:rPr>
        <w:t>十二、质量保证及售后服务</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12.1 </w:t>
      </w:r>
      <w:r>
        <w:rPr>
          <w:rFonts w:hint="eastAsia" w:hAnsi="宋体"/>
          <w:color w:val="auto"/>
          <w:sz w:val="24"/>
          <w:szCs w:val="24"/>
        </w:rPr>
        <w:t>乙方应按采购文件规定的货物性能、技术要求、质量标准向甲方提供未经使用的全新产品。</w:t>
      </w:r>
    </w:p>
    <w:p>
      <w:pPr>
        <w:pStyle w:val="10"/>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12.2 </w:t>
      </w:r>
      <w:r>
        <w:rPr>
          <w:rFonts w:hint="eastAsia" w:hAnsi="宋体"/>
          <w:color w:val="auto"/>
          <w:sz w:val="24"/>
          <w:szCs w:val="24"/>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color w:val="auto"/>
          <w:sz w:val="24"/>
        </w:rPr>
      </w:pPr>
      <w:r>
        <w:rPr>
          <w:rFonts w:hint="eastAsia"/>
          <w:color w:val="auto"/>
          <w:sz w:val="24"/>
        </w:rPr>
        <w:t>（</w:t>
      </w:r>
      <w:r>
        <w:rPr>
          <w:color w:val="auto"/>
          <w:sz w:val="24"/>
        </w:rPr>
        <w:t>1</w:t>
      </w:r>
      <w:r>
        <w:rPr>
          <w:rFonts w:hint="eastAsia"/>
          <w:color w:val="auto"/>
          <w:sz w:val="24"/>
        </w:rPr>
        <w:t>）更换：由乙方承担所发生的全部费用。</w:t>
      </w:r>
    </w:p>
    <w:p>
      <w:pPr>
        <w:adjustRightInd w:val="0"/>
        <w:snapToGrid w:val="0"/>
        <w:spacing w:line="360" w:lineRule="auto"/>
        <w:ind w:firstLine="360" w:firstLineChars="150"/>
        <w:rPr>
          <w:color w:val="auto"/>
          <w:sz w:val="24"/>
        </w:rPr>
      </w:pPr>
      <w:r>
        <w:rPr>
          <w:rFonts w:hint="eastAsia"/>
          <w:color w:val="auto"/>
          <w:sz w:val="24"/>
        </w:rPr>
        <w:t>（</w:t>
      </w:r>
      <w:r>
        <w:rPr>
          <w:color w:val="auto"/>
          <w:sz w:val="24"/>
        </w:rPr>
        <w:t>2</w:t>
      </w:r>
      <w:r>
        <w:rPr>
          <w:rFonts w:hint="eastAsia"/>
          <w:color w:val="auto"/>
          <w:sz w:val="24"/>
        </w:rPr>
        <w:t>）贬值处理：由甲乙双方合议定价。</w:t>
      </w:r>
    </w:p>
    <w:p>
      <w:pPr>
        <w:adjustRightInd w:val="0"/>
        <w:snapToGrid w:val="0"/>
        <w:spacing w:line="360" w:lineRule="auto"/>
        <w:ind w:firstLine="360" w:firstLineChars="150"/>
        <w:rPr>
          <w:color w:val="auto"/>
          <w:sz w:val="24"/>
        </w:rPr>
      </w:pPr>
      <w:r>
        <w:rPr>
          <w:rFonts w:hint="eastAsia"/>
          <w:color w:val="auto"/>
          <w:sz w:val="24"/>
        </w:rPr>
        <w:t>（</w:t>
      </w:r>
      <w:r>
        <w:rPr>
          <w:color w:val="auto"/>
          <w:sz w:val="24"/>
        </w:rPr>
        <w:t>3</w:t>
      </w:r>
      <w:r>
        <w:rPr>
          <w:rFonts w:hint="eastAsia"/>
          <w:color w:val="auto"/>
          <w:sz w:val="24"/>
        </w:rPr>
        <w:t>）退货处理：乙方应退还甲方支付的合同款，同时应承担该货物的直接费用（运输、保险、检验、货款利息及银行手续费等）。</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12.3 </w:t>
      </w:r>
      <w:r>
        <w:rPr>
          <w:rFonts w:hint="eastAsia" w:hAnsi="宋体"/>
          <w:color w:val="auto"/>
          <w:sz w:val="24"/>
          <w:szCs w:val="24"/>
        </w:rPr>
        <w:t>如在使用过程中发生质量问题，乙方在接到甲方通知后在小时内到达甲方现场。</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12.4 </w:t>
      </w:r>
      <w:r>
        <w:rPr>
          <w:rFonts w:hint="eastAsia" w:hAnsi="宋体"/>
          <w:color w:val="auto"/>
          <w:sz w:val="24"/>
          <w:szCs w:val="24"/>
        </w:rPr>
        <w:t>在质保期内，乙方应对货物出现的质量及安全问题负责处理解决并承担一切费用。</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12.5</w:t>
      </w:r>
      <w:r>
        <w:rPr>
          <w:rFonts w:hint="eastAsia" w:hAnsi="宋体"/>
          <w:color w:val="auto"/>
          <w:sz w:val="24"/>
          <w:szCs w:val="24"/>
        </w:rPr>
        <w:t>上述的货物免费保修期为</w:t>
      </w:r>
      <w:r>
        <w:rPr>
          <w:rFonts w:hint="eastAsia" w:hAnsi="宋体"/>
          <w:color w:val="auto"/>
          <w:sz w:val="24"/>
          <w:szCs w:val="24"/>
          <w:u w:val="single"/>
        </w:rPr>
        <w:t xml:space="preserve">   </w:t>
      </w:r>
      <w:r>
        <w:rPr>
          <w:rFonts w:hint="eastAsia" w:hAnsi="宋体"/>
          <w:color w:val="auto"/>
          <w:sz w:val="24"/>
          <w:szCs w:val="24"/>
        </w:rPr>
        <w:t>年，因人为因素出现的故障不在免费保修范围内。超过保修期的机器设备，终生维修，维修时只收部件成本费。</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十三、调试和验收</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13.1 </w:t>
      </w:r>
      <w:r>
        <w:rPr>
          <w:rFonts w:hint="eastAsia" w:hAnsi="宋体"/>
          <w:color w:val="auto"/>
          <w:sz w:val="24"/>
          <w:szCs w:val="24"/>
        </w:rPr>
        <w:t>甲方对乙方提交的货物依据采购文件上的技术规格要求和国家有关质量标准进行现场初步验收，外观、说明书符合采购文件技术要求的，给予签收，初步验收不合格的不予签收。</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13.2 </w:t>
      </w:r>
      <w:r>
        <w:rPr>
          <w:rFonts w:hint="eastAsia" w:hAnsi="宋体"/>
          <w:color w:val="auto"/>
          <w:sz w:val="24"/>
          <w:szCs w:val="24"/>
        </w:rPr>
        <w:t>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13.3 </w:t>
      </w:r>
      <w:r>
        <w:rPr>
          <w:rFonts w:hint="eastAsia" w:hAnsi="宋体"/>
          <w:color w:val="auto"/>
          <w:sz w:val="24"/>
          <w:szCs w:val="24"/>
        </w:rPr>
        <w:t>甲方对乙方提供的货物在使用前进行调试时，乙方需负责安装并培训甲方的使用操作人员，并协助甲方一起调试，直到符合技术要求，甲方才做最终验收。</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13.4 </w:t>
      </w:r>
      <w:r>
        <w:rPr>
          <w:rFonts w:hint="eastAsia" w:hAnsi="宋体"/>
          <w:color w:val="auto"/>
          <w:sz w:val="24"/>
          <w:szCs w:val="24"/>
        </w:rPr>
        <w:t>对技术复杂的货物，甲方可请国家认可的专业检测机构参与初步验收及最终验收，并由其出具质量检测报告。</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13.5 </w:t>
      </w:r>
      <w:r>
        <w:rPr>
          <w:rFonts w:hint="eastAsia" w:hAnsi="宋体"/>
          <w:color w:val="auto"/>
          <w:sz w:val="24"/>
          <w:szCs w:val="24"/>
        </w:rPr>
        <w:t>验收时乙方必须在现场，验收完毕后作出验收结果报告，验收报告须经甲方最终用户签字和部门盖章。</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十四、货物包装、发运及运输</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14.1 </w:t>
      </w:r>
      <w:r>
        <w:rPr>
          <w:rFonts w:hint="eastAsia" w:hAnsi="宋体"/>
          <w:color w:val="auto"/>
          <w:sz w:val="24"/>
          <w:szCs w:val="24"/>
        </w:rPr>
        <w:t>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14.2 </w:t>
      </w:r>
      <w:r>
        <w:rPr>
          <w:rFonts w:hint="eastAsia" w:hAnsi="宋体"/>
          <w:color w:val="auto"/>
          <w:sz w:val="24"/>
          <w:szCs w:val="24"/>
        </w:rPr>
        <w:t>使用说明书、质量检验证明书、随配附件和工具以及清单一并附于货物内。</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14.3 </w:t>
      </w:r>
      <w:r>
        <w:rPr>
          <w:rFonts w:hint="eastAsia" w:hAnsi="宋体"/>
          <w:color w:val="auto"/>
          <w:sz w:val="24"/>
          <w:szCs w:val="24"/>
        </w:rPr>
        <w:t>乙方在货物发运手续办理完毕后</w:t>
      </w:r>
      <w:r>
        <w:rPr>
          <w:rFonts w:hAnsi="宋体"/>
          <w:color w:val="auto"/>
          <w:sz w:val="24"/>
          <w:szCs w:val="24"/>
        </w:rPr>
        <w:t>24</w:t>
      </w:r>
      <w:r>
        <w:rPr>
          <w:rFonts w:hint="eastAsia" w:hAnsi="宋体"/>
          <w:color w:val="auto"/>
          <w:sz w:val="24"/>
          <w:szCs w:val="24"/>
        </w:rPr>
        <w:t>小时内或货到甲方</w:t>
      </w:r>
      <w:r>
        <w:rPr>
          <w:rFonts w:hAnsi="宋体"/>
          <w:color w:val="auto"/>
          <w:sz w:val="24"/>
          <w:szCs w:val="24"/>
        </w:rPr>
        <w:t>48</w:t>
      </w:r>
      <w:r>
        <w:rPr>
          <w:rFonts w:hint="eastAsia" w:hAnsi="宋体"/>
          <w:color w:val="auto"/>
          <w:sz w:val="24"/>
          <w:szCs w:val="24"/>
        </w:rPr>
        <w:t>小时前通知甲方，以准备接货。</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14.4 </w:t>
      </w:r>
      <w:r>
        <w:rPr>
          <w:rFonts w:hint="eastAsia" w:hAnsi="宋体"/>
          <w:color w:val="auto"/>
          <w:sz w:val="24"/>
          <w:szCs w:val="24"/>
        </w:rPr>
        <w:t>货物在交付甲方前发生的风险均由乙方负责。</w:t>
      </w:r>
    </w:p>
    <w:p>
      <w:pPr>
        <w:pStyle w:val="10"/>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14.5 </w:t>
      </w:r>
      <w:r>
        <w:rPr>
          <w:rFonts w:hint="eastAsia" w:hAnsi="宋体"/>
          <w:color w:val="auto"/>
          <w:sz w:val="24"/>
          <w:szCs w:val="24"/>
        </w:rPr>
        <w:t>货物在规定的交付期限内由乙方送达甲方指定的地点并经甲方验收合格视为交付，乙方同时需通知甲方货物已送达。</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十五、违约责任</w:t>
      </w:r>
    </w:p>
    <w:p>
      <w:pPr>
        <w:pStyle w:val="10"/>
        <w:adjustRightInd w:val="0"/>
        <w:snapToGrid w:val="0"/>
        <w:spacing w:before="120" w:after="120" w:line="360" w:lineRule="auto"/>
        <w:ind w:left="1" w:firstLine="658"/>
        <w:rPr>
          <w:rFonts w:hAnsi="宋体"/>
          <w:color w:val="auto"/>
          <w:sz w:val="24"/>
          <w:szCs w:val="24"/>
        </w:rPr>
      </w:pPr>
      <w:r>
        <w:rPr>
          <w:rFonts w:hAnsi="宋体"/>
          <w:color w:val="auto"/>
          <w:sz w:val="24"/>
          <w:szCs w:val="24"/>
        </w:rPr>
        <w:t>15.1</w:t>
      </w:r>
      <w:r>
        <w:rPr>
          <w:rFonts w:hint="eastAsia" w:hAnsi="宋体"/>
          <w:color w:val="auto"/>
          <w:sz w:val="24"/>
          <w:szCs w:val="24"/>
        </w:rPr>
        <w:t>乙方逾期交付货物的，乙方应按逾期交货总额每日千分之六向甲方支付违约金，由甲方从待付货款中扣除。逾期超过约定日期</w:t>
      </w:r>
      <w:r>
        <w:rPr>
          <w:rFonts w:hAnsi="宋体"/>
          <w:color w:val="auto"/>
          <w:sz w:val="24"/>
          <w:szCs w:val="24"/>
        </w:rPr>
        <w:t>10</w:t>
      </w:r>
      <w:r>
        <w:rPr>
          <w:rFonts w:hint="eastAsia" w:hAnsi="宋体"/>
          <w:color w:val="auto"/>
          <w:sz w:val="24"/>
          <w:szCs w:val="24"/>
        </w:rPr>
        <w:t>个工作日不能交货的，甲方可解除本合同。乙方因逾期交货或因其他违约行为导致甲方解除合同的，乙方应向甲方支付合同总值</w:t>
      </w:r>
      <w:r>
        <w:rPr>
          <w:rFonts w:hAnsi="宋体"/>
          <w:color w:val="auto"/>
          <w:sz w:val="24"/>
          <w:szCs w:val="24"/>
        </w:rPr>
        <w:t>5%</w:t>
      </w:r>
      <w:r>
        <w:rPr>
          <w:rFonts w:hint="eastAsia" w:hAnsi="宋体"/>
          <w:color w:val="auto"/>
          <w:sz w:val="24"/>
          <w:szCs w:val="24"/>
        </w:rPr>
        <w:t>的违约金，如造成甲方损失超过违约金的，超出部分由乙方继续承担赔偿责任。</w:t>
      </w:r>
    </w:p>
    <w:p>
      <w:pPr>
        <w:pStyle w:val="10"/>
        <w:adjustRightInd w:val="0"/>
        <w:snapToGrid w:val="0"/>
        <w:spacing w:before="120" w:after="120" w:line="360" w:lineRule="auto"/>
        <w:ind w:firstLine="658"/>
        <w:rPr>
          <w:rFonts w:hAnsi="宋体"/>
          <w:color w:val="auto"/>
          <w:sz w:val="24"/>
          <w:szCs w:val="24"/>
        </w:rPr>
      </w:pPr>
      <w:r>
        <w:rPr>
          <w:rFonts w:hAnsi="宋体"/>
          <w:color w:val="auto"/>
          <w:sz w:val="24"/>
          <w:szCs w:val="24"/>
        </w:rPr>
        <w:t>15.2</w:t>
      </w:r>
      <w:r>
        <w:rPr>
          <w:rFonts w:hint="eastAsia" w:hAnsi="宋体"/>
          <w:color w:val="auto"/>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十六、廉政条款</w:t>
      </w:r>
    </w:p>
    <w:p>
      <w:pPr>
        <w:pStyle w:val="10"/>
        <w:adjustRightInd w:val="0"/>
        <w:snapToGrid w:val="0"/>
        <w:spacing w:before="120" w:after="120" w:line="360" w:lineRule="auto"/>
        <w:ind w:left="1" w:firstLine="658"/>
        <w:rPr>
          <w:rFonts w:hAnsi="宋体"/>
          <w:color w:val="auto"/>
          <w:sz w:val="24"/>
          <w:szCs w:val="24"/>
        </w:rPr>
      </w:pPr>
      <w:r>
        <w:rPr>
          <w:rFonts w:hAnsi="宋体"/>
          <w:color w:val="auto"/>
          <w:sz w:val="24"/>
          <w:szCs w:val="24"/>
        </w:rPr>
        <w:t>16.1</w:t>
      </w:r>
      <w:r>
        <w:rPr>
          <w:rFonts w:hint="eastAsia" w:hAnsi="宋体"/>
          <w:color w:val="auto"/>
          <w:sz w:val="24"/>
          <w:szCs w:val="24"/>
        </w:rPr>
        <w:t>乙方必须支持甲方的廉政建设，不得向甲方相关人员提供金钱和物质上的好处，一经发现处以合同金额</w:t>
      </w:r>
      <w:r>
        <w:rPr>
          <w:rFonts w:hAnsi="宋体"/>
          <w:color w:val="auto"/>
          <w:sz w:val="24"/>
          <w:szCs w:val="24"/>
        </w:rPr>
        <w:t>20%</w:t>
      </w:r>
      <w:r>
        <w:rPr>
          <w:rFonts w:hint="eastAsia" w:hAnsi="宋体"/>
          <w:color w:val="auto"/>
          <w:sz w:val="24"/>
          <w:szCs w:val="24"/>
        </w:rPr>
        <w:t>的罚款。</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十七、不可抗力事件处理</w:t>
      </w:r>
    </w:p>
    <w:p>
      <w:pPr>
        <w:pStyle w:val="10"/>
        <w:adjustRightInd w:val="0"/>
        <w:snapToGrid w:val="0"/>
        <w:spacing w:before="120" w:after="120" w:line="360" w:lineRule="auto"/>
        <w:ind w:left="1" w:firstLine="658"/>
        <w:rPr>
          <w:rFonts w:hAnsi="宋体"/>
          <w:color w:val="auto"/>
          <w:sz w:val="24"/>
          <w:szCs w:val="24"/>
        </w:rPr>
      </w:pPr>
      <w:r>
        <w:rPr>
          <w:rFonts w:hAnsi="宋体"/>
          <w:color w:val="auto"/>
          <w:sz w:val="24"/>
          <w:szCs w:val="24"/>
        </w:rPr>
        <w:t xml:space="preserve">17.1 </w:t>
      </w:r>
      <w:r>
        <w:rPr>
          <w:rFonts w:hint="eastAsia" w:hAnsi="宋体"/>
          <w:color w:val="auto"/>
          <w:sz w:val="24"/>
          <w:szCs w:val="24"/>
        </w:rPr>
        <w:t>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658"/>
        <w:rPr>
          <w:rFonts w:hAnsi="宋体"/>
          <w:color w:val="auto"/>
          <w:sz w:val="24"/>
          <w:szCs w:val="24"/>
        </w:rPr>
      </w:pPr>
      <w:r>
        <w:rPr>
          <w:rFonts w:hAnsi="宋体"/>
          <w:color w:val="auto"/>
          <w:sz w:val="24"/>
          <w:szCs w:val="24"/>
        </w:rPr>
        <w:t xml:space="preserve">17.2 </w:t>
      </w:r>
      <w:r>
        <w:rPr>
          <w:rFonts w:hint="eastAsia" w:hAnsi="宋体"/>
          <w:color w:val="auto"/>
          <w:sz w:val="24"/>
          <w:szCs w:val="24"/>
        </w:rPr>
        <w:t>不可抗力事件发生后，应立即通知对方，并寄送有关权威机构出具的证明。</w:t>
      </w:r>
    </w:p>
    <w:p>
      <w:pPr>
        <w:pStyle w:val="10"/>
        <w:adjustRightInd w:val="0"/>
        <w:snapToGrid w:val="0"/>
        <w:spacing w:before="120" w:after="120" w:line="360" w:lineRule="auto"/>
        <w:ind w:firstLine="658"/>
        <w:rPr>
          <w:rFonts w:hAnsi="宋体"/>
          <w:color w:val="auto"/>
          <w:sz w:val="24"/>
          <w:szCs w:val="24"/>
        </w:rPr>
      </w:pPr>
      <w:r>
        <w:rPr>
          <w:rFonts w:hAnsi="宋体"/>
          <w:color w:val="auto"/>
          <w:sz w:val="24"/>
          <w:szCs w:val="24"/>
        </w:rPr>
        <w:t xml:space="preserve">17.3 </w:t>
      </w:r>
      <w:r>
        <w:rPr>
          <w:rFonts w:hint="eastAsia" w:hAnsi="宋体"/>
          <w:color w:val="auto"/>
          <w:sz w:val="24"/>
          <w:szCs w:val="24"/>
        </w:rPr>
        <w:t>不可抗力事件延续</w:t>
      </w:r>
      <w:r>
        <w:rPr>
          <w:rFonts w:hAnsi="宋体"/>
          <w:color w:val="auto"/>
          <w:sz w:val="24"/>
          <w:szCs w:val="24"/>
        </w:rPr>
        <w:t>30</w:t>
      </w:r>
      <w:r>
        <w:rPr>
          <w:rFonts w:hint="eastAsia" w:hAnsi="宋体"/>
          <w:color w:val="auto"/>
          <w:sz w:val="24"/>
          <w:szCs w:val="24"/>
        </w:rPr>
        <w:t>天以上，双方应通过友好协商，确定是否继续履行合同。</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十八、诉讼</w:t>
      </w:r>
    </w:p>
    <w:p>
      <w:pPr>
        <w:pStyle w:val="10"/>
        <w:adjustRightInd w:val="0"/>
        <w:snapToGrid w:val="0"/>
        <w:spacing w:before="120" w:after="120" w:line="360" w:lineRule="auto"/>
        <w:ind w:left="1" w:firstLine="658"/>
        <w:rPr>
          <w:rFonts w:hAnsi="宋体"/>
          <w:color w:val="auto"/>
          <w:sz w:val="24"/>
          <w:szCs w:val="24"/>
        </w:rPr>
      </w:pPr>
      <w:r>
        <w:rPr>
          <w:rFonts w:hAnsi="宋体"/>
          <w:color w:val="auto"/>
          <w:sz w:val="24"/>
          <w:szCs w:val="24"/>
        </w:rPr>
        <w:t xml:space="preserve">18.1 </w:t>
      </w:r>
      <w:r>
        <w:rPr>
          <w:rFonts w:hint="eastAsia" w:hAnsi="宋体"/>
          <w:color w:val="auto"/>
          <w:sz w:val="24"/>
          <w:szCs w:val="24"/>
        </w:rPr>
        <w:t>双方在执行合同中所发生的一切争议，应通过协商解决。如协商不成，可向合同签订地法院起诉，合同签订地在此约定为南京市。</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十九、合同文件的优先顺序</w:t>
      </w:r>
      <w:r>
        <w:rPr>
          <w:rFonts w:hint="eastAsia" w:hAnsi="宋体"/>
          <w:color w:val="auto"/>
          <w:sz w:val="24"/>
          <w:szCs w:val="24"/>
        </w:rPr>
        <w:t xml:space="preserve"> </w:t>
      </w:r>
    </w:p>
    <w:p>
      <w:pPr>
        <w:pStyle w:val="10"/>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 xml:space="preserve">组成合同的各项文件应互相解释，互为说明。除专用合同条款另有约定外，解释合同文件的优先顺序如下： </w:t>
      </w:r>
    </w:p>
    <w:p>
      <w:pPr>
        <w:pStyle w:val="10"/>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 xml:space="preserve">（1）合同协议书； </w:t>
      </w:r>
    </w:p>
    <w:p>
      <w:pPr>
        <w:pStyle w:val="10"/>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（2）中标通知书；</w:t>
      </w:r>
    </w:p>
    <w:p>
      <w:pPr>
        <w:pStyle w:val="10"/>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（3）招标文件；</w:t>
      </w:r>
    </w:p>
    <w:p>
      <w:pPr>
        <w:pStyle w:val="10"/>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（4）投标函及其附录（如果有）；</w:t>
      </w:r>
    </w:p>
    <w:p>
      <w:pPr>
        <w:pStyle w:val="10"/>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（5）专用合同条款及其附件；</w:t>
      </w:r>
    </w:p>
    <w:p>
      <w:pPr>
        <w:pStyle w:val="10"/>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 xml:space="preserve">（6）通用合同条款； </w:t>
      </w:r>
    </w:p>
    <w:p>
      <w:pPr>
        <w:pStyle w:val="10"/>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（7）技术标准和要求；</w:t>
      </w:r>
    </w:p>
    <w:p>
      <w:pPr>
        <w:pStyle w:val="10"/>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（8）其他合同文件。</w:t>
      </w:r>
    </w:p>
    <w:p>
      <w:pPr>
        <w:pStyle w:val="10"/>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二十、合同生效及其它</w:t>
      </w:r>
    </w:p>
    <w:p>
      <w:pPr>
        <w:pStyle w:val="10"/>
        <w:adjustRightInd w:val="0"/>
        <w:snapToGrid w:val="0"/>
        <w:spacing w:before="120" w:after="120" w:line="360" w:lineRule="auto"/>
        <w:ind w:firstLine="658"/>
        <w:rPr>
          <w:rFonts w:hAnsi="宋体"/>
          <w:color w:val="auto"/>
          <w:sz w:val="24"/>
          <w:szCs w:val="24"/>
        </w:rPr>
      </w:pPr>
      <w:r>
        <w:rPr>
          <w:rFonts w:hAnsi="宋体"/>
          <w:color w:val="auto"/>
          <w:sz w:val="24"/>
          <w:szCs w:val="24"/>
        </w:rPr>
        <w:t xml:space="preserve">19.1 </w:t>
      </w:r>
      <w:r>
        <w:rPr>
          <w:rFonts w:hint="eastAsia" w:hAnsi="宋体"/>
          <w:color w:val="auto"/>
          <w:sz w:val="24"/>
          <w:szCs w:val="24"/>
        </w:rPr>
        <w:t>合同经双方法定代表人或授权委托代表人签字并加盖单位公章后生效。</w:t>
      </w:r>
    </w:p>
    <w:p>
      <w:pPr>
        <w:pStyle w:val="10"/>
        <w:adjustRightInd w:val="0"/>
        <w:snapToGrid w:val="0"/>
        <w:spacing w:before="120" w:after="120" w:line="360" w:lineRule="auto"/>
        <w:ind w:firstLine="658"/>
        <w:rPr>
          <w:rFonts w:hAnsi="宋体"/>
          <w:color w:val="auto"/>
          <w:sz w:val="24"/>
          <w:szCs w:val="24"/>
        </w:rPr>
      </w:pPr>
      <w:r>
        <w:rPr>
          <w:rFonts w:hAnsi="宋体"/>
          <w:color w:val="auto"/>
          <w:sz w:val="24"/>
          <w:szCs w:val="24"/>
        </w:rPr>
        <w:t>19.2</w:t>
      </w:r>
      <w:r>
        <w:rPr>
          <w:rFonts w:hint="eastAsia" w:hAnsi="宋体"/>
          <w:color w:val="auto"/>
          <w:sz w:val="24"/>
          <w:szCs w:val="24"/>
        </w:rPr>
        <w:t>本合同未尽事宜，遵照《合同法》有关条文执行。</w:t>
      </w:r>
    </w:p>
    <w:p>
      <w:pPr>
        <w:pStyle w:val="10"/>
        <w:adjustRightInd w:val="0"/>
        <w:snapToGrid w:val="0"/>
        <w:spacing w:before="120" w:after="120" w:line="360" w:lineRule="auto"/>
        <w:ind w:left="1" w:firstLine="658"/>
        <w:rPr>
          <w:rFonts w:hAnsi="宋体"/>
          <w:color w:val="auto"/>
          <w:sz w:val="24"/>
          <w:szCs w:val="24"/>
        </w:rPr>
      </w:pPr>
      <w:r>
        <w:rPr>
          <w:rFonts w:hAnsi="宋体"/>
          <w:color w:val="auto"/>
          <w:sz w:val="24"/>
          <w:szCs w:val="24"/>
        </w:rPr>
        <w:t xml:space="preserve">19.3 </w:t>
      </w:r>
      <w:r>
        <w:rPr>
          <w:rFonts w:hint="eastAsia" w:hAnsi="宋体"/>
          <w:color w:val="auto"/>
          <w:sz w:val="24"/>
          <w:szCs w:val="24"/>
        </w:rPr>
        <w:t>本合同正本一式四份，具有同等法律效力，甲方、乙方各执两份。</w:t>
      </w:r>
    </w:p>
    <w:p>
      <w:pPr>
        <w:pStyle w:val="10"/>
        <w:adjustRightInd w:val="0"/>
        <w:snapToGrid w:val="0"/>
        <w:spacing w:before="120" w:after="120" w:line="360" w:lineRule="auto"/>
        <w:ind w:left="420" w:leftChars="200" w:firstLine="240" w:firstLineChars="100"/>
        <w:rPr>
          <w:rFonts w:hAnsi="宋体"/>
          <w:color w:val="auto"/>
          <w:sz w:val="24"/>
          <w:szCs w:val="24"/>
        </w:rPr>
      </w:pPr>
      <w:r>
        <w:rPr>
          <w:rFonts w:hint="eastAsia" w:hAnsi="宋体"/>
          <w:color w:val="auto"/>
          <w:sz w:val="24"/>
          <w:szCs w:val="24"/>
        </w:rPr>
        <w:t>甲方：乙方：</w:t>
      </w:r>
    </w:p>
    <w:p>
      <w:pPr>
        <w:pStyle w:val="10"/>
        <w:adjustRightInd w:val="0"/>
        <w:snapToGrid w:val="0"/>
        <w:spacing w:before="120" w:after="120" w:line="360" w:lineRule="auto"/>
        <w:ind w:firstLine="658"/>
        <w:rPr>
          <w:rFonts w:hAnsi="宋体"/>
          <w:color w:val="auto"/>
          <w:sz w:val="24"/>
          <w:szCs w:val="24"/>
        </w:rPr>
      </w:pPr>
      <w:r>
        <w:rPr>
          <w:rFonts w:hint="eastAsia" w:hAnsi="宋体"/>
          <w:color w:val="auto"/>
          <w:sz w:val="24"/>
          <w:szCs w:val="24"/>
        </w:rPr>
        <w:t>地址：地址：</w:t>
      </w:r>
    </w:p>
    <w:p>
      <w:pPr>
        <w:pStyle w:val="10"/>
        <w:adjustRightInd w:val="0"/>
        <w:snapToGrid w:val="0"/>
        <w:spacing w:before="120" w:after="120" w:line="360" w:lineRule="auto"/>
        <w:ind w:firstLine="658"/>
        <w:rPr>
          <w:rFonts w:hAnsi="宋体"/>
          <w:color w:val="auto"/>
          <w:sz w:val="24"/>
          <w:szCs w:val="24"/>
        </w:rPr>
      </w:pPr>
      <w:r>
        <w:rPr>
          <w:rFonts w:hint="eastAsia" w:hAnsi="宋体"/>
          <w:color w:val="auto"/>
          <w:sz w:val="24"/>
          <w:szCs w:val="24"/>
        </w:rPr>
        <w:t>法定代表人或授权代表：</w:t>
      </w:r>
    </w:p>
    <w:p>
      <w:pPr>
        <w:pStyle w:val="10"/>
        <w:adjustRightInd w:val="0"/>
        <w:snapToGrid w:val="0"/>
        <w:spacing w:before="120" w:after="120" w:line="360" w:lineRule="auto"/>
        <w:ind w:firstLine="658"/>
        <w:rPr>
          <w:rFonts w:hAnsi="宋体"/>
          <w:color w:val="auto"/>
          <w:sz w:val="24"/>
          <w:szCs w:val="24"/>
        </w:rPr>
      </w:pPr>
      <w:r>
        <w:rPr>
          <w:rFonts w:hint="eastAsia" w:hAnsi="宋体"/>
          <w:color w:val="auto"/>
          <w:sz w:val="24"/>
          <w:szCs w:val="24"/>
        </w:rPr>
        <w:t>项目负责人</w:t>
      </w:r>
      <w:r>
        <w:rPr>
          <w:rFonts w:hAnsi="宋体"/>
          <w:color w:val="auto"/>
          <w:sz w:val="24"/>
          <w:szCs w:val="24"/>
        </w:rPr>
        <w:t xml:space="preserve">:                              </w:t>
      </w:r>
      <w:r>
        <w:rPr>
          <w:rFonts w:hint="eastAsia" w:hAnsi="宋体"/>
          <w:color w:val="auto"/>
          <w:sz w:val="24"/>
          <w:szCs w:val="24"/>
        </w:rPr>
        <w:t>法定代表人或授权代表：</w:t>
      </w:r>
    </w:p>
    <w:p>
      <w:pPr>
        <w:pStyle w:val="10"/>
        <w:adjustRightInd w:val="0"/>
        <w:snapToGrid w:val="0"/>
        <w:spacing w:before="120" w:after="120" w:line="360" w:lineRule="auto"/>
        <w:ind w:firstLine="658"/>
        <w:rPr>
          <w:rFonts w:hAnsi="宋体"/>
          <w:color w:val="auto"/>
          <w:sz w:val="24"/>
          <w:szCs w:val="24"/>
        </w:rPr>
      </w:pPr>
      <w:r>
        <w:rPr>
          <w:rFonts w:hint="eastAsia" w:hAnsi="宋体"/>
          <w:color w:val="auto"/>
          <w:sz w:val="24"/>
          <w:szCs w:val="24"/>
        </w:rPr>
        <w:t>项目联系人</w:t>
      </w:r>
      <w:r>
        <w:rPr>
          <w:rFonts w:hAnsi="宋体"/>
          <w:color w:val="auto"/>
          <w:sz w:val="24"/>
          <w:szCs w:val="24"/>
        </w:rPr>
        <w:t>:</w:t>
      </w:r>
    </w:p>
    <w:p>
      <w:pPr>
        <w:pStyle w:val="10"/>
        <w:adjustRightInd w:val="0"/>
        <w:snapToGrid w:val="0"/>
        <w:spacing w:before="120" w:after="120" w:line="360" w:lineRule="auto"/>
        <w:ind w:firstLine="658"/>
        <w:rPr>
          <w:rFonts w:hAnsi="宋体"/>
          <w:color w:val="auto"/>
          <w:sz w:val="24"/>
          <w:szCs w:val="24"/>
        </w:rPr>
      </w:pPr>
      <w:r>
        <w:rPr>
          <w:rFonts w:hint="eastAsia" w:hAnsi="宋体"/>
          <w:color w:val="auto"/>
          <w:sz w:val="24"/>
          <w:szCs w:val="24"/>
        </w:rPr>
        <w:t>联系电话：联系电话：</w:t>
      </w:r>
    </w:p>
    <w:p>
      <w:pPr>
        <w:pStyle w:val="10"/>
        <w:adjustRightInd w:val="0"/>
        <w:snapToGrid w:val="0"/>
        <w:spacing w:before="120" w:after="120" w:line="360" w:lineRule="auto"/>
        <w:ind w:firstLine="767"/>
        <w:rPr>
          <w:rFonts w:cs="仿宋"/>
          <w:color w:val="auto"/>
          <w:sz w:val="24"/>
        </w:rPr>
      </w:pPr>
      <w:r>
        <w:rPr>
          <w:rFonts w:hint="eastAsia"/>
          <w:color w:val="auto"/>
          <w:sz w:val="28"/>
          <w:szCs w:val="28"/>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mp;quo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26</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20</w:t>
    </w:r>
    <w:r>
      <w:rPr>
        <w:rFonts w:hint="eastAsia" w:ascii="宋体" w:hAnsi="宋体" w:cs="宋体"/>
        <w:b/>
        <w:bCs/>
        <w:kern w:val="0"/>
        <w:sz w:val="15"/>
        <w:szCs w:val="15"/>
      </w:rPr>
      <w:t>年</w:t>
    </w:r>
    <w:r>
      <w:rPr>
        <w:rFonts w:hint="eastAsia" w:ascii="宋体" w:hAnsi="宋体" w:cs="宋体"/>
        <w:b/>
        <w:bCs/>
        <w:kern w:val="0"/>
        <w:sz w:val="15"/>
        <w:szCs w:val="15"/>
        <w:lang w:val="en-US" w:eastAsia="zh-CN"/>
      </w:rPr>
      <w:t>竞争性磋商</w:t>
    </w:r>
    <w:r>
      <w:rPr>
        <w:rFonts w:hint="eastAsia" w:ascii="宋体" w:hAnsi="宋体" w:cs="宋体"/>
        <w:b/>
        <w:bCs/>
        <w:kern w:val="0"/>
        <w:sz w:val="15"/>
        <w:szCs w:val="15"/>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CB1D70"/>
    <w:multiLevelType w:val="singleLevel"/>
    <w:tmpl w:val="F2CB1D70"/>
    <w:lvl w:ilvl="0" w:tentative="0">
      <w:start w:val="6"/>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76"/>
    <w:rsid w:val="0000144D"/>
    <w:rsid w:val="00002B2D"/>
    <w:rsid w:val="00003305"/>
    <w:rsid w:val="00003606"/>
    <w:rsid w:val="000054CA"/>
    <w:rsid w:val="0000571D"/>
    <w:rsid w:val="00010850"/>
    <w:rsid w:val="00022B05"/>
    <w:rsid w:val="00022F5C"/>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2EE"/>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1BC3"/>
    <w:rsid w:val="000A31F8"/>
    <w:rsid w:val="000A3663"/>
    <w:rsid w:val="000A387C"/>
    <w:rsid w:val="000A5005"/>
    <w:rsid w:val="000A5280"/>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0429"/>
    <w:rsid w:val="000D26E7"/>
    <w:rsid w:val="000D2CE1"/>
    <w:rsid w:val="000D4B6E"/>
    <w:rsid w:val="000D641A"/>
    <w:rsid w:val="000D6B77"/>
    <w:rsid w:val="000D7AE0"/>
    <w:rsid w:val="000D7B55"/>
    <w:rsid w:val="000E1026"/>
    <w:rsid w:val="000E12A9"/>
    <w:rsid w:val="000E37D8"/>
    <w:rsid w:val="000E490E"/>
    <w:rsid w:val="000E4DD3"/>
    <w:rsid w:val="000E5726"/>
    <w:rsid w:val="000E62D8"/>
    <w:rsid w:val="000E794A"/>
    <w:rsid w:val="000E7B1F"/>
    <w:rsid w:val="000E7E73"/>
    <w:rsid w:val="000F0A5B"/>
    <w:rsid w:val="000F1E4F"/>
    <w:rsid w:val="000F2EDC"/>
    <w:rsid w:val="000F33C3"/>
    <w:rsid w:val="000F7C08"/>
    <w:rsid w:val="001004DF"/>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1989"/>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4C84"/>
    <w:rsid w:val="00175E61"/>
    <w:rsid w:val="00175F6E"/>
    <w:rsid w:val="00176B5A"/>
    <w:rsid w:val="001770B9"/>
    <w:rsid w:val="00177690"/>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D7DA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4DD5"/>
    <w:rsid w:val="00205651"/>
    <w:rsid w:val="00205E83"/>
    <w:rsid w:val="0021174A"/>
    <w:rsid w:val="002122A3"/>
    <w:rsid w:val="00213000"/>
    <w:rsid w:val="00213651"/>
    <w:rsid w:val="00214487"/>
    <w:rsid w:val="002144B5"/>
    <w:rsid w:val="00214EF4"/>
    <w:rsid w:val="00216088"/>
    <w:rsid w:val="00217A6D"/>
    <w:rsid w:val="00217C84"/>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2C2E"/>
    <w:rsid w:val="002430D7"/>
    <w:rsid w:val="00243632"/>
    <w:rsid w:val="00243E27"/>
    <w:rsid w:val="002442C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65897"/>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6B0"/>
    <w:rsid w:val="002F4FFA"/>
    <w:rsid w:val="002F6BAD"/>
    <w:rsid w:val="002F7098"/>
    <w:rsid w:val="00300D50"/>
    <w:rsid w:val="00302F70"/>
    <w:rsid w:val="003034BA"/>
    <w:rsid w:val="00303EFB"/>
    <w:rsid w:val="003048F1"/>
    <w:rsid w:val="0030541B"/>
    <w:rsid w:val="00306916"/>
    <w:rsid w:val="003072D4"/>
    <w:rsid w:val="003076E5"/>
    <w:rsid w:val="00307F8E"/>
    <w:rsid w:val="00310DA0"/>
    <w:rsid w:val="00311CFE"/>
    <w:rsid w:val="00312896"/>
    <w:rsid w:val="00312CD2"/>
    <w:rsid w:val="00313155"/>
    <w:rsid w:val="003147BD"/>
    <w:rsid w:val="00315643"/>
    <w:rsid w:val="003163EE"/>
    <w:rsid w:val="00316AC1"/>
    <w:rsid w:val="00316C54"/>
    <w:rsid w:val="0032353A"/>
    <w:rsid w:val="00323939"/>
    <w:rsid w:val="00324588"/>
    <w:rsid w:val="00325728"/>
    <w:rsid w:val="00326B86"/>
    <w:rsid w:val="00327C2C"/>
    <w:rsid w:val="00330268"/>
    <w:rsid w:val="00331A66"/>
    <w:rsid w:val="00331B2F"/>
    <w:rsid w:val="0033365E"/>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1B63"/>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5500"/>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3F54"/>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4C76"/>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65A5"/>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D7CBD"/>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68B"/>
    <w:rsid w:val="00500A8B"/>
    <w:rsid w:val="00501CD3"/>
    <w:rsid w:val="00501F82"/>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27E4D"/>
    <w:rsid w:val="0053025C"/>
    <w:rsid w:val="005308B5"/>
    <w:rsid w:val="00531000"/>
    <w:rsid w:val="0053114F"/>
    <w:rsid w:val="00533377"/>
    <w:rsid w:val="00533F15"/>
    <w:rsid w:val="00537018"/>
    <w:rsid w:val="00540A3F"/>
    <w:rsid w:val="00541B97"/>
    <w:rsid w:val="00544BF1"/>
    <w:rsid w:val="00545C49"/>
    <w:rsid w:val="00545F0F"/>
    <w:rsid w:val="00546198"/>
    <w:rsid w:val="00551573"/>
    <w:rsid w:val="00552143"/>
    <w:rsid w:val="00552355"/>
    <w:rsid w:val="005526FE"/>
    <w:rsid w:val="00552BE2"/>
    <w:rsid w:val="00552BF3"/>
    <w:rsid w:val="005554FE"/>
    <w:rsid w:val="005558B7"/>
    <w:rsid w:val="00556203"/>
    <w:rsid w:val="0055742D"/>
    <w:rsid w:val="00557D90"/>
    <w:rsid w:val="005623B6"/>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34E9"/>
    <w:rsid w:val="005947A6"/>
    <w:rsid w:val="00595AEA"/>
    <w:rsid w:val="0059609E"/>
    <w:rsid w:val="00596240"/>
    <w:rsid w:val="00596D34"/>
    <w:rsid w:val="005A2886"/>
    <w:rsid w:val="005A34CC"/>
    <w:rsid w:val="005A5A31"/>
    <w:rsid w:val="005A6067"/>
    <w:rsid w:val="005A7BB0"/>
    <w:rsid w:val="005A7D4D"/>
    <w:rsid w:val="005B023B"/>
    <w:rsid w:val="005B1DD8"/>
    <w:rsid w:val="005B2D13"/>
    <w:rsid w:val="005B3222"/>
    <w:rsid w:val="005B379E"/>
    <w:rsid w:val="005B4619"/>
    <w:rsid w:val="005B4CA2"/>
    <w:rsid w:val="005B4E50"/>
    <w:rsid w:val="005C241F"/>
    <w:rsid w:val="005C32F7"/>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869"/>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5461"/>
    <w:rsid w:val="00636729"/>
    <w:rsid w:val="00637990"/>
    <w:rsid w:val="00637BFF"/>
    <w:rsid w:val="00637FE2"/>
    <w:rsid w:val="00641CAF"/>
    <w:rsid w:val="00644945"/>
    <w:rsid w:val="00646947"/>
    <w:rsid w:val="00650D24"/>
    <w:rsid w:val="006519C1"/>
    <w:rsid w:val="00651CDE"/>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54D"/>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59B"/>
    <w:rsid w:val="006B5A78"/>
    <w:rsid w:val="006B7503"/>
    <w:rsid w:val="006B79D8"/>
    <w:rsid w:val="006C0C1E"/>
    <w:rsid w:val="006C18D2"/>
    <w:rsid w:val="006C1C3C"/>
    <w:rsid w:val="006C22D3"/>
    <w:rsid w:val="006C3882"/>
    <w:rsid w:val="006C3F64"/>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0318"/>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38B"/>
    <w:rsid w:val="00830E6E"/>
    <w:rsid w:val="0083138A"/>
    <w:rsid w:val="00832DCC"/>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6E3"/>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3E08"/>
    <w:rsid w:val="008A41EB"/>
    <w:rsid w:val="008A61B8"/>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534"/>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07F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3C83"/>
    <w:rsid w:val="00A04DA3"/>
    <w:rsid w:val="00A05C2D"/>
    <w:rsid w:val="00A06278"/>
    <w:rsid w:val="00A06EF1"/>
    <w:rsid w:val="00A0716D"/>
    <w:rsid w:val="00A07274"/>
    <w:rsid w:val="00A0733D"/>
    <w:rsid w:val="00A10A7C"/>
    <w:rsid w:val="00A13AEC"/>
    <w:rsid w:val="00A14EA1"/>
    <w:rsid w:val="00A14EED"/>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1201"/>
    <w:rsid w:val="00A72112"/>
    <w:rsid w:val="00A725AD"/>
    <w:rsid w:val="00A72F6A"/>
    <w:rsid w:val="00A73A48"/>
    <w:rsid w:val="00A75943"/>
    <w:rsid w:val="00A7625D"/>
    <w:rsid w:val="00A76D06"/>
    <w:rsid w:val="00A77FD7"/>
    <w:rsid w:val="00A81FBB"/>
    <w:rsid w:val="00A821D0"/>
    <w:rsid w:val="00A82AD6"/>
    <w:rsid w:val="00A82EAB"/>
    <w:rsid w:val="00A834B1"/>
    <w:rsid w:val="00A845BC"/>
    <w:rsid w:val="00A84F36"/>
    <w:rsid w:val="00A84F44"/>
    <w:rsid w:val="00A8501D"/>
    <w:rsid w:val="00A85215"/>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31D"/>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A7745"/>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22A9"/>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776"/>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B84"/>
    <w:rsid w:val="00CB4EC5"/>
    <w:rsid w:val="00CB52A4"/>
    <w:rsid w:val="00CB6349"/>
    <w:rsid w:val="00CB7BA1"/>
    <w:rsid w:val="00CC0309"/>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01F"/>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BB3"/>
    <w:rsid w:val="00D21DC1"/>
    <w:rsid w:val="00D22A42"/>
    <w:rsid w:val="00D22D88"/>
    <w:rsid w:val="00D243D3"/>
    <w:rsid w:val="00D26C2F"/>
    <w:rsid w:val="00D336D3"/>
    <w:rsid w:val="00D34FD3"/>
    <w:rsid w:val="00D35E01"/>
    <w:rsid w:val="00D36556"/>
    <w:rsid w:val="00D377DE"/>
    <w:rsid w:val="00D417FD"/>
    <w:rsid w:val="00D41D0F"/>
    <w:rsid w:val="00D42660"/>
    <w:rsid w:val="00D42D9F"/>
    <w:rsid w:val="00D43E03"/>
    <w:rsid w:val="00D44C57"/>
    <w:rsid w:val="00D44D36"/>
    <w:rsid w:val="00D45438"/>
    <w:rsid w:val="00D4679F"/>
    <w:rsid w:val="00D46B14"/>
    <w:rsid w:val="00D46CB7"/>
    <w:rsid w:val="00D46EC5"/>
    <w:rsid w:val="00D4767F"/>
    <w:rsid w:val="00D47B2F"/>
    <w:rsid w:val="00D47F12"/>
    <w:rsid w:val="00D519C5"/>
    <w:rsid w:val="00D51ECF"/>
    <w:rsid w:val="00D52A58"/>
    <w:rsid w:val="00D53ED9"/>
    <w:rsid w:val="00D55F57"/>
    <w:rsid w:val="00D564CA"/>
    <w:rsid w:val="00D6024C"/>
    <w:rsid w:val="00D616B8"/>
    <w:rsid w:val="00D61761"/>
    <w:rsid w:val="00D63C15"/>
    <w:rsid w:val="00D64928"/>
    <w:rsid w:val="00D70444"/>
    <w:rsid w:val="00D75CED"/>
    <w:rsid w:val="00D760BA"/>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2E6F"/>
    <w:rsid w:val="00DD6B1F"/>
    <w:rsid w:val="00DD759C"/>
    <w:rsid w:val="00DD799E"/>
    <w:rsid w:val="00DE02BB"/>
    <w:rsid w:val="00DE0AE4"/>
    <w:rsid w:val="00DE0BB8"/>
    <w:rsid w:val="00DE3399"/>
    <w:rsid w:val="00DE41DB"/>
    <w:rsid w:val="00DF27E2"/>
    <w:rsid w:val="00DF2896"/>
    <w:rsid w:val="00DF2A4F"/>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63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857"/>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4FAA"/>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6F47"/>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16F9"/>
    <w:rsid w:val="00F32107"/>
    <w:rsid w:val="00F3271C"/>
    <w:rsid w:val="00F32826"/>
    <w:rsid w:val="00F337DD"/>
    <w:rsid w:val="00F33E31"/>
    <w:rsid w:val="00F415FB"/>
    <w:rsid w:val="00F42490"/>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0FF6630"/>
    <w:rsid w:val="01BF302B"/>
    <w:rsid w:val="02150962"/>
    <w:rsid w:val="02376915"/>
    <w:rsid w:val="024C6F21"/>
    <w:rsid w:val="04640F3E"/>
    <w:rsid w:val="05A413C1"/>
    <w:rsid w:val="05B517B2"/>
    <w:rsid w:val="0666393D"/>
    <w:rsid w:val="07552D63"/>
    <w:rsid w:val="078D73D6"/>
    <w:rsid w:val="07C812CB"/>
    <w:rsid w:val="07D33D16"/>
    <w:rsid w:val="090E6BB3"/>
    <w:rsid w:val="09637941"/>
    <w:rsid w:val="09C24510"/>
    <w:rsid w:val="0B675B31"/>
    <w:rsid w:val="0BDF51D7"/>
    <w:rsid w:val="0C3615C8"/>
    <w:rsid w:val="0C4861BD"/>
    <w:rsid w:val="0C5C37D5"/>
    <w:rsid w:val="0C7E7AA1"/>
    <w:rsid w:val="0CFE3A2E"/>
    <w:rsid w:val="0D705A28"/>
    <w:rsid w:val="0D873213"/>
    <w:rsid w:val="0D9425DE"/>
    <w:rsid w:val="0D99361C"/>
    <w:rsid w:val="0E643EC4"/>
    <w:rsid w:val="107D340A"/>
    <w:rsid w:val="10EB4170"/>
    <w:rsid w:val="10F05838"/>
    <w:rsid w:val="11241A78"/>
    <w:rsid w:val="113C24CA"/>
    <w:rsid w:val="119D0D41"/>
    <w:rsid w:val="11D57EAE"/>
    <w:rsid w:val="120249B5"/>
    <w:rsid w:val="12162C3B"/>
    <w:rsid w:val="12342190"/>
    <w:rsid w:val="12DB4094"/>
    <w:rsid w:val="130F1D58"/>
    <w:rsid w:val="143427C9"/>
    <w:rsid w:val="146723C1"/>
    <w:rsid w:val="14896182"/>
    <w:rsid w:val="155010AB"/>
    <w:rsid w:val="15572C10"/>
    <w:rsid w:val="1584594C"/>
    <w:rsid w:val="15907301"/>
    <w:rsid w:val="15A069B5"/>
    <w:rsid w:val="15A90346"/>
    <w:rsid w:val="15B24E31"/>
    <w:rsid w:val="1606751B"/>
    <w:rsid w:val="16AA09BD"/>
    <w:rsid w:val="16D974F6"/>
    <w:rsid w:val="176D6569"/>
    <w:rsid w:val="17833DE3"/>
    <w:rsid w:val="195B0417"/>
    <w:rsid w:val="19775424"/>
    <w:rsid w:val="199E48B0"/>
    <w:rsid w:val="1A241EC0"/>
    <w:rsid w:val="1AE96A89"/>
    <w:rsid w:val="1B861F09"/>
    <w:rsid w:val="1C121D57"/>
    <w:rsid w:val="1C4A137C"/>
    <w:rsid w:val="1E235795"/>
    <w:rsid w:val="1F11313D"/>
    <w:rsid w:val="1F956998"/>
    <w:rsid w:val="20872986"/>
    <w:rsid w:val="20DC5C02"/>
    <w:rsid w:val="20DE7ECC"/>
    <w:rsid w:val="20FE711F"/>
    <w:rsid w:val="210646F7"/>
    <w:rsid w:val="212A41EA"/>
    <w:rsid w:val="21561EAC"/>
    <w:rsid w:val="21A70E96"/>
    <w:rsid w:val="225E4DAF"/>
    <w:rsid w:val="22891E2D"/>
    <w:rsid w:val="22D33607"/>
    <w:rsid w:val="23CC0B8E"/>
    <w:rsid w:val="23FD2509"/>
    <w:rsid w:val="24243361"/>
    <w:rsid w:val="243943F8"/>
    <w:rsid w:val="24E05430"/>
    <w:rsid w:val="254C2884"/>
    <w:rsid w:val="267A7579"/>
    <w:rsid w:val="26BC0AAA"/>
    <w:rsid w:val="27961F1E"/>
    <w:rsid w:val="27AD7C03"/>
    <w:rsid w:val="28540F1C"/>
    <w:rsid w:val="28831BFB"/>
    <w:rsid w:val="28C46277"/>
    <w:rsid w:val="29062B05"/>
    <w:rsid w:val="29127A38"/>
    <w:rsid w:val="296023AC"/>
    <w:rsid w:val="296A2315"/>
    <w:rsid w:val="2A6278C5"/>
    <w:rsid w:val="2AB43BC5"/>
    <w:rsid w:val="2B556F15"/>
    <w:rsid w:val="2B5917AA"/>
    <w:rsid w:val="2B7F4BC3"/>
    <w:rsid w:val="2CE81BAF"/>
    <w:rsid w:val="2D936D4F"/>
    <w:rsid w:val="2D973C96"/>
    <w:rsid w:val="2DAC05D8"/>
    <w:rsid w:val="2E726843"/>
    <w:rsid w:val="2E7A39A0"/>
    <w:rsid w:val="2EDC02FF"/>
    <w:rsid w:val="2EE11580"/>
    <w:rsid w:val="2EEC5388"/>
    <w:rsid w:val="3172033E"/>
    <w:rsid w:val="31752AF2"/>
    <w:rsid w:val="3227588C"/>
    <w:rsid w:val="325F6558"/>
    <w:rsid w:val="331653E5"/>
    <w:rsid w:val="334711D7"/>
    <w:rsid w:val="3464343B"/>
    <w:rsid w:val="351529A9"/>
    <w:rsid w:val="355A74E9"/>
    <w:rsid w:val="35FD1F7A"/>
    <w:rsid w:val="366D672C"/>
    <w:rsid w:val="36E3150F"/>
    <w:rsid w:val="384A4707"/>
    <w:rsid w:val="385D644E"/>
    <w:rsid w:val="38F33167"/>
    <w:rsid w:val="39C83C69"/>
    <w:rsid w:val="39CE5E1D"/>
    <w:rsid w:val="3A9701E9"/>
    <w:rsid w:val="3B4244C5"/>
    <w:rsid w:val="3BA954AE"/>
    <w:rsid w:val="3BAD33D7"/>
    <w:rsid w:val="3C003247"/>
    <w:rsid w:val="3C8E6F2D"/>
    <w:rsid w:val="3D6145DC"/>
    <w:rsid w:val="3DD22621"/>
    <w:rsid w:val="3E5E0082"/>
    <w:rsid w:val="3E601689"/>
    <w:rsid w:val="3EDB4EA4"/>
    <w:rsid w:val="3FC31914"/>
    <w:rsid w:val="3FE8030D"/>
    <w:rsid w:val="400C0BDA"/>
    <w:rsid w:val="405D6728"/>
    <w:rsid w:val="41110191"/>
    <w:rsid w:val="414A37BB"/>
    <w:rsid w:val="416D7FDC"/>
    <w:rsid w:val="41B45A04"/>
    <w:rsid w:val="41C97A15"/>
    <w:rsid w:val="42643A73"/>
    <w:rsid w:val="42AA1012"/>
    <w:rsid w:val="42CF4181"/>
    <w:rsid w:val="43624CB7"/>
    <w:rsid w:val="43FB66E3"/>
    <w:rsid w:val="44DC7F4B"/>
    <w:rsid w:val="45651876"/>
    <w:rsid w:val="46AA377D"/>
    <w:rsid w:val="47AC5B72"/>
    <w:rsid w:val="481422E3"/>
    <w:rsid w:val="49363676"/>
    <w:rsid w:val="49D47D5A"/>
    <w:rsid w:val="49EB017E"/>
    <w:rsid w:val="49F62026"/>
    <w:rsid w:val="4A4734D0"/>
    <w:rsid w:val="4A4B48E3"/>
    <w:rsid w:val="4AA72C4E"/>
    <w:rsid w:val="4B5137BF"/>
    <w:rsid w:val="4C3A19D5"/>
    <w:rsid w:val="4CAD34F8"/>
    <w:rsid w:val="4CDF601B"/>
    <w:rsid w:val="4CE84606"/>
    <w:rsid w:val="4DA86B45"/>
    <w:rsid w:val="4E3720DD"/>
    <w:rsid w:val="4F482170"/>
    <w:rsid w:val="4F8A16A0"/>
    <w:rsid w:val="4FAF38AA"/>
    <w:rsid w:val="506B0B49"/>
    <w:rsid w:val="51497070"/>
    <w:rsid w:val="51E025FE"/>
    <w:rsid w:val="520F3D38"/>
    <w:rsid w:val="52FD675A"/>
    <w:rsid w:val="532B7AD5"/>
    <w:rsid w:val="534E6505"/>
    <w:rsid w:val="53D80FA7"/>
    <w:rsid w:val="542D758B"/>
    <w:rsid w:val="546656A2"/>
    <w:rsid w:val="5473349C"/>
    <w:rsid w:val="54B6223B"/>
    <w:rsid w:val="54E15A0F"/>
    <w:rsid w:val="55344B23"/>
    <w:rsid w:val="56732DC5"/>
    <w:rsid w:val="56C21B98"/>
    <w:rsid w:val="57360F05"/>
    <w:rsid w:val="581F495D"/>
    <w:rsid w:val="58461DB1"/>
    <w:rsid w:val="58484116"/>
    <w:rsid w:val="58DA78C0"/>
    <w:rsid w:val="58E017CC"/>
    <w:rsid w:val="5AC859BF"/>
    <w:rsid w:val="5C0F2072"/>
    <w:rsid w:val="5CFC1D50"/>
    <w:rsid w:val="5DE86DF6"/>
    <w:rsid w:val="5E0120A6"/>
    <w:rsid w:val="5E0B6765"/>
    <w:rsid w:val="5E6C25B6"/>
    <w:rsid w:val="5E84123F"/>
    <w:rsid w:val="5EB419D7"/>
    <w:rsid w:val="5F0028BB"/>
    <w:rsid w:val="5F9764C2"/>
    <w:rsid w:val="60011CB6"/>
    <w:rsid w:val="607E0927"/>
    <w:rsid w:val="60AC04DC"/>
    <w:rsid w:val="60D968DA"/>
    <w:rsid w:val="60F41422"/>
    <w:rsid w:val="61603D00"/>
    <w:rsid w:val="619D5BCC"/>
    <w:rsid w:val="6233128F"/>
    <w:rsid w:val="62635DDC"/>
    <w:rsid w:val="62FE3555"/>
    <w:rsid w:val="63D7368B"/>
    <w:rsid w:val="644E5FB1"/>
    <w:rsid w:val="651C2951"/>
    <w:rsid w:val="655625FC"/>
    <w:rsid w:val="657A0549"/>
    <w:rsid w:val="665A104A"/>
    <w:rsid w:val="68A603CF"/>
    <w:rsid w:val="694A6C52"/>
    <w:rsid w:val="69E27B06"/>
    <w:rsid w:val="69EA623B"/>
    <w:rsid w:val="6A0F3694"/>
    <w:rsid w:val="6A3D478D"/>
    <w:rsid w:val="6A5445FC"/>
    <w:rsid w:val="6A5C1E75"/>
    <w:rsid w:val="6AB76CFB"/>
    <w:rsid w:val="6BC1702A"/>
    <w:rsid w:val="6BE81E3F"/>
    <w:rsid w:val="6C282248"/>
    <w:rsid w:val="6C6F4627"/>
    <w:rsid w:val="6CBD55AC"/>
    <w:rsid w:val="6DE636A7"/>
    <w:rsid w:val="6DE86594"/>
    <w:rsid w:val="6F0473DE"/>
    <w:rsid w:val="7014698D"/>
    <w:rsid w:val="726F541D"/>
    <w:rsid w:val="734F69EE"/>
    <w:rsid w:val="73607DE9"/>
    <w:rsid w:val="73711235"/>
    <w:rsid w:val="753E278B"/>
    <w:rsid w:val="75BE6EB5"/>
    <w:rsid w:val="76A00BAA"/>
    <w:rsid w:val="76F90F5C"/>
    <w:rsid w:val="77C13917"/>
    <w:rsid w:val="7815375E"/>
    <w:rsid w:val="790D6252"/>
    <w:rsid w:val="7A46498A"/>
    <w:rsid w:val="7AE40810"/>
    <w:rsid w:val="7B0749C7"/>
    <w:rsid w:val="7BBB6C68"/>
    <w:rsid w:val="7BEE41E0"/>
    <w:rsid w:val="7C574749"/>
    <w:rsid w:val="7C8E2CF6"/>
    <w:rsid w:val="7C967B8B"/>
    <w:rsid w:val="7CD015B7"/>
    <w:rsid w:val="7E1F491A"/>
    <w:rsid w:val="7E4931C0"/>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9"/>
    <w:pPr>
      <w:keepNext/>
      <w:keepLines/>
      <w:spacing w:before="340" w:after="330" w:line="578" w:lineRule="auto"/>
      <w:outlineLvl w:val="0"/>
    </w:pPr>
    <w:rPr>
      <w:b/>
      <w:kern w:val="44"/>
      <w:sz w:val="44"/>
      <w:szCs w:val="20"/>
    </w:rPr>
  </w:style>
  <w:style w:type="paragraph" w:styleId="2">
    <w:name w:val="heading 2"/>
    <w:basedOn w:val="1"/>
    <w:next w:val="1"/>
    <w:qFormat/>
    <w:uiPriority w:val="0"/>
    <w:pPr>
      <w:keepNext/>
      <w:keepLines/>
      <w:spacing w:before="60" w:after="60" w:line="360" w:lineRule="auto"/>
      <w:jc w:val="center"/>
      <w:outlineLvl w:val="1"/>
    </w:pPr>
    <w:rPr>
      <w:rFonts w:ascii="宋体" w:hAnsi="宋体"/>
      <w:b/>
      <w:bCs/>
      <w:sz w:val="28"/>
      <w:szCs w:val="32"/>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locked/>
    <w:uiPriority w:val="0"/>
    <w:pPr>
      <w:ind w:firstLine="420"/>
    </w:pPr>
  </w:style>
  <w:style w:type="paragraph" w:styleId="5">
    <w:name w:val="annotation text"/>
    <w:basedOn w:val="1"/>
    <w:link w:val="25"/>
    <w:qFormat/>
    <w:uiPriority w:val="99"/>
    <w:pPr>
      <w:jc w:val="left"/>
    </w:pPr>
    <w:rPr>
      <w:sz w:val="24"/>
      <w:szCs w:val="20"/>
    </w:rPr>
  </w:style>
  <w:style w:type="paragraph" w:styleId="6">
    <w:name w:val="Body Text"/>
    <w:basedOn w:val="1"/>
    <w:link w:val="44"/>
    <w:unhideWhenUsed/>
    <w:qFormat/>
    <w:locked/>
    <w:uiPriority w:val="99"/>
    <w:pPr>
      <w:spacing w:after="120"/>
    </w:pPr>
  </w:style>
  <w:style w:type="paragraph" w:styleId="7">
    <w:name w:val="Body Text Indent"/>
    <w:basedOn w:val="1"/>
    <w:link w:val="26"/>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7"/>
    <w:qFormat/>
    <w:uiPriority w:val="0"/>
    <w:rPr>
      <w:rFonts w:ascii="宋体" w:hAnsi="Courier New"/>
      <w:szCs w:val="20"/>
    </w:rPr>
  </w:style>
  <w:style w:type="paragraph" w:styleId="11">
    <w:name w:val="Date"/>
    <w:basedOn w:val="1"/>
    <w:next w:val="1"/>
    <w:link w:val="28"/>
    <w:qFormat/>
    <w:uiPriority w:val="99"/>
    <w:pPr>
      <w:ind w:left="100" w:leftChars="2500"/>
    </w:pPr>
    <w:rPr>
      <w:sz w:val="24"/>
      <w:szCs w:val="20"/>
    </w:rPr>
  </w:style>
  <w:style w:type="paragraph" w:styleId="12">
    <w:name w:val="Balloon Text"/>
    <w:basedOn w:val="1"/>
    <w:link w:val="29"/>
    <w:semiHidden/>
    <w:qFormat/>
    <w:uiPriority w:val="99"/>
    <w:rPr>
      <w:sz w:val="18"/>
      <w:szCs w:val="18"/>
    </w:rPr>
  </w:style>
  <w:style w:type="paragraph" w:styleId="13">
    <w:name w:val="footer"/>
    <w:basedOn w:val="1"/>
    <w:link w:val="30"/>
    <w:qFormat/>
    <w:uiPriority w:val="99"/>
    <w:pPr>
      <w:tabs>
        <w:tab w:val="center" w:pos="4153"/>
        <w:tab w:val="right" w:pos="8306"/>
      </w:tabs>
      <w:snapToGrid w:val="0"/>
      <w:jc w:val="left"/>
    </w:pPr>
    <w:rPr>
      <w:kern w:val="0"/>
      <w:sz w:val="18"/>
      <w:szCs w:val="18"/>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2"/>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99"/>
    <w:rPr>
      <w:rFonts w:cs="Times New Roman"/>
      <w:color w:val="0563C1"/>
      <w:u w:val="single"/>
    </w:rPr>
  </w:style>
  <w:style w:type="character" w:styleId="21">
    <w:name w:val="annotation reference"/>
    <w:basedOn w:val="19"/>
    <w:qFormat/>
    <w:uiPriority w:val="99"/>
    <w:rPr>
      <w:rFonts w:cs="Times New Roman"/>
      <w:sz w:val="21"/>
    </w:rPr>
  </w:style>
  <w:style w:type="paragraph" w:customStyle="1" w:styleId="22">
    <w:name w:val="标题 5（有编号）（绿盟科技）"/>
    <w:basedOn w:val="1"/>
    <w:next w:val="2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4">
    <w:name w:val="标题 1 字符"/>
    <w:link w:val="3"/>
    <w:qFormat/>
    <w:locked/>
    <w:uiPriority w:val="99"/>
    <w:rPr>
      <w:rFonts w:cs="Times New Roman"/>
      <w:b/>
      <w:kern w:val="44"/>
      <w:sz w:val="44"/>
    </w:rPr>
  </w:style>
  <w:style w:type="character" w:customStyle="1" w:styleId="25">
    <w:name w:val="批注文字 字符"/>
    <w:link w:val="5"/>
    <w:qFormat/>
    <w:locked/>
    <w:uiPriority w:val="99"/>
    <w:rPr>
      <w:rFonts w:cs="Times New Roman"/>
      <w:kern w:val="2"/>
      <w:sz w:val="24"/>
    </w:rPr>
  </w:style>
  <w:style w:type="character" w:customStyle="1" w:styleId="26">
    <w:name w:val="正文文本缩进 字符"/>
    <w:link w:val="7"/>
    <w:qFormat/>
    <w:locked/>
    <w:uiPriority w:val="99"/>
    <w:rPr>
      <w:rFonts w:ascii="等线" w:eastAsia="等线" w:cs="Times New Roman"/>
      <w:kern w:val="2"/>
      <w:sz w:val="22"/>
    </w:rPr>
  </w:style>
  <w:style w:type="character" w:customStyle="1" w:styleId="27">
    <w:name w:val="纯文本 字符"/>
    <w:link w:val="10"/>
    <w:qFormat/>
    <w:locked/>
    <w:uiPriority w:val="0"/>
    <w:rPr>
      <w:rFonts w:ascii="宋体" w:hAnsi="Courier New" w:cs="Times New Roman"/>
      <w:kern w:val="2"/>
      <w:sz w:val="21"/>
    </w:rPr>
  </w:style>
  <w:style w:type="character" w:customStyle="1" w:styleId="28">
    <w:name w:val="日期 字符"/>
    <w:link w:val="11"/>
    <w:qFormat/>
    <w:locked/>
    <w:uiPriority w:val="99"/>
    <w:rPr>
      <w:rFonts w:cs="Times New Roman"/>
      <w:kern w:val="2"/>
      <w:sz w:val="24"/>
    </w:rPr>
  </w:style>
  <w:style w:type="character" w:customStyle="1" w:styleId="29">
    <w:name w:val="批注框文本 字符"/>
    <w:basedOn w:val="19"/>
    <w:link w:val="12"/>
    <w:semiHidden/>
    <w:qFormat/>
    <w:uiPriority w:val="99"/>
    <w:rPr>
      <w:rFonts w:ascii="Times New Roman" w:hAnsi="Times New Roman" w:eastAsia="宋体" w:cs="Times New Roman"/>
      <w:kern w:val="2"/>
      <w:sz w:val="18"/>
      <w:szCs w:val="18"/>
    </w:rPr>
  </w:style>
  <w:style w:type="character" w:customStyle="1" w:styleId="30">
    <w:name w:val="页脚 字符"/>
    <w:link w:val="13"/>
    <w:semiHidden/>
    <w:qFormat/>
    <w:locked/>
    <w:uiPriority w:val="99"/>
    <w:rPr>
      <w:rFonts w:cs="Times New Roman"/>
      <w:sz w:val="18"/>
      <w:szCs w:val="18"/>
    </w:rPr>
  </w:style>
  <w:style w:type="character" w:customStyle="1" w:styleId="31">
    <w:name w:val="页眉 字符"/>
    <w:link w:val="14"/>
    <w:qFormat/>
    <w:locked/>
    <w:uiPriority w:val="99"/>
    <w:rPr>
      <w:rFonts w:cs="Times New Roman"/>
      <w:kern w:val="2"/>
      <w:sz w:val="18"/>
    </w:rPr>
  </w:style>
  <w:style w:type="character" w:customStyle="1" w:styleId="32">
    <w:name w:val="批注主题 字符"/>
    <w:link w:val="16"/>
    <w:qFormat/>
    <w:locked/>
    <w:uiPriority w:val="99"/>
    <w:rPr>
      <w:rFonts w:cs="Times New Roman"/>
      <w:b/>
      <w:kern w:val="2"/>
      <w:sz w:val="24"/>
    </w:rPr>
  </w:style>
  <w:style w:type="paragraph" w:customStyle="1" w:styleId="33">
    <w:name w:val="Char"/>
    <w:basedOn w:val="1"/>
    <w:qFormat/>
    <w:uiPriority w:val="99"/>
    <w:pPr>
      <w:tabs>
        <w:tab w:val="left" w:pos="360"/>
      </w:tabs>
    </w:pPr>
    <w:rPr>
      <w:sz w:val="24"/>
    </w:rPr>
  </w:style>
  <w:style w:type="character" w:customStyle="1" w:styleId="34">
    <w:name w:val="列表段落 字符"/>
    <w:link w:val="35"/>
    <w:qFormat/>
    <w:locked/>
    <w:uiPriority w:val="0"/>
  </w:style>
  <w:style w:type="paragraph" w:styleId="35">
    <w:name w:val="List Paragraph"/>
    <w:basedOn w:val="1"/>
    <w:link w:val="34"/>
    <w:qFormat/>
    <w:uiPriority w:val="34"/>
    <w:pPr>
      <w:widowControl/>
      <w:ind w:firstLine="420" w:firstLineChars="200"/>
      <w:jc w:val="left"/>
    </w:pPr>
    <w:rPr>
      <w:kern w:val="0"/>
      <w:sz w:val="20"/>
      <w:szCs w:val="20"/>
    </w:rPr>
  </w:style>
  <w:style w:type="table" w:customStyle="1" w:styleId="36">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Placeholder Text"/>
    <w:semiHidden/>
    <w:qFormat/>
    <w:uiPriority w:val="99"/>
    <w:rPr>
      <w:rFonts w:cs="Times New Roman"/>
      <w:color w:val="808080"/>
    </w:rPr>
  </w:style>
  <w:style w:type="paragraph" w:customStyle="1" w:styleId="38">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9">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0">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1">
    <w:name w:val="列出段落2"/>
    <w:basedOn w:val="1"/>
    <w:qFormat/>
    <w:uiPriority w:val="99"/>
    <w:pPr>
      <w:ind w:firstLine="420" w:firstLineChars="200"/>
    </w:pPr>
    <w:rPr>
      <w:rFonts w:ascii="Calibri" w:hAnsi="Calibri"/>
      <w:szCs w:val="22"/>
    </w:rPr>
  </w:style>
  <w:style w:type="character" w:customStyle="1" w:styleId="42">
    <w:name w:val="标题 2 Char Char Char"/>
    <w:qFormat/>
    <w:uiPriority w:val="99"/>
    <w:rPr>
      <w:rFonts w:ascii="Arial" w:hAnsi="Arial" w:eastAsia="黑体"/>
      <w:b/>
      <w:kern w:val="2"/>
      <w:sz w:val="32"/>
      <w:lang w:val="en-US" w:eastAsia="zh-CN"/>
    </w:rPr>
  </w:style>
  <w:style w:type="paragraph" w:customStyle="1" w:styleId="43">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4">
    <w:name w:val="正文文本 字符"/>
    <w:link w:val="6"/>
    <w:qFormat/>
    <w:uiPriority w:val="99"/>
    <w:rPr>
      <w:kern w:val="2"/>
      <w:sz w:val="21"/>
      <w:szCs w:val="24"/>
    </w:rPr>
  </w:style>
  <w:style w:type="paragraph" w:customStyle="1" w:styleId="45">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6">
    <w:name w:val="正文2"/>
    <w:basedOn w:val="1"/>
    <w:qFormat/>
    <w:uiPriority w:val="0"/>
    <w:pPr>
      <w:spacing w:before="156" w:line="360" w:lineRule="auto"/>
      <w:ind w:firstLine="510" w:firstLineChars="200"/>
    </w:pPr>
    <w:rPr>
      <w:sz w:val="24"/>
    </w:rPr>
  </w:style>
  <w:style w:type="paragraph" w:customStyle="1" w:styleId="47">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8">
    <w:name w:val="A9"/>
    <w:qFormat/>
    <w:uiPriority w:val="0"/>
    <w:rPr>
      <w:rFonts w:cs="PSFEIH+StoneSans"/>
      <w:color w:val="262424"/>
      <w:sz w:val="20"/>
      <w:szCs w:val="20"/>
    </w:rPr>
  </w:style>
  <w:style w:type="paragraph" w:customStyle="1" w:styleId="49">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0">
    <w:name w:val="A14"/>
    <w:qFormat/>
    <w:uiPriority w:val="99"/>
    <w:rPr>
      <w:rFonts w:cs="Open Sans Light"/>
      <w:color w:val="FFFFFF"/>
      <w:sz w:val="13"/>
      <w:szCs w:val="13"/>
    </w:rPr>
  </w:style>
  <w:style w:type="paragraph" w:customStyle="1" w:styleId="51">
    <w:name w:val="表格文字"/>
    <w:basedOn w:val="1"/>
    <w:next w:val="6"/>
    <w:qFormat/>
    <w:uiPriority w:val="0"/>
    <w:rPr>
      <w:sz w:val="24"/>
    </w:rPr>
  </w:style>
  <w:style w:type="paragraph" w:customStyle="1" w:styleId="5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3">
    <w:name w:val="首行缩进"/>
    <w:basedOn w:val="1"/>
    <w:qFormat/>
    <w:uiPriority w:val="0"/>
    <w:pPr>
      <w:ind w:firstLine="480" w:firstLineChars="200"/>
    </w:pPr>
    <w:rPr>
      <w:rFonts w:eastAsia="Calibri" w:cs="宋体"/>
      <w:kern w:val="0"/>
      <w:sz w:val="20"/>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8AEA5D-8E83-4F6A-B6F6-43544413DC3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3416</Words>
  <Characters>19476</Characters>
  <Lines>162</Lines>
  <Paragraphs>45</Paragraphs>
  <TotalTime>1</TotalTime>
  <ScaleCrop>false</ScaleCrop>
  <LinksUpToDate>false</LinksUpToDate>
  <CharactersWithSpaces>22847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2020-11-24T01:50:00Z</dcterms:created>
  <dc:creator>微软用户</dc:creator>
  <cp:lastModifiedBy>罗玉</cp:lastModifiedBy>
  <cp:lastPrinted>2019-11-22T01:53:00Z</cp:lastPrinted>
  <dcterms:modified xsi:type="dcterms:W3CDTF">2020-11-27T00:53:34Z</dcterms:modified>
  <dc:title>淮海工学院A8-10号楼学生宿舍家具招标书</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