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1"/>
      <w:bookmarkStart w:id="1" w:name="OLE_LINK2"/>
      <w:r>
        <w:rPr>
          <w:b/>
          <w:sz w:val="44"/>
          <w:szCs w:val="44"/>
        </w:rPr>
        <w:t>南京信息工程大学</w:t>
      </w:r>
      <w:bookmarkEnd w:id="0"/>
      <w:bookmarkEnd w:id="1"/>
      <w:r>
        <w:rPr>
          <w:b/>
          <w:sz w:val="44"/>
          <w:szCs w:val="44"/>
        </w:rPr>
        <w:t>应用气象学院</w:t>
      </w:r>
    </w:p>
    <w:p>
      <w:pPr>
        <w:jc w:val="center"/>
        <w:rPr>
          <w:b/>
          <w:sz w:val="44"/>
          <w:szCs w:val="44"/>
        </w:rPr>
      </w:pPr>
      <w:r>
        <w:rPr>
          <w:rFonts w:hint="eastAsia"/>
          <w:b/>
          <w:sz w:val="44"/>
          <w:szCs w:val="44"/>
        </w:rPr>
        <w:t>全自动便携式光合仪</w:t>
      </w:r>
      <w:r>
        <w:rPr>
          <w:b/>
          <w:sz w:val="44"/>
          <w:szCs w:val="44"/>
        </w:rPr>
        <w:t>采购项目招标文件</w:t>
      </w:r>
    </w:p>
    <w:p>
      <w:pPr>
        <w:pStyle w:val="2"/>
        <w:ind w:left="1470" w:right="1470"/>
      </w:pPr>
    </w:p>
    <w:p>
      <w:pPr>
        <w:adjustRightInd w:val="0"/>
        <w:snapToGrid w:val="0"/>
        <w:spacing w:line="360" w:lineRule="auto"/>
        <w:jc w:val="center"/>
        <w:rPr>
          <w:rFonts w:ascii="宋体" w:cs="仿宋"/>
          <w:sz w:val="28"/>
          <w:szCs w:val="28"/>
        </w:rPr>
      </w:pPr>
      <w:r>
        <w:rPr>
          <w:rFonts w:hint="eastAsia" w:ascii="宋体" w:hAnsi="宋体" w:cs="仿宋"/>
          <w:sz w:val="28"/>
          <w:szCs w:val="28"/>
        </w:rPr>
        <w:t>（招标编号：</w:t>
      </w:r>
      <w:r>
        <w:rPr>
          <w:rFonts w:ascii="宋体" w:hAnsi="宋体" w:cs="仿宋"/>
          <w:sz w:val="28"/>
          <w:szCs w:val="28"/>
          <w:u w:val="single"/>
        </w:rPr>
        <w:t>SBC20</w:t>
      </w:r>
      <w:r>
        <w:rPr>
          <w:rFonts w:hint="eastAsia" w:ascii="宋体" w:hAnsi="宋体" w:cs="仿宋"/>
          <w:sz w:val="28"/>
          <w:szCs w:val="28"/>
          <w:u w:val="single"/>
        </w:rPr>
        <w:t>20006</w:t>
      </w:r>
      <w:r>
        <w:rPr>
          <w:rFonts w:hint="eastAsia" w:ascii="宋体" w:hAnsi="宋体" w:cs="仿宋"/>
          <w:sz w:val="28"/>
          <w:szCs w:val="28"/>
          <w:u w:val="single"/>
          <w:lang w:val="en-US" w:eastAsia="zh-CN"/>
        </w:rPr>
        <w:t>-1a</w:t>
      </w:r>
      <w:r>
        <w:rPr>
          <w:rFonts w:hint="eastAsia" w:ascii="宋体" w:hAnsi="宋体" w:cs="仿宋"/>
          <w:sz w:val="28"/>
          <w:szCs w:val="28"/>
        </w:rPr>
        <w:t>）</w:t>
      </w: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w:t>
      </w:r>
      <w:r>
        <w:rPr>
          <w:rFonts w:hint="eastAsia" w:ascii="宋体" w:hAnsi="宋体" w:cs="仿宋"/>
          <w:sz w:val="28"/>
          <w:szCs w:val="28"/>
          <w:u w:val="single"/>
          <w:lang w:val="en-US" w:eastAsia="zh-CN"/>
        </w:rPr>
        <w:t>5</w:t>
      </w:r>
      <w:r>
        <w:rPr>
          <w:rFonts w:hint="eastAsia" w:ascii="宋体" w:hAnsi="宋体" w:cs="仿宋"/>
          <w:sz w:val="28"/>
          <w:szCs w:val="28"/>
          <w:u w:val="single"/>
        </w:rPr>
        <w:t>月</w:t>
      </w:r>
      <w:r>
        <w:rPr>
          <w:rFonts w:hint="eastAsia" w:ascii="宋体" w:hAnsi="宋体" w:cs="仿宋"/>
          <w:sz w:val="28"/>
          <w:szCs w:val="28"/>
          <w:u w:val="single"/>
          <w:lang w:val="en-US" w:eastAsia="zh-CN"/>
        </w:rPr>
        <w:t>18</w:t>
      </w:r>
      <w:r>
        <w:rPr>
          <w:rFonts w:hint="eastAsia" w:ascii="宋体" w:hAnsi="宋体" w:cs="仿宋"/>
          <w:sz w:val="28"/>
          <w:szCs w:val="28"/>
          <w:u w:val="single"/>
        </w:rPr>
        <w:t>日</w:t>
      </w:r>
      <w:r>
        <w:rPr>
          <w:rFonts w:ascii="宋体" w:hAnsi="宋体" w:cs="仿宋"/>
          <w:sz w:val="28"/>
          <w:szCs w:val="28"/>
          <w:u w:val="single"/>
        </w:rPr>
        <w:t>1</w:t>
      </w:r>
      <w:r>
        <w:rPr>
          <w:rFonts w:hint="eastAsia" w:ascii="宋体" w:cs="仿宋"/>
          <w:sz w:val="28"/>
          <w:szCs w:val="28"/>
          <w:u w:val="single"/>
        </w:rPr>
        <w:t>6</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sz w:val="28"/>
          <w:szCs w:val="28"/>
        </w:rPr>
        <w:t>全自动便携式光合仪</w:t>
      </w:r>
      <w:r>
        <w:rPr>
          <w:rFonts w:ascii="宋体" w:hAnsi="宋体"/>
          <w:sz w:val="28"/>
          <w:szCs w:val="28"/>
        </w:rPr>
        <w:t>采购项目</w:t>
      </w:r>
      <w:r>
        <w:rPr>
          <w:rFonts w:hint="eastAsia" w:ascii="宋体" w:hAnsi="宋体"/>
          <w:sz w:val="28"/>
          <w:szCs w:val="28"/>
          <w:lang w:val="en-US" w:eastAsia="zh-CN"/>
        </w:rPr>
        <w:t>再次</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1"/>
        <w:spacing w:line="360" w:lineRule="auto"/>
        <w:ind w:firstLine="0" w:firstLineChars="0"/>
        <w:jc w:val="center"/>
        <w:rPr>
          <w:rFonts w:eastAsia="黑体"/>
          <w:sz w:val="24"/>
          <w:szCs w:val="24"/>
        </w:rPr>
      </w:pPr>
      <w:r>
        <w:rPr>
          <w:rFonts w:eastAsia="黑体"/>
          <w:sz w:val="24"/>
          <w:szCs w:val="24"/>
        </w:rPr>
        <w:t>一、招标项目名称及简要说明</w:t>
      </w:r>
    </w:p>
    <w:p>
      <w:pPr>
        <w:pStyle w:val="31"/>
        <w:spacing w:line="360" w:lineRule="auto"/>
        <w:ind w:firstLine="560"/>
        <w:rPr>
          <w:rFonts w:ascii="宋体" w:hAnsi="宋体"/>
          <w:kern w:val="2"/>
          <w:sz w:val="28"/>
          <w:szCs w:val="28"/>
        </w:rPr>
      </w:pPr>
      <w:r>
        <w:rPr>
          <w:rFonts w:ascii="宋体" w:hAnsi="宋体"/>
          <w:kern w:val="2"/>
          <w:sz w:val="28"/>
          <w:szCs w:val="28"/>
        </w:rPr>
        <w:t>1.项目名称：南京信息工程大学</w:t>
      </w:r>
      <w:r>
        <w:rPr>
          <w:rFonts w:hint="eastAsia" w:ascii="宋体" w:hAnsi="宋体"/>
          <w:kern w:val="2"/>
          <w:sz w:val="28"/>
          <w:szCs w:val="28"/>
        </w:rPr>
        <w:t>全自动便携式光合仪</w:t>
      </w:r>
      <w:r>
        <w:rPr>
          <w:rFonts w:ascii="宋体" w:hAnsi="宋体"/>
          <w:kern w:val="2"/>
          <w:sz w:val="28"/>
          <w:szCs w:val="28"/>
        </w:rPr>
        <w:t>采购</w:t>
      </w:r>
      <w:r>
        <w:rPr>
          <w:rFonts w:hint="eastAsia" w:ascii="宋体" w:hAnsi="宋体"/>
          <w:kern w:val="2"/>
          <w:sz w:val="28"/>
          <w:szCs w:val="28"/>
        </w:rPr>
        <w:t>项目</w:t>
      </w:r>
      <w:r>
        <w:rPr>
          <w:rFonts w:ascii="宋体" w:hAnsi="宋体"/>
          <w:kern w:val="2"/>
          <w:sz w:val="28"/>
          <w:szCs w:val="28"/>
        </w:rPr>
        <w:t>。</w:t>
      </w:r>
    </w:p>
    <w:p>
      <w:pPr>
        <w:spacing w:line="360" w:lineRule="auto"/>
        <w:ind w:firstLine="560" w:firstLineChars="200"/>
        <w:rPr>
          <w:rFonts w:ascii="宋体" w:hAnsi="宋体"/>
          <w:sz w:val="28"/>
          <w:szCs w:val="28"/>
        </w:rPr>
      </w:pPr>
      <w:r>
        <w:rPr>
          <w:rFonts w:ascii="宋体" w:hAnsi="宋体"/>
          <w:sz w:val="28"/>
          <w:szCs w:val="28"/>
        </w:rPr>
        <w:t>2.项目简要说明：本次招标购置的设备主要用于学校应用气象学院</w:t>
      </w:r>
      <w:r>
        <w:rPr>
          <w:rFonts w:hint="eastAsia" w:ascii="宋体" w:hAnsi="宋体"/>
          <w:sz w:val="28"/>
          <w:szCs w:val="28"/>
        </w:rPr>
        <w:t>各专业</w:t>
      </w:r>
      <w:r>
        <w:rPr>
          <w:rFonts w:ascii="宋体" w:hAnsi="宋体"/>
          <w:sz w:val="28"/>
          <w:szCs w:val="28"/>
        </w:rPr>
        <w:t>实验教学与研究。主要采购内容有：</w:t>
      </w:r>
      <w:r>
        <w:rPr>
          <w:rFonts w:hint="eastAsia" w:ascii="宋体" w:hAnsi="宋体"/>
          <w:sz w:val="28"/>
          <w:szCs w:val="28"/>
        </w:rPr>
        <w:t>全自动便携式光合仪</w:t>
      </w:r>
      <w:r>
        <w:rPr>
          <w:rFonts w:ascii="宋体" w:hAnsi="宋体"/>
          <w:sz w:val="28"/>
          <w:szCs w:val="28"/>
        </w:rPr>
        <w:t>。</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18"/>
          <w:b/>
          <w:color w:val="auto"/>
          <w:sz w:val="24"/>
        </w:rPr>
        <w:t>https://bulletin.nuist.edu.cn/779/lis</w:t>
      </w:r>
      <w:r>
        <w:rPr>
          <w:rStyle w:val="18"/>
          <w:color w:val="auto"/>
          <w:sz w:val="24"/>
        </w:rPr>
        <w:t>t.htm</w:t>
      </w:r>
      <w:r>
        <w:rPr>
          <w:rStyle w:val="18"/>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招标过程接受学校纪委办监督检查。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2.具有良好的商业信誉和健全的财务会计制度</w:t>
      </w:r>
      <w:r>
        <w:rPr>
          <w:rFonts w:hint="eastAsia" w:ascii="宋体" w:hAnsi="宋体"/>
          <w:sz w:val="28"/>
          <w:szCs w:val="28"/>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4.有依法缴纳税收和社会保障资金的良好记录</w:t>
      </w:r>
      <w:r>
        <w:rPr>
          <w:rFonts w:hint="eastAsia" w:ascii="宋体" w:hAnsi="宋体"/>
          <w:sz w:val="28"/>
          <w:szCs w:val="28"/>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5.参加政府采购活动前三年内，在经营活动中没有违法记录</w:t>
      </w:r>
      <w:r>
        <w:rPr>
          <w:rFonts w:hint="eastAsia" w:ascii="宋体" w:hAnsi="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sz w:val="28"/>
          <w:szCs w:val="28"/>
        </w:rPr>
        <w:t>（</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（提供本项目报名截止日后的网站截图并加盖单位公章）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9</w:t>
      </w:r>
      <w:r>
        <w:rPr>
          <w:rFonts w:ascii="宋体" w:hAnsi="宋体" w:cs="宋体"/>
          <w:sz w:val="28"/>
          <w:szCs w:val="28"/>
        </w:rPr>
        <w:t>0</w:t>
      </w:r>
      <w:r>
        <w:rPr>
          <w:rFonts w:hint="eastAsia" w:ascii="宋体" w:hAnsi="宋体" w:cs="宋体"/>
          <w:sz w:val="28"/>
          <w:szCs w:val="28"/>
        </w:rPr>
        <w:t>天内完成设备运输（含上、下力）、安装调试等，所有费用由供方承担，安装调试完毕后需方用户负责试用并签收。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w:t>
      </w:r>
      <w:r>
        <w:rPr>
          <w:color w:val="auto"/>
          <w:kern w:val="2"/>
          <w:sz w:val="28"/>
          <w:szCs w:val="28"/>
        </w:rPr>
        <w:t>30</w:t>
      </w:r>
      <w:r>
        <w:rPr>
          <w:rFonts w:hint="eastAsia"/>
          <w:color w:val="auto"/>
          <w:kern w:val="2"/>
          <w:sz w:val="28"/>
          <w:szCs w:val="28"/>
        </w:rPr>
        <w:t>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宋体"/>
          <w:b/>
          <w:sz w:val="28"/>
          <w:szCs w:val="28"/>
        </w:rPr>
        <w:t>SBC202000</w:t>
      </w:r>
      <w:r>
        <w:rPr>
          <w:rFonts w:hint="eastAsia" w:ascii="宋体" w:hAnsi="宋体" w:cs="宋体"/>
          <w:b/>
          <w:sz w:val="28"/>
          <w:szCs w:val="28"/>
        </w:rPr>
        <w:t>6</w:t>
      </w:r>
      <w:r>
        <w:rPr>
          <w:rFonts w:hint="eastAsia" w:ascii="宋体" w:hAnsi="宋体" w:cs="宋体"/>
          <w:b/>
          <w:sz w:val="28"/>
          <w:szCs w:val="28"/>
          <w:lang w:val="en-US" w:eastAsia="zh-CN"/>
        </w:rPr>
        <w:t>-1a</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w:t>
      </w:r>
      <w:r>
        <w:rPr>
          <w:rFonts w:ascii="宋体" w:hAnsi="宋体" w:cs="宋体"/>
          <w:sz w:val="28"/>
          <w:szCs w:val="28"/>
        </w:rPr>
        <w:t>5000</w:t>
      </w:r>
      <w:r>
        <w:rPr>
          <w:rFonts w:hint="eastAsia" w:ascii="宋体" w:hAnsi="宋体" w:cs="宋体"/>
          <w:sz w:val="28"/>
          <w:szCs w:val="28"/>
        </w:rPr>
        <w:t>元履约保证金并前来我处领取的《中标通知书》（一式二份）。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）我处不接收现金或支付宝等方式交费。各投标人务必通过单位银行基本账户提前将资料费汇至我校以下账号：户名：南京信息工程大学；账号：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宋体"/>
          <w:b/>
          <w:sz w:val="28"/>
          <w:szCs w:val="28"/>
        </w:rPr>
        <w:t>SBC202000</w:t>
      </w:r>
      <w:r>
        <w:rPr>
          <w:rFonts w:hint="eastAsia" w:ascii="宋体" w:hAnsi="宋体" w:cs="宋体"/>
          <w:b/>
          <w:sz w:val="28"/>
          <w:szCs w:val="28"/>
        </w:rPr>
        <w:t>6</w:t>
      </w:r>
      <w:r>
        <w:rPr>
          <w:rFonts w:hint="eastAsia" w:ascii="宋体" w:hAnsi="宋体" w:cs="宋体"/>
          <w:b/>
          <w:sz w:val="28"/>
          <w:szCs w:val="28"/>
          <w:lang w:val="en-US" w:eastAsia="zh-CN"/>
        </w:rPr>
        <w:t>-1a</w:t>
      </w:r>
      <w:r>
        <w:rPr>
          <w:rFonts w:hint="eastAsia" w:ascii="宋体" w:hAnsi="宋体" w:cs="宋体"/>
          <w:b/>
          <w:sz w:val="28"/>
          <w:szCs w:val="28"/>
        </w:rPr>
        <w:t>资料费”</w:t>
      </w:r>
      <w:r>
        <w:rPr>
          <w:rFonts w:hint="eastAsia" w:ascii="宋体" w:hAnsi="宋体" w:cs="宋体"/>
          <w:sz w:val="28"/>
          <w:szCs w:val="28"/>
        </w:rPr>
        <w:t>字样，并尽量将投标单位的纳税识别号一并备注在转账留言栏中</w:t>
      </w:r>
      <w:r>
        <w:rPr>
          <w:rFonts w:hint="eastAsia" w:ascii="宋体" w:hAnsi="宋体" w:cs="宋体"/>
          <w:sz w:val="28"/>
          <w:szCs w:val="28"/>
          <w:lang w:eastAsia="zh-CN"/>
        </w:rPr>
        <w:t>，</w:t>
      </w:r>
      <w:r>
        <w:rPr>
          <w:rFonts w:hint="eastAsia" w:ascii="宋体" w:hAnsi="宋体" w:cs="宋体"/>
          <w:sz w:val="28"/>
          <w:szCs w:val="28"/>
        </w:rPr>
        <w:t>以便</w:t>
      </w:r>
      <w:r>
        <w:rPr>
          <w:rFonts w:hint="eastAsia" w:ascii="宋体" w:hAnsi="宋体" w:cs="宋体"/>
          <w:sz w:val="28"/>
          <w:szCs w:val="28"/>
          <w:lang w:val="en-US" w:eastAsia="zh-CN"/>
        </w:rPr>
        <w:t>开</w:t>
      </w:r>
      <w:r>
        <w:rPr>
          <w:rFonts w:hint="eastAsia" w:ascii="宋体" w:hAnsi="宋体" w:cs="宋体"/>
          <w:sz w:val="28"/>
          <w:szCs w:val="28"/>
        </w:rPr>
        <w:t>票和对账</w:t>
      </w:r>
      <w:r>
        <w:rPr>
          <w:rFonts w:hint="eastAsia" w:ascii="宋体" w:hAnsi="宋体" w:cs="宋体"/>
          <w:sz w:val="28"/>
          <w:szCs w:val="28"/>
          <w:lang w:eastAsia="zh-CN"/>
        </w:rPr>
        <w:t>。</w:t>
      </w:r>
      <w:r>
        <w:rPr>
          <w:rFonts w:hint="eastAsia" w:ascii="宋体" w:hAnsi="宋体" w:cs="宋体"/>
          <w:sz w:val="28"/>
          <w:szCs w:val="28"/>
          <w:lang w:val="en-US" w:eastAsia="zh-CN"/>
        </w:rPr>
        <w:t>请各单位在报名时将</w:t>
      </w:r>
      <w:r>
        <w:rPr>
          <w:rFonts w:hint="eastAsia" w:ascii="宋体" w:hAnsi="宋体" w:cs="宋体"/>
          <w:sz w:val="28"/>
          <w:szCs w:val="28"/>
        </w:rPr>
        <w:t>转账回单复印件务必放入《投标文件》中（无此证明，一律作为无效标处理）。</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lang w:val="en-US" w:eastAsia="zh-CN"/>
        </w:rPr>
        <w:t>我校提供电子普通发票，招标科定期到财务处财务科对账（时间约半个月）。请投标单位在邮件报名时提供单位纳税人识别号，并确保联系人手机号及邮箱状态正常，以便接收电子发票信息。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ascii="宋体" w:hAnsi="宋体" w:cs="宋体"/>
          <w:sz w:val="28"/>
          <w:szCs w:val="28"/>
          <w:u w:val="single"/>
        </w:rPr>
        <w:t>5000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sz w:val="28"/>
          <w:szCs w:val="28"/>
        </w:rPr>
        <w:t>5000</w:t>
      </w:r>
      <w:r>
        <w:rPr>
          <w:rFonts w:hint="eastAsia" w:ascii="宋体" w:hAnsi="宋体" w:cs="宋体"/>
          <w:sz w:val="28"/>
          <w:szCs w:val="28"/>
        </w:rPr>
        <w:t>元履约保证金交款账号同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）履约保证金交退咨询：财务处财务科（体育馆北面，南气宾馆东侧的大学生创业中心</w:t>
      </w:r>
      <w:r>
        <w:rPr>
          <w:rFonts w:ascii="宋体" w:hAnsi="宋体" w:cs="宋体"/>
          <w:sz w:val="28"/>
          <w:szCs w:val="28"/>
        </w:rPr>
        <w:t>3</w:t>
      </w:r>
      <w:r>
        <w:rPr>
          <w:rFonts w:hint="eastAsia" w:ascii="宋体" w:hAnsi="宋体" w:cs="宋体"/>
          <w:sz w:val="28"/>
          <w:szCs w:val="28"/>
        </w:rPr>
        <w:t>号楼二楼财务大厅）。</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）如中标单位有下列情况之一，不予退还履约保证金，我处将其列入招投标诚信“黑名单”，</w:t>
      </w:r>
      <w:r>
        <w:rPr>
          <w:rFonts w:ascii="宋体" w:hAnsi="宋体" w:cs="宋体"/>
          <w:sz w:val="28"/>
          <w:szCs w:val="28"/>
        </w:rPr>
        <w:t>3</w:t>
      </w:r>
      <w:r>
        <w:rPr>
          <w:rFonts w:hint="eastAsia" w:ascii="宋体" w:hAnsi="宋体" w:cs="宋体"/>
          <w:sz w:val="28"/>
          <w:szCs w:val="28"/>
        </w:rPr>
        <w:t>年内不得到我处从事任何投标活动。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Lines="10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w:t>
      </w:r>
      <w:r>
        <w:rPr>
          <w:rFonts w:hint="eastAsia" w:ascii="宋体" w:hAnsi="宋体"/>
          <w:b/>
          <w:sz w:val="28"/>
          <w:szCs w:val="28"/>
          <w:u w:val="single"/>
          <w:lang w:val="en-US" w:eastAsia="zh-CN"/>
        </w:rPr>
        <w:t>5</w:t>
      </w:r>
      <w:r>
        <w:rPr>
          <w:rFonts w:hint="eastAsia" w:ascii="宋体" w:hAnsi="宋体"/>
          <w:b/>
          <w:sz w:val="28"/>
          <w:szCs w:val="28"/>
          <w:u w:val="single"/>
        </w:rPr>
        <w:t>月</w:t>
      </w:r>
      <w:r>
        <w:rPr>
          <w:rFonts w:hint="eastAsia" w:ascii="宋体" w:hAnsi="宋体"/>
          <w:b/>
          <w:sz w:val="28"/>
          <w:szCs w:val="28"/>
          <w:u w:val="single"/>
          <w:lang w:val="en-US" w:eastAsia="zh-CN"/>
        </w:rPr>
        <w:t>24</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（因财务处招标科人手少，为减少所提问题的文字二次输入工作量，质疑函请勿以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日09：00。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日09：00；(不安排公开开标、唱标，由财务处招标科工作人员在我校纪委办监督见证下进行，开标、唱标工作全程视频监控并录像)。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用户单位联系电话：13914710299，联系人：李老师。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南京信息工程大学财务处</w:t>
      </w:r>
    </w:p>
    <w:p>
      <w:pPr>
        <w:pStyle w:val="9"/>
        <w:spacing w:line="360" w:lineRule="auto"/>
        <w:ind w:left="99" w:leftChars="47" w:firstLine="4919" w:firstLineChars="1750"/>
        <w:rPr>
          <w:rStyle w:val="38"/>
          <w:rFonts w:ascii="宋体" w:hAnsi="Times New Roman" w:eastAsia="宋体"/>
          <w:sz w:val="28"/>
          <w:szCs w:val="28"/>
        </w:rPr>
      </w:pPr>
      <w:r>
        <w:rPr>
          <w:rStyle w:val="38"/>
          <w:rFonts w:ascii="宋体" w:hAnsi="宋体" w:eastAsia="宋体"/>
          <w:sz w:val="28"/>
          <w:szCs w:val="28"/>
        </w:rPr>
        <w:t>20</w:t>
      </w:r>
      <w:r>
        <w:rPr>
          <w:rStyle w:val="38"/>
          <w:rFonts w:hint="eastAsia" w:ascii="宋体" w:hAnsi="宋体" w:eastAsia="宋体"/>
          <w:sz w:val="28"/>
          <w:szCs w:val="28"/>
        </w:rPr>
        <w:t>20年0</w:t>
      </w:r>
      <w:r>
        <w:rPr>
          <w:rStyle w:val="38"/>
          <w:rFonts w:hint="eastAsia" w:ascii="宋体" w:hAnsi="宋体"/>
          <w:sz w:val="28"/>
          <w:szCs w:val="28"/>
          <w:lang w:val="en-US"/>
        </w:rPr>
        <w:t>5</w:t>
      </w:r>
      <w:r>
        <w:rPr>
          <w:rStyle w:val="38"/>
          <w:rFonts w:hint="eastAsia" w:ascii="宋体" w:hAnsi="宋体" w:eastAsia="宋体"/>
          <w:sz w:val="28"/>
          <w:szCs w:val="28"/>
        </w:rPr>
        <w:t>月</w:t>
      </w:r>
      <w:r>
        <w:rPr>
          <w:rStyle w:val="38"/>
          <w:rFonts w:hint="eastAsia" w:ascii="宋体" w:hAnsi="宋体"/>
          <w:sz w:val="28"/>
          <w:szCs w:val="28"/>
          <w:lang w:val="en-US"/>
        </w:rPr>
        <w:t>18</w:t>
      </w:r>
      <w:bookmarkStart w:id="11" w:name="_GoBack"/>
      <w:bookmarkEnd w:id="11"/>
      <w:r>
        <w:rPr>
          <w:rStyle w:val="38"/>
          <w:rFonts w:hint="eastAsia" w:ascii="宋体" w:hAnsi="宋体" w:eastAsia="宋体"/>
          <w:sz w:val="28"/>
          <w:szCs w:val="28"/>
        </w:rPr>
        <w:t>日</w:t>
      </w:r>
    </w:p>
    <w:bookmarkEnd w:id="8"/>
    <w:p>
      <w:pPr>
        <w:pStyle w:val="8"/>
        <w:adjustRightInd w:val="0"/>
        <w:snapToGrid w:val="0"/>
        <w:spacing w:before="120" w:after="120" w:line="360" w:lineRule="auto"/>
        <w:rPr>
          <w:rFonts w:ascii="Times New Roman" w:hAnsi="Times New Roman"/>
          <w:sz w:val="24"/>
          <w:szCs w:val="24"/>
        </w:rPr>
      </w:pPr>
      <w:r>
        <w:rPr>
          <w:rStyle w:val="38"/>
          <w:rFonts w:ascii="宋体" w:hAnsi="Times New Roman" w:eastAsia="宋体"/>
          <w:b w:val="0"/>
          <w:sz w:val="28"/>
          <w:szCs w:val="28"/>
        </w:rPr>
        <w:br w:type="page"/>
      </w:r>
      <w:bookmarkStart w:id="9" w:name="_Toc462564147"/>
      <w:r>
        <w:rPr>
          <w:rFonts w:ascii="Times New Roman" w:hAnsi="Times New Roman"/>
          <w:sz w:val="24"/>
          <w:szCs w:val="24"/>
        </w:rPr>
        <w:t>附件1：</w:t>
      </w:r>
    </w:p>
    <w:p>
      <w:pPr>
        <w:spacing w:line="360" w:lineRule="auto"/>
        <w:ind w:left="180"/>
        <w:jc w:val="center"/>
        <w:rPr>
          <w:b/>
          <w:sz w:val="24"/>
        </w:rPr>
      </w:pPr>
      <w:r>
        <w:rPr>
          <w:b/>
          <w:sz w:val="24"/>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627"/>
        <w:gridCol w:w="2595"/>
        <w:gridCol w:w="1271"/>
        <w:gridCol w:w="1425"/>
        <w:gridCol w:w="815"/>
        <w:gridCol w:w="3503"/>
      </w:tblGrid>
      <w:tr>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分包</w:t>
            </w:r>
          </w:p>
        </w:tc>
        <w:tc>
          <w:tcPr>
            <w:tcW w:w="12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仪器设备名称</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主要配置或技术参数</w:t>
            </w:r>
          </w:p>
        </w:tc>
      </w:tr>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1</w:t>
            </w:r>
          </w:p>
        </w:tc>
        <w:tc>
          <w:tcPr>
            <w:tcW w:w="12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rFonts w:hint="eastAsia"/>
                <w:kern w:val="0"/>
                <w:sz w:val="24"/>
              </w:rPr>
              <w:t>全自动便携式光合仪</w:t>
            </w:r>
          </w:p>
        </w:tc>
        <w:tc>
          <w:tcPr>
            <w:tcW w:w="62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kern w:val="0"/>
                <w:sz w:val="24"/>
              </w:rPr>
            </w:pPr>
            <w:r>
              <w:rPr>
                <w:kern w:val="0"/>
                <w:sz w:val="24"/>
              </w:rPr>
              <w:t>LCPRO-</w:t>
            </w:r>
            <w:r>
              <w:rPr>
                <w:rFonts w:hint="eastAsia"/>
                <w:kern w:val="0"/>
                <w:sz w:val="24"/>
              </w:rPr>
              <w:t>T</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rFonts w:hint="eastAsia"/>
                <w:sz w:val="24"/>
              </w:rPr>
              <w:t>台</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kern w:val="0"/>
                <w:sz w:val="24"/>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4"/>
              </w:rPr>
            </w:pPr>
            <w:r>
              <w:rPr>
                <w:sz w:val="24"/>
              </w:rPr>
              <w:t>详见表后内容</w:t>
            </w:r>
          </w:p>
        </w:tc>
      </w:tr>
    </w:tbl>
    <w:p>
      <w:pPr>
        <w:spacing w:beforeLines="50"/>
        <w:rPr>
          <w:b/>
          <w:sz w:val="24"/>
        </w:rPr>
      </w:pPr>
      <w:r>
        <w:rPr>
          <w:b/>
          <w:sz w:val="24"/>
        </w:rPr>
        <w:t>以上所有设备要求免费质保期至少</w:t>
      </w:r>
      <w:r>
        <w:rPr>
          <w:sz w:val="24"/>
        </w:rPr>
        <w:t>1</w:t>
      </w:r>
      <w:r>
        <w:rPr>
          <w:b/>
          <w:sz w:val="24"/>
        </w:rPr>
        <w:t>年。</w:t>
      </w:r>
    </w:p>
    <w:p>
      <w:pPr>
        <w:rPr>
          <w:b/>
          <w:sz w:val="24"/>
        </w:rPr>
      </w:pPr>
    </w:p>
    <w:p>
      <w:pPr>
        <w:numPr>
          <w:ilvl w:val="0"/>
          <w:numId w:val="1"/>
        </w:numPr>
        <w:spacing w:line="264" w:lineRule="auto"/>
        <w:rPr>
          <w:b/>
          <w:sz w:val="24"/>
        </w:rPr>
      </w:pPr>
      <w:r>
        <w:rPr>
          <w:b/>
          <w:kern w:val="0"/>
          <w:sz w:val="24"/>
        </w:rPr>
        <w:t>主要配置或技术参数</w:t>
      </w:r>
      <w:r>
        <w:rPr>
          <w:b/>
          <w:sz w:val="24"/>
        </w:rPr>
        <w:t>：（标注“</w:t>
      </w:r>
      <w:r>
        <w:rPr>
          <w:rFonts w:hint="eastAsia" w:ascii="宋体" w:hAnsi="宋体" w:cs="宋体"/>
          <w:kern w:val="0"/>
          <w:sz w:val="24"/>
        </w:rPr>
        <w:t>★</w:t>
      </w:r>
      <w:r>
        <w:rPr>
          <w:b/>
          <w:sz w:val="24"/>
        </w:rPr>
        <w:t>”指标为必须满足项，不满足按废标处理。）</w:t>
      </w:r>
    </w:p>
    <w:p>
      <w:pPr>
        <w:spacing w:line="264" w:lineRule="auto"/>
        <w:rPr>
          <w:b/>
          <w:sz w:val="24"/>
        </w:rPr>
      </w:pPr>
      <w:r>
        <w:rPr>
          <w:rFonts w:hint="eastAsia"/>
          <w:b/>
          <w:sz w:val="24"/>
        </w:rPr>
        <w:t>拟采购全自动便携式光合仪配置需求及各部分技术参数见下表</w:t>
      </w:r>
    </w:p>
    <w:p>
      <w:pPr>
        <w:numPr>
          <w:ilvl w:val="1"/>
          <w:numId w:val="2"/>
        </w:numPr>
        <w:spacing w:beforeLines="50" w:afterLines="50" w:line="264" w:lineRule="auto"/>
        <w:rPr>
          <w:rFonts w:ascii="Arial" w:hAnsi="Arial" w:cs="宋体"/>
          <w:b/>
          <w:bCs/>
          <w:sz w:val="24"/>
        </w:rPr>
      </w:pPr>
      <w:r>
        <w:rPr>
          <w:rFonts w:hint="eastAsia" w:ascii="Arial" w:hAnsi="Arial" w:cs="宋体"/>
          <w:b/>
          <w:bCs/>
          <w:sz w:val="24"/>
        </w:rPr>
        <w:t>配置</w:t>
      </w:r>
    </w:p>
    <w:p>
      <w:pPr>
        <w:pStyle w:val="31"/>
        <w:widowControl w:val="0"/>
        <w:numPr>
          <w:ilvl w:val="2"/>
          <w:numId w:val="3"/>
        </w:numPr>
        <w:spacing w:line="264" w:lineRule="auto"/>
        <w:ind w:firstLineChars="0"/>
        <w:jc w:val="both"/>
        <w:rPr>
          <w:sz w:val="24"/>
          <w:szCs w:val="24"/>
        </w:rPr>
      </w:pPr>
      <w:r>
        <w:rPr>
          <w:sz w:val="24"/>
          <w:szCs w:val="24"/>
        </w:rPr>
        <w:t>便携式光合作用测定仪主机       1套</w:t>
      </w:r>
    </w:p>
    <w:p>
      <w:pPr>
        <w:pStyle w:val="31"/>
        <w:widowControl w:val="0"/>
        <w:numPr>
          <w:ilvl w:val="2"/>
          <w:numId w:val="3"/>
        </w:numPr>
        <w:spacing w:line="264" w:lineRule="auto"/>
        <w:ind w:firstLineChars="0"/>
        <w:jc w:val="both"/>
        <w:rPr>
          <w:sz w:val="24"/>
          <w:szCs w:val="24"/>
        </w:rPr>
      </w:pPr>
      <w:r>
        <w:rPr>
          <w:sz w:val="24"/>
          <w:szCs w:val="24"/>
        </w:rPr>
        <w:t>光合仪标准叶室套装             1套</w:t>
      </w:r>
    </w:p>
    <w:p>
      <w:pPr>
        <w:pStyle w:val="31"/>
        <w:widowControl w:val="0"/>
        <w:numPr>
          <w:ilvl w:val="2"/>
          <w:numId w:val="3"/>
        </w:numPr>
        <w:spacing w:line="264" w:lineRule="auto"/>
        <w:ind w:firstLineChars="0"/>
        <w:jc w:val="both"/>
        <w:rPr>
          <w:sz w:val="24"/>
          <w:szCs w:val="24"/>
        </w:rPr>
      </w:pPr>
      <w:r>
        <w:rPr>
          <w:sz w:val="24"/>
          <w:szCs w:val="24"/>
        </w:rPr>
        <w:t>RGB红绿蓝三色LED光源       1套</w:t>
      </w:r>
    </w:p>
    <w:p>
      <w:pPr>
        <w:pStyle w:val="31"/>
        <w:widowControl w:val="0"/>
        <w:numPr>
          <w:ilvl w:val="2"/>
          <w:numId w:val="3"/>
        </w:numPr>
        <w:spacing w:line="264" w:lineRule="auto"/>
        <w:ind w:firstLineChars="0"/>
        <w:jc w:val="both"/>
        <w:rPr>
          <w:sz w:val="24"/>
          <w:szCs w:val="24"/>
        </w:rPr>
      </w:pPr>
      <w:r>
        <w:rPr>
          <w:sz w:val="24"/>
          <w:szCs w:val="24"/>
        </w:rPr>
        <w:t>标准配件包（干燥剂、碱石灰、叶室密封材料）    1套</w:t>
      </w:r>
    </w:p>
    <w:p>
      <w:pPr>
        <w:pStyle w:val="31"/>
        <w:widowControl w:val="0"/>
        <w:numPr>
          <w:ilvl w:val="2"/>
          <w:numId w:val="3"/>
        </w:numPr>
        <w:spacing w:line="264" w:lineRule="auto"/>
        <w:ind w:firstLineChars="0"/>
        <w:jc w:val="both"/>
        <w:rPr>
          <w:sz w:val="24"/>
          <w:szCs w:val="24"/>
        </w:rPr>
      </w:pPr>
      <w:r>
        <w:rPr>
          <w:sz w:val="24"/>
          <w:szCs w:val="24"/>
        </w:rPr>
        <w:t>CO</w:t>
      </w:r>
      <w:r>
        <w:rPr>
          <w:sz w:val="24"/>
          <w:szCs w:val="24"/>
          <w:vertAlign w:val="subscript"/>
        </w:rPr>
        <w:t>2</w:t>
      </w:r>
      <w:r>
        <w:rPr>
          <w:sz w:val="24"/>
          <w:szCs w:val="24"/>
        </w:rPr>
        <w:t>小钢瓶                         100个</w:t>
      </w:r>
    </w:p>
    <w:p>
      <w:pPr>
        <w:pStyle w:val="31"/>
        <w:widowControl w:val="0"/>
        <w:numPr>
          <w:ilvl w:val="2"/>
          <w:numId w:val="3"/>
        </w:numPr>
        <w:spacing w:line="264" w:lineRule="auto"/>
        <w:ind w:firstLineChars="0"/>
        <w:jc w:val="both"/>
        <w:rPr>
          <w:sz w:val="24"/>
          <w:szCs w:val="24"/>
        </w:rPr>
      </w:pPr>
      <w:r>
        <w:rPr>
          <w:sz w:val="24"/>
          <w:szCs w:val="24"/>
        </w:rPr>
        <w:t>操作软件及数据线缆                 1套</w:t>
      </w:r>
    </w:p>
    <w:p>
      <w:pPr>
        <w:pStyle w:val="31"/>
        <w:widowControl w:val="0"/>
        <w:numPr>
          <w:ilvl w:val="2"/>
          <w:numId w:val="3"/>
        </w:numPr>
        <w:spacing w:line="264" w:lineRule="auto"/>
        <w:ind w:firstLineChars="0"/>
        <w:jc w:val="both"/>
        <w:rPr>
          <w:sz w:val="24"/>
          <w:szCs w:val="24"/>
        </w:rPr>
      </w:pPr>
      <w:r>
        <w:rPr>
          <w:sz w:val="24"/>
          <w:szCs w:val="24"/>
        </w:rPr>
        <w:t>便携包                             1套</w:t>
      </w:r>
    </w:p>
    <w:p>
      <w:pPr>
        <w:numPr>
          <w:ilvl w:val="1"/>
          <w:numId w:val="3"/>
        </w:numPr>
        <w:spacing w:beforeLines="50" w:afterLines="50" w:line="264" w:lineRule="auto"/>
        <w:rPr>
          <w:b/>
          <w:bCs/>
          <w:sz w:val="24"/>
        </w:rPr>
      </w:pPr>
      <w:r>
        <w:rPr>
          <w:b/>
          <w:bCs/>
          <w:sz w:val="24"/>
        </w:rPr>
        <w:t>技术指标</w:t>
      </w:r>
    </w:p>
    <w:p>
      <w:pPr>
        <w:numPr>
          <w:ilvl w:val="2"/>
          <w:numId w:val="3"/>
        </w:numPr>
        <w:spacing w:beforeLines="50" w:afterLines="50" w:line="264" w:lineRule="auto"/>
        <w:rPr>
          <w:sz w:val="24"/>
        </w:rPr>
      </w:pPr>
      <w:r>
        <w:rPr>
          <w:rFonts w:hint="eastAsia" w:ascii="宋体" w:hAnsi="宋体" w:cs="宋体"/>
          <w:kern w:val="0"/>
          <w:sz w:val="24"/>
        </w:rPr>
        <w:t>★</w:t>
      </w:r>
      <w:r>
        <w:rPr>
          <w:sz w:val="24"/>
        </w:rPr>
        <w:t>差分开放式红外线气体分析系统，自动调零，自动气压温度补偿。</w:t>
      </w:r>
    </w:p>
    <w:p>
      <w:pPr>
        <w:numPr>
          <w:ilvl w:val="2"/>
          <w:numId w:val="3"/>
        </w:numPr>
        <w:spacing w:beforeLines="50" w:afterLines="50" w:line="264" w:lineRule="auto"/>
        <w:rPr>
          <w:sz w:val="24"/>
        </w:rPr>
      </w:pPr>
      <w:r>
        <w:rPr>
          <w:sz w:val="24"/>
        </w:rPr>
        <w:t>CO</w:t>
      </w:r>
      <w:r>
        <w:rPr>
          <w:sz w:val="24"/>
          <w:vertAlign w:val="subscript"/>
        </w:rPr>
        <w:t>2</w:t>
      </w:r>
      <w:r>
        <w:rPr>
          <w:sz w:val="24"/>
        </w:rPr>
        <w:t>量程：0 - 3000 ppm，分辨率1 ppm，</w:t>
      </w:r>
      <w:r>
        <w:rPr>
          <w:rFonts w:eastAsia="微软雅黑"/>
          <w:sz w:val="24"/>
        </w:rPr>
        <w:t xml:space="preserve">      </w:t>
      </w:r>
    </w:p>
    <w:p>
      <w:pPr>
        <w:numPr>
          <w:ilvl w:val="2"/>
          <w:numId w:val="3"/>
        </w:numPr>
        <w:spacing w:beforeLines="50" w:afterLines="50" w:line="264" w:lineRule="auto"/>
        <w:rPr>
          <w:sz w:val="24"/>
        </w:rPr>
      </w:pPr>
      <w:r>
        <w:rPr>
          <w:rFonts w:eastAsia="微软雅黑"/>
        </w:rPr>
        <w:t>PAR</w:t>
      </w:r>
      <w:r>
        <w:t>：</w:t>
      </w:r>
      <w:r>
        <w:rPr>
          <w:rFonts w:eastAsia="微软雅黑"/>
        </w:rPr>
        <w:t>0 - 3000 μmolm</w:t>
      </w:r>
      <w:r>
        <w:rPr>
          <w:rFonts w:eastAsia="微软雅黑"/>
          <w:vertAlign w:val="superscript"/>
        </w:rPr>
        <w:t>-2</w:t>
      </w:r>
      <w:r>
        <w:rPr>
          <w:rFonts w:eastAsia="微软雅黑"/>
        </w:rPr>
        <w:t>s</w:t>
      </w:r>
      <w:r>
        <w:rPr>
          <w:rFonts w:eastAsia="微软雅黑"/>
          <w:vertAlign w:val="superscript"/>
        </w:rPr>
        <w:t>-1</w:t>
      </w:r>
      <w:r>
        <w:t>，硅光敏电池</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ascii="Times New Roman" w:hAnsi="Times New Roman" w:cs="Times New Roman"/>
        </w:rPr>
        <w:t>叶室温度：</w:t>
      </w:r>
      <w:r>
        <w:rPr>
          <w:rFonts w:ascii="Times New Roman" w:hAnsi="Times New Roman" w:eastAsia="微软雅黑" w:cs="Times New Roman"/>
        </w:rPr>
        <w:t>-5 - 50 </w:t>
      </w:r>
      <w:r>
        <w:rPr>
          <w:rFonts w:ascii="Times New Roman" w:hAnsi="Times New Roman" w:cs="Times New Roman"/>
        </w:rPr>
        <w:t>℃，精度±</w:t>
      </w:r>
      <w:r>
        <w:rPr>
          <w:rFonts w:ascii="Times New Roman" w:hAnsi="Times New Roman" w:eastAsia="微软雅黑" w:cs="Times New Roman"/>
        </w:rPr>
        <w:t>0.2</w:t>
      </w:r>
      <w:r>
        <w:rPr>
          <w:rFonts w:ascii="Times New Roman" w:hAnsi="Times New Roman" w:cs="Times New Roman"/>
        </w:rPr>
        <w:t>℃</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ascii="Times New Roman" w:hAnsi="Times New Roman" w:cs="Times New Roman"/>
        </w:rPr>
        <w:t>叶片温度：</w:t>
      </w:r>
      <w:r>
        <w:rPr>
          <w:rFonts w:ascii="Times New Roman" w:hAnsi="Times New Roman" w:eastAsia="微软雅黑" w:cs="Times New Roman"/>
        </w:rPr>
        <w:t>-5 - 50 </w:t>
      </w:r>
      <w:r>
        <w:rPr>
          <w:rFonts w:ascii="Times New Roman" w:hAnsi="Times New Roman" w:cs="Times New Roman"/>
        </w:rPr>
        <w:t>℃</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hint="eastAsia"/>
        </w:rPr>
        <w:t>★</w:t>
      </w:r>
      <w:r>
        <w:rPr>
          <w:rFonts w:ascii="Times New Roman" w:hAnsi="Times New Roman" w:eastAsia="微软雅黑" w:cs="Times New Roman"/>
        </w:rPr>
        <w:t>CO</w:t>
      </w:r>
      <w:r>
        <w:rPr>
          <w:rFonts w:ascii="Times New Roman" w:hAnsi="Times New Roman" w:eastAsia="微软雅黑" w:cs="Times New Roman"/>
          <w:vertAlign w:val="subscript"/>
        </w:rPr>
        <w:t>2</w:t>
      </w:r>
      <w:r>
        <w:rPr>
          <w:rFonts w:ascii="Times New Roman" w:hAnsi="Times New Roman" w:cs="Times New Roman"/>
        </w:rPr>
        <w:t>控制：</w:t>
      </w:r>
      <w:r>
        <w:rPr>
          <w:rFonts w:ascii="Times New Roman" w:hAnsi="Times New Roman" w:eastAsia="微软雅黑" w:cs="Times New Roman"/>
        </w:rPr>
        <w:t>0-2000 ppm</w:t>
      </w:r>
      <w:r>
        <w:rPr>
          <w:rFonts w:ascii="Times New Roman" w:hAnsi="Times New Roman" w:cs="Times New Roman"/>
        </w:rPr>
        <w:t>，基于内置</w:t>
      </w:r>
      <w:r>
        <w:rPr>
          <w:rFonts w:ascii="Times New Roman" w:hAnsi="Times New Roman" w:eastAsia="微软雅黑" w:cs="Times New Roman"/>
        </w:rPr>
        <w:t>CO</w:t>
      </w:r>
      <w:r>
        <w:rPr>
          <w:rFonts w:ascii="Times New Roman" w:hAnsi="Times New Roman" w:eastAsia="微软雅黑" w:cs="Times New Roman"/>
          <w:vertAlign w:val="subscript"/>
        </w:rPr>
        <w:t>2</w:t>
      </w:r>
      <w:r>
        <w:rPr>
          <w:rFonts w:ascii="Times New Roman" w:hAnsi="Times New Roman" w:cs="Times New Roman"/>
        </w:rPr>
        <w:t>供应系统</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ascii="Times New Roman" w:hAnsi="Times New Roman" w:eastAsia="微软雅黑" w:cs="Times New Roman"/>
        </w:rPr>
        <w:t>H</w:t>
      </w:r>
      <w:r>
        <w:rPr>
          <w:rFonts w:ascii="Times New Roman" w:hAnsi="Times New Roman" w:eastAsia="微软雅黑" w:cs="Times New Roman"/>
          <w:vertAlign w:val="subscript"/>
        </w:rPr>
        <w:t>2</w:t>
      </w:r>
      <w:r>
        <w:rPr>
          <w:rFonts w:ascii="Times New Roman" w:hAnsi="Times New Roman" w:eastAsia="微软雅黑" w:cs="Times New Roman"/>
        </w:rPr>
        <w:t>O</w:t>
      </w:r>
      <w:r>
        <w:rPr>
          <w:rFonts w:ascii="Times New Roman" w:hAnsi="Times New Roman" w:cs="Times New Roman"/>
        </w:rPr>
        <w:t>控制：基于自变色干燥、加湿管双重控湿，可高于或低于环境湿度。</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hint="eastAsia"/>
        </w:rPr>
        <w:t>★</w:t>
      </w:r>
      <w:r>
        <w:rPr>
          <w:rFonts w:ascii="Times New Roman" w:hAnsi="Times New Roman" w:eastAsia="微软雅黑" w:cs="Times New Roman"/>
        </w:rPr>
        <w:t>PAR</w:t>
      </w:r>
      <w:r>
        <w:rPr>
          <w:rFonts w:ascii="Times New Roman" w:hAnsi="Times New Roman" w:cs="Times New Roman"/>
        </w:rPr>
        <w:t>控制：</w:t>
      </w:r>
      <w:r>
        <w:rPr>
          <w:rFonts w:ascii="Times New Roman" w:hAnsi="Times New Roman" w:eastAsia="微软雅黑" w:cs="Times New Roman"/>
        </w:rPr>
        <w:t>RGB</w:t>
      </w:r>
      <w:r>
        <w:rPr>
          <w:rFonts w:ascii="Times New Roman" w:hAnsi="Times New Roman" w:cs="Times New Roman"/>
        </w:rPr>
        <w:t>红绿蓝三色</w:t>
      </w:r>
      <w:r>
        <w:rPr>
          <w:rFonts w:ascii="Times New Roman" w:hAnsi="Times New Roman" w:eastAsia="微软雅黑" w:cs="Times New Roman"/>
        </w:rPr>
        <w:t>LED</w:t>
      </w:r>
      <w:r>
        <w:rPr>
          <w:rFonts w:ascii="Times New Roman" w:hAnsi="Times New Roman" w:cs="Times New Roman"/>
        </w:rPr>
        <w:t>光源：</w:t>
      </w:r>
      <w:r>
        <w:rPr>
          <w:rFonts w:ascii="Times New Roman" w:hAnsi="Times New Roman" w:eastAsia="微软雅黑" w:cs="Times New Roman"/>
        </w:rPr>
        <w:t>0-2400 μmol m</w:t>
      </w:r>
      <w:r>
        <w:rPr>
          <w:rFonts w:ascii="Times New Roman" w:hAnsi="Times New Roman" w:eastAsia="微软雅黑" w:cs="Times New Roman"/>
          <w:vertAlign w:val="superscript"/>
        </w:rPr>
        <w:t>-2</w:t>
      </w:r>
      <w:r>
        <w:rPr>
          <w:rFonts w:ascii="Times New Roman" w:hAnsi="Times New Roman" w:eastAsia="微软雅黑" w:cs="Times New Roman"/>
        </w:rPr>
        <w:t>s</w:t>
      </w:r>
      <w:r>
        <w:rPr>
          <w:rFonts w:ascii="Times New Roman" w:hAnsi="Times New Roman" w:eastAsia="微软雅黑" w:cs="Times New Roman"/>
          <w:vertAlign w:val="superscript"/>
        </w:rPr>
        <w:t>-1</w:t>
      </w:r>
      <w:r>
        <w:rPr>
          <w:rFonts w:ascii="Times New Roman" w:hAnsi="Times New Roman" w:cs="Times New Roman"/>
        </w:rPr>
        <w:t>；白光</w:t>
      </w:r>
      <w:r>
        <w:rPr>
          <w:rFonts w:ascii="Times New Roman" w:hAnsi="Times New Roman" w:eastAsia="微软雅黑" w:cs="Times New Roman"/>
        </w:rPr>
        <w:t>LED</w:t>
      </w:r>
      <w:r>
        <w:rPr>
          <w:rFonts w:ascii="Times New Roman" w:hAnsi="Times New Roman" w:cs="Times New Roman"/>
        </w:rPr>
        <w:t>光源：</w:t>
      </w:r>
      <w:r>
        <w:rPr>
          <w:rFonts w:ascii="Times New Roman" w:hAnsi="Times New Roman" w:eastAsia="微软雅黑" w:cs="Times New Roman"/>
        </w:rPr>
        <w:t>0-2500 μmol m</w:t>
      </w:r>
      <w:r>
        <w:rPr>
          <w:rFonts w:ascii="Times New Roman" w:hAnsi="Times New Roman" w:eastAsia="微软雅黑" w:cs="Times New Roman"/>
          <w:vertAlign w:val="superscript"/>
        </w:rPr>
        <w:t>-2</w:t>
      </w:r>
      <w:r>
        <w:rPr>
          <w:rFonts w:ascii="Times New Roman" w:hAnsi="Times New Roman" w:eastAsia="微软雅黑" w:cs="Times New Roman"/>
        </w:rPr>
        <w:t>s</w:t>
      </w:r>
      <w:r>
        <w:rPr>
          <w:rFonts w:ascii="Times New Roman" w:hAnsi="Times New Roman" w:eastAsia="微软雅黑" w:cs="Times New Roman"/>
          <w:vertAlign w:val="superscript"/>
        </w:rPr>
        <w:t>-1    </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hint="eastAsia"/>
        </w:rPr>
        <w:t>★</w:t>
      </w:r>
      <w:r>
        <w:rPr>
          <w:rFonts w:ascii="Times New Roman" w:hAnsi="Times New Roman" w:cs="Times New Roman"/>
        </w:rPr>
        <w:t>温度控制：可增温</w:t>
      </w:r>
      <w:r>
        <w:rPr>
          <w:rFonts w:ascii="Times New Roman" w:hAnsi="Times New Roman" w:eastAsia="微软雅黑" w:cs="Times New Roman"/>
        </w:rPr>
        <w:t>+15</w:t>
      </w:r>
      <w:r>
        <w:rPr>
          <w:rFonts w:ascii="Times New Roman" w:hAnsi="Times New Roman" w:cs="Times New Roman"/>
        </w:rPr>
        <w:t>℃，可降温</w:t>
      </w:r>
      <w:r>
        <w:rPr>
          <w:rFonts w:ascii="Times New Roman" w:hAnsi="Times New Roman" w:eastAsia="微软雅黑" w:cs="Times New Roman"/>
        </w:rPr>
        <w:t>-10</w:t>
      </w:r>
      <w:r>
        <w:rPr>
          <w:rFonts w:ascii="Times New Roman" w:hAnsi="Times New Roman" w:cs="Times New Roman"/>
        </w:rPr>
        <w:t>℃，或跟随环境温度</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ascii="Times New Roman" w:hAnsi="Times New Roman" w:cs="Times New Roman"/>
        </w:rPr>
        <w:t>显示屏：彩色</w:t>
      </w:r>
      <w:r>
        <w:rPr>
          <w:rFonts w:ascii="Times New Roman" w:hAnsi="Times New Roman" w:eastAsia="微软雅黑" w:cs="Times New Roman"/>
        </w:rPr>
        <w:t>WQVGA</w:t>
      </w:r>
      <w:r>
        <w:rPr>
          <w:rFonts w:ascii="Times New Roman" w:hAnsi="Times New Roman" w:cs="Times New Roman"/>
        </w:rPr>
        <w:t>触控</w:t>
      </w:r>
      <w:r>
        <w:rPr>
          <w:rFonts w:ascii="Times New Roman" w:hAnsi="Times New Roman" w:eastAsia="微软雅黑" w:cs="Times New Roman"/>
        </w:rPr>
        <w:t>LCD</w:t>
      </w:r>
      <w:r>
        <w:rPr>
          <w:rFonts w:ascii="Times New Roman" w:hAnsi="Times New Roman" w:cs="Times New Roman"/>
        </w:rPr>
        <w:t>液晶显示屏</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ascii="Times New Roman" w:hAnsi="Times New Roman" w:cs="Times New Roman"/>
        </w:rPr>
        <w:t>数据存储：</w:t>
      </w:r>
      <w:r>
        <w:rPr>
          <w:rFonts w:ascii="Times New Roman" w:hAnsi="Times New Roman" w:eastAsia="微软雅黑" w:cs="Times New Roman"/>
        </w:rPr>
        <w:t>SD</w:t>
      </w:r>
      <w:r>
        <w:rPr>
          <w:rFonts w:ascii="Times New Roman" w:hAnsi="Times New Roman" w:cs="Times New Roman"/>
        </w:rPr>
        <w:t>卡，最大支持</w:t>
      </w:r>
      <w:r>
        <w:rPr>
          <w:rFonts w:ascii="Times New Roman" w:hAnsi="Times New Roman" w:eastAsia="微软雅黑" w:cs="Times New Roman"/>
        </w:rPr>
        <w:t>32GB</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ascii="Times New Roman" w:hAnsi="Times New Roman" w:cs="Times New Roman"/>
        </w:rPr>
        <w:t>数据导出：可通过</w:t>
      </w:r>
      <w:r>
        <w:rPr>
          <w:rFonts w:ascii="Times New Roman" w:hAnsi="Times New Roman" w:eastAsia="微软雅黑" w:cs="Times New Roman"/>
        </w:rPr>
        <w:t> SD </w:t>
      </w:r>
      <w:r>
        <w:rPr>
          <w:rFonts w:ascii="Times New Roman" w:hAnsi="Times New Roman" w:cs="Times New Roman"/>
        </w:rPr>
        <w:t>卡或</w:t>
      </w:r>
      <w:r>
        <w:rPr>
          <w:rFonts w:ascii="Times New Roman" w:hAnsi="Times New Roman" w:eastAsia="微软雅黑" w:cs="Times New Roman"/>
        </w:rPr>
        <w:t> USB </w:t>
      </w:r>
      <w:r>
        <w:rPr>
          <w:rFonts w:ascii="Times New Roman" w:hAnsi="Times New Roman" w:cs="Times New Roman"/>
        </w:rPr>
        <w:t>数据线导出</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ascii="Times New Roman" w:hAnsi="Times New Roman" w:cs="Times New Roman"/>
        </w:rPr>
        <w:t>操作温度：</w:t>
      </w:r>
      <w:r>
        <w:rPr>
          <w:rFonts w:ascii="Times New Roman" w:hAnsi="Times New Roman" w:eastAsia="微软雅黑" w:cs="Times New Roman"/>
        </w:rPr>
        <w:t>5</w:t>
      </w:r>
      <w:r>
        <w:rPr>
          <w:rFonts w:ascii="Times New Roman" w:hAnsi="Times New Roman" w:cs="Times New Roman"/>
        </w:rPr>
        <w:t>℃到</w:t>
      </w:r>
      <w:r>
        <w:rPr>
          <w:rFonts w:ascii="Times New Roman" w:hAnsi="Times New Roman" w:eastAsia="微软雅黑" w:cs="Times New Roman"/>
        </w:rPr>
        <w:t>45</w:t>
      </w:r>
      <w:r>
        <w:rPr>
          <w:rFonts w:ascii="Times New Roman" w:hAnsi="Times New Roman" w:cs="Times New Roman"/>
        </w:rPr>
        <w:t>℃</w:t>
      </w:r>
    </w:p>
    <w:p>
      <w:pPr>
        <w:pStyle w:val="13"/>
        <w:numPr>
          <w:ilvl w:val="2"/>
          <w:numId w:val="3"/>
        </w:numPr>
        <w:shd w:val="clear" w:color="auto" w:fill="FFFFFF"/>
        <w:spacing w:before="0" w:beforeAutospacing="0" w:after="0" w:afterAutospacing="0" w:line="264" w:lineRule="auto"/>
        <w:rPr>
          <w:rFonts w:ascii="Times New Roman" w:hAnsi="Times New Roman" w:eastAsia="微软雅黑" w:cs="Times New Roman"/>
        </w:rPr>
      </w:pPr>
      <w:r>
        <w:rPr>
          <w:rFonts w:hint="eastAsia"/>
        </w:rPr>
        <w:t>★</w:t>
      </w:r>
      <w:r>
        <w:rPr>
          <w:rFonts w:ascii="Times New Roman" w:hAnsi="Times New Roman" w:cs="Times New Roman"/>
        </w:rPr>
        <w:t>电池：</w:t>
      </w:r>
      <w:r>
        <w:rPr>
          <w:rFonts w:ascii="Times New Roman" w:hAnsi="Times New Roman" w:eastAsia="微软雅黑" w:cs="Times New Roman"/>
        </w:rPr>
        <w:t>7.5 Ah</w:t>
      </w:r>
      <w:r>
        <w:rPr>
          <w:rFonts w:ascii="Times New Roman" w:hAnsi="Times New Roman" w:cs="Times New Roman"/>
        </w:rPr>
        <w:t>，</w:t>
      </w:r>
      <w:r>
        <w:rPr>
          <w:rFonts w:ascii="Times New Roman" w:hAnsi="Times New Roman" w:eastAsia="微软雅黑" w:cs="Times New Roman"/>
        </w:rPr>
        <w:t>12 V </w:t>
      </w:r>
      <w:r>
        <w:rPr>
          <w:rFonts w:ascii="Times New Roman" w:hAnsi="Times New Roman" w:cs="Times New Roman"/>
        </w:rPr>
        <w:t>锂电池，充电一次可使用</w:t>
      </w:r>
      <w:r>
        <w:rPr>
          <w:rFonts w:ascii="Times New Roman" w:hAnsi="Times New Roman" w:eastAsia="微软雅黑" w:cs="Times New Roman"/>
        </w:rPr>
        <w:t> 16 </w:t>
      </w:r>
      <w:r>
        <w:rPr>
          <w:rFonts w:ascii="Times New Roman" w:hAnsi="Times New Roman" w:cs="Times New Roman"/>
        </w:rPr>
        <w:t>小时左右</w:t>
      </w:r>
    </w:p>
    <w:p>
      <w:pPr>
        <w:spacing w:line="264" w:lineRule="auto"/>
        <w:rPr>
          <w:b/>
          <w:kern w:val="0"/>
          <w:sz w:val="24"/>
        </w:rPr>
      </w:pPr>
      <w:r>
        <w:rPr>
          <w:b/>
          <w:kern w:val="0"/>
          <w:sz w:val="24"/>
        </w:rPr>
        <w:t>2售后服务</w:t>
      </w:r>
    </w:p>
    <w:p>
      <w:pPr>
        <w:spacing w:line="264" w:lineRule="auto"/>
        <w:rPr>
          <w:b/>
          <w:kern w:val="0"/>
          <w:sz w:val="24"/>
        </w:rPr>
      </w:pPr>
      <w:r>
        <w:rPr>
          <w:kern w:val="0"/>
          <w:sz w:val="24"/>
        </w:rPr>
        <w:t>2.1卖方需到买方现场负责安装、调试设备，并培训操作。</w:t>
      </w:r>
    </w:p>
    <w:p>
      <w:pPr>
        <w:spacing w:line="264" w:lineRule="auto"/>
        <w:rPr>
          <w:kern w:val="0"/>
          <w:sz w:val="24"/>
        </w:rPr>
      </w:pPr>
      <w:r>
        <w:rPr>
          <w:kern w:val="0"/>
          <w:sz w:val="24"/>
        </w:rPr>
        <w:t>2.2质保期1年。在质保期内，24小时内回应解决问题办法，72小时内到现场解决问题。质保期满后，以最低价提供配件、耗材、维修等服务。</w:t>
      </w:r>
    </w:p>
    <w:p>
      <w:pPr>
        <w:spacing w:beforeLines="50" w:afterLines="50"/>
        <w:rPr>
          <w:rFonts w:ascii="Arial" w:hAnsi="宋体" w:cs="Arial"/>
          <w:sz w:val="24"/>
        </w:rPr>
      </w:pPr>
    </w:p>
    <w:p>
      <w:pPr>
        <w:pStyle w:val="8"/>
        <w:adjustRightInd w:val="0"/>
        <w:snapToGrid w:val="0"/>
        <w:spacing w:before="120" w:after="120" w:line="360" w:lineRule="auto"/>
        <w:rPr>
          <w:rFonts w:hAnsi="宋体"/>
          <w:b/>
          <w:sz w:val="28"/>
          <w:szCs w:val="28"/>
        </w:rPr>
      </w:pPr>
      <w:r>
        <w:rPr>
          <w:rFonts w:hint="eastAsia" w:hAnsi="宋体"/>
          <w:b/>
          <w:sz w:val="28"/>
          <w:szCs w:val="28"/>
        </w:rPr>
        <w:t>注：</w:t>
      </w:r>
      <w:r>
        <w:rPr>
          <w:rFonts w:hint="eastAsia" w:hAnsi="宋体"/>
          <w:b/>
          <w:sz w:val="28"/>
          <w:szCs w:val="28"/>
          <w:u w:val="single"/>
        </w:rPr>
        <w:t>报价时必须注明或说明品牌中具体投标品牌，否则投标无效。</w:t>
      </w:r>
    </w:p>
    <w:p>
      <w:pPr>
        <w:spacing w:line="360" w:lineRule="auto"/>
        <w:rPr>
          <w:rFonts w:ascii="宋体" w:hAnsi="宋体"/>
          <w:b/>
          <w:sz w:val="28"/>
          <w:szCs w:val="28"/>
        </w:rPr>
      </w:pPr>
      <w:r>
        <w:rPr>
          <w:rFonts w:hint="eastAsia" w:ascii="宋体" w:hAnsi="宋体"/>
          <w:b/>
          <w:sz w:val="28"/>
          <w:szCs w:val="28"/>
        </w:rPr>
        <w:t>★</w:t>
      </w:r>
      <w:r>
        <w:rPr>
          <w:rFonts w:hint="eastAsia"/>
          <w:sz w:val="28"/>
          <w:szCs w:val="28"/>
        </w:rPr>
        <w:t>▲</w:t>
      </w:r>
      <w:r>
        <w:rPr>
          <w:rFonts w:hint="eastAsia" w:ascii="宋体" w:hAnsi="宋体"/>
          <w:b/>
          <w:sz w:val="28"/>
          <w:szCs w:val="28"/>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rPr>
      </w:pPr>
    </w:p>
    <w:p>
      <w:pPr>
        <w:widowControl/>
        <w:jc w:val="left"/>
        <w:rPr>
          <w:rFonts w:hAnsi="宋体"/>
          <w:b/>
          <w:sz w:val="28"/>
          <w:szCs w:val="28"/>
        </w:rPr>
      </w:pPr>
      <w:r>
        <w:rPr>
          <w:rFonts w:hAnsi="宋体"/>
          <w:b/>
          <w:sz w:val="28"/>
          <w:szCs w:val="28"/>
        </w:rPr>
        <w:br w:type="page"/>
      </w: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p>
      <w:pPr>
        <w:widowControl/>
        <w:spacing w:line="360" w:lineRule="auto"/>
        <w:ind w:firstLine="482" w:firstLineChars="200"/>
        <w:textAlignment w:val="center"/>
        <w:rPr>
          <w:rFonts w:ascii="宋体" w:hAnsi="宋体"/>
          <w:b/>
          <w:sz w:val="24"/>
        </w:rPr>
      </w:pPr>
      <w:r>
        <w:rPr>
          <w:rFonts w:hint="eastAsia" w:ascii="宋体" w:hAnsi="宋体"/>
          <w:b/>
          <w:sz w:val="24"/>
        </w:rPr>
        <w:t>附件4：服务要求</w:t>
      </w:r>
    </w:p>
    <w:bookmarkEnd w:id="9"/>
    <w:bookmarkEnd w:id="10"/>
    <w:p>
      <w:pPr>
        <w:widowControl/>
        <w:spacing w:line="360" w:lineRule="auto"/>
        <w:ind w:firstLine="480" w:firstLineChars="200"/>
        <w:textAlignment w:val="center"/>
        <w:rPr>
          <w:rFonts w:ascii="宋体" w:hAnsi="宋体"/>
          <w:bCs/>
          <w:sz w:val="24"/>
        </w:rPr>
      </w:pPr>
      <w:r>
        <w:rPr>
          <w:rFonts w:hint="eastAsia" w:ascii="宋体" w:hAnsi="宋体"/>
          <w:bCs/>
          <w:sz w:val="24"/>
        </w:rPr>
        <w:t>1、本项目供货期：签订合同后</w:t>
      </w:r>
      <w:r>
        <w:rPr>
          <w:rFonts w:ascii="宋体" w:hAnsi="宋体"/>
          <w:bCs/>
          <w:sz w:val="24"/>
        </w:rPr>
        <w:t>90</w:t>
      </w:r>
      <w:r>
        <w:rPr>
          <w:rFonts w:hint="eastAsia" w:ascii="宋体" w:hAnsi="宋体"/>
          <w:bCs/>
          <w:sz w:val="24"/>
        </w:rPr>
        <w:t>日历天内安装调试完成。</w:t>
      </w:r>
    </w:p>
    <w:p>
      <w:pPr>
        <w:spacing w:line="360" w:lineRule="auto"/>
        <w:ind w:firstLine="420"/>
        <w:rPr>
          <w:rFonts w:ascii="宋体" w:hAnsi="宋体"/>
          <w:bCs/>
          <w:sz w:val="24"/>
        </w:rPr>
      </w:pPr>
      <w:r>
        <w:rPr>
          <w:rFonts w:hint="eastAsia" w:ascii="宋体" w:hAnsi="宋体"/>
          <w:bCs/>
          <w:sz w:val="24"/>
        </w:rPr>
        <w:t>2、质量要求：为了保证产品质量,所有产品必须是未拆封。</w:t>
      </w:r>
    </w:p>
    <w:p>
      <w:pPr>
        <w:widowControl/>
        <w:spacing w:line="360" w:lineRule="auto"/>
        <w:ind w:firstLine="480" w:firstLineChars="200"/>
        <w:textAlignment w:val="center"/>
      </w:pPr>
      <w:r>
        <w:rPr>
          <w:rFonts w:hint="eastAsia" w:ascii="宋体" w:hAnsi="宋体"/>
          <w:bCs/>
          <w:sz w:val="24"/>
        </w:rPr>
        <w:t>3、培训要求：供应商须提供优质的培训服务，根据不同需要分批为使用单位操作及工程技术人员提供培训，保证操作及工程技术人员能够熟悉运用、正常使用设备的各种功能并提供相关使用文档；</w:t>
      </w:r>
    </w:p>
    <w:p>
      <w:pPr>
        <w:widowControl/>
        <w:spacing w:line="360" w:lineRule="auto"/>
        <w:ind w:firstLine="480" w:firstLineChars="200"/>
        <w:textAlignment w:val="center"/>
        <w:rPr>
          <w:rFonts w:ascii="宋体" w:hAnsi="宋体"/>
          <w:bCs/>
          <w:sz w:val="24"/>
        </w:rPr>
      </w:pPr>
      <w:r>
        <w:rPr>
          <w:rFonts w:ascii="宋体" w:hAnsi="宋体"/>
          <w:bCs/>
          <w:sz w:val="24"/>
        </w:rPr>
        <w:t>4</w:t>
      </w:r>
      <w:r>
        <w:rPr>
          <w:rFonts w:hint="eastAsia" w:ascii="宋体" w:hAnsi="宋体"/>
          <w:bCs/>
          <w:sz w:val="24"/>
        </w:rPr>
        <w:t>、其他要求及补充说明</w:t>
      </w:r>
    </w:p>
    <w:p>
      <w:pPr>
        <w:widowControl/>
        <w:spacing w:line="360" w:lineRule="auto"/>
        <w:ind w:firstLine="480" w:firstLineChars="200"/>
        <w:textAlignment w:val="center"/>
        <w:rPr>
          <w:rFonts w:ascii="宋体" w:hAnsi="宋体"/>
          <w:bCs/>
          <w:sz w:val="24"/>
        </w:rPr>
      </w:pPr>
      <w:r>
        <w:rPr>
          <w:rFonts w:hint="eastAsia" w:ascii="宋体" w:hAnsi="宋体"/>
          <w:bCs/>
          <w:sz w:val="24"/>
        </w:rPr>
        <w:t>1）运输、安装、调试：由供应商免费承担，在合同签署后</w:t>
      </w:r>
      <w:r>
        <w:rPr>
          <w:rFonts w:ascii="宋体" w:hAnsi="宋体"/>
          <w:bCs/>
          <w:sz w:val="24"/>
        </w:rPr>
        <w:t>85</w:t>
      </w:r>
      <w:r>
        <w:rPr>
          <w:rFonts w:hint="eastAsia" w:ascii="宋体" w:hAnsi="宋体"/>
          <w:bCs/>
          <w:sz w:val="24"/>
        </w:rPr>
        <w:t>天内设备到达使用单位,</w:t>
      </w:r>
      <w:r>
        <w:rPr>
          <w:rFonts w:ascii="宋体" w:hAnsi="宋体"/>
          <w:bCs/>
          <w:sz w:val="24"/>
        </w:rPr>
        <w:t>90</w:t>
      </w:r>
      <w:r>
        <w:rPr>
          <w:rFonts w:hint="eastAsia" w:ascii="宋体" w:hAnsi="宋体"/>
          <w:bCs/>
          <w:sz w:val="24"/>
        </w:rPr>
        <w:t>天内完成安装、调试等服务并协助使用单位组织验收，最终通过用户及有关部门验收交付使用；商检、计量费用：由供应商免费承担；</w:t>
      </w:r>
    </w:p>
    <w:p>
      <w:pPr>
        <w:widowControl/>
        <w:spacing w:line="360" w:lineRule="auto"/>
        <w:ind w:firstLine="480" w:firstLineChars="200"/>
        <w:textAlignment w:val="center"/>
        <w:rPr>
          <w:rFonts w:ascii="宋体" w:hAnsi="宋体"/>
          <w:bCs/>
          <w:sz w:val="24"/>
        </w:rPr>
      </w:pPr>
      <w:r>
        <w:rPr>
          <w:rFonts w:hint="eastAsia" w:ascii="宋体" w:hAnsi="宋体"/>
          <w:bCs/>
          <w:sz w:val="24"/>
        </w:rPr>
        <w:t>2）供应商提供各硬件设备物理安装、操作系统安装、新软件平台环境的搭建，系统软件的安装调试，数据的备份转储，并对整体系统进行优化等服务；</w:t>
      </w:r>
    </w:p>
    <w:p>
      <w:pPr>
        <w:widowControl/>
        <w:spacing w:line="360" w:lineRule="auto"/>
        <w:ind w:firstLine="480" w:firstLineChars="200"/>
        <w:textAlignment w:val="center"/>
        <w:rPr>
          <w:rFonts w:ascii="宋体" w:hAnsi="宋体"/>
          <w:bCs/>
          <w:sz w:val="24"/>
        </w:rPr>
      </w:pPr>
      <w:r>
        <w:rPr>
          <w:rFonts w:hint="eastAsia" w:ascii="宋体" w:hAnsi="宋体"/>
          <w:bCs/>
          <w:sz w:val="24"/>
        </w:rPr>
        <w:t>3）投标总报价包括满足本项目要求的所有产品及其配件、包装、运杂、安装调试及售后服务等从项目中标起到项目正式交付以及质保期内所发生的一切费用；</w:t>
      </w:r>
    </w:p>
    <w:p>
      <w:pPr>
        <w:widowControl/>
        <w:spacing w:line="360" w:lineRule="auto"/>
        <w:ind w:firstLine="480" w:firstLineChars="200"/>
        <w:textAlignment w:val="center"/>
        <w:rPr>
          <w:rFonts w:ascii="宋体" w:hAnsi="宋体"/>
          <w:bCs/>
          <w:sz w:val="24"/>
        </w:rPr>
      </w:pPr>
      <w:r>
        <w:rPr>
          <w:rFonts w:hint="eastAsia" w:ascii="宋体" w:hAnsi="宋体"/>
          <w:bCs/>
          <w:sz w:val="24"/>
        </w:rPr>
        <w:t>4）投标人必须在满足招标文件要求的基础上进行报价，如有技术偏离请于投标偏离表中说明。</w:t>
      </w: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adjustRightInd w:val="0"/>
        <w:snapToGrid w:val="0"/>
        <w:spacing w:line="360" w:lineRule="auto"/>
        <w:rPr>
          <w:rFonts w:asci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2" w:firstLineChars="200"/>
        <w:rPr>
          <w:rFonts w:ascii="宋体" w:hAnsi="宋体"/>
          <w:b/>
          <w:bCs/>
          <w:sz w:val="24"/>
        </w:rPr>
      </w:pPr>
      <w:r>
        <w:rPr>
          <w:rFonts w:hint="eastAsia" w:ascii="宋体" w:hAnsi="宋体"/>
          <w:b/>
          <w:bCs/>
          <w:sz w:val="24"/>
        </w:rPr>
        <w:t>本项目采用综合评分法，总分为：</w:t>
      </w:r>
      <w:r>
        <w:rPr>
          <w:rFonts w:ascii="宋体" w:hAnsi="宋体"/>
          <w:b/>
          <w:bCs/>
          <w:sz w:val="24"/>
        </w:rPr>
        <w:t>100</w:t>
      </w:r>
      <w:r>
        <w:rPr>
          <w:rFonts w:hint="eastAsia" w:ascii="宋体" w:hAnsi="宋体"/>
          <w:b/>
          <w:bCs/>
          <w:sz w:val="24"/>
        </w:rPr>
        <w:t>分。</w:t>
      </w:r>
    </w:p>
    <w:tbl>
      <w:tblPr>
        <w:tblStyle w:val="15"/>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br w:type="page"/>
            </w:r>
            <w:r>
              <w:rPr>
                <w:rFonts w:eastAsiaTheme="majorEastAsia"/>
                <w:kern w:val="0"/>
                <w:sz w:val="24"/>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评审因素</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1</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投标报价</w:t>
            </w:r>
          </w:p>
          <w:p>
            <w:pPr>
              <w:jc w:val="left"/>
              <w:rPr>
                <w:rFonts w:eastAsiaTheme="majorEastAsia"/>
                <w:kern w:val="0"/>
                <w:sz w:val="24"/>
              </w:rPr>
            </w:pPr>
            <w:r>
              <w:rPr>
                <w:rFonts w:eastAsiaTheme="majorEastAsia"/>
                <w:kern w:val="0"/>
                <w:sz w:val="24"/>
              </w:rPr>
              <w:t>（30分）</w:t>
            </w:r>
          </w:p>
        </w:tc>
        <w:tc>
          <w:tcPr>
            <w:tcW w:w="7581" w:type="dxa"/>
            <w:tcBorders>
              <w:top w:val="single" w:color="auto" w:sz="4" w:space="0"/>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价格分采用低价优先法计算，即满足招标文件要求且投标价格最低的投标报价为评标基准价，其价格分为满分30分。其他投标人的价格分按照下列公式计算：</w:t>
            </w:r>
          </w:p>
          <w:p>
            <w:pPr>
              <w:jc w:val="left"/>
              <w:rPr>
                <w:rFonts w:eastAsiaTheme="majorEastAsia"/>
                <w:kern w:val="0"/>
                <w:sz w:val="24"/>
              </w:rPr>
            </w:pPr>
            <w:r>
              <w:rPr>
                <w:rFonts w:eastAsiaTheme="majorEastAsia"/>
                <w:kern w:val="0"/>
                <w:sz w:val="24"/>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766" w:type="dxa"/>
            <w:tcBorders>
              <w:top w:val="single" w:color="auto" w:sz="4" w:space="0"/>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2</w:t>
            </w:r>
          </w:p>
        </w:tc>
        <w:tc>
          <w:tcPr>
            <w:tcW w:w="1340" w:type="dxa"/>
            <w:tcBorders>
              <w:top w:val="single" w:color="auto" w:sz="4" w:space="0"/>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技术参数</w:t>
            </w:r>
          </w:p>
          <w:p>
            <w:pPr>
              <w:jc w:val="left"/>
              <w:rPr>
                <w:rFonts w:eastAsiaTheme="majorEastAsia"/>
                <w:kern w:val="0"/>
                <w:sz w:val="24"/>
              </w:rPr>
            </w:pPr>
            <w:r>
              <w:rPr>
                <w:rFonts w:eastAsiaTheme="majorEastAsia"/>
                <w:kern w:val="0"/>
                <w:sz w:val="24"/>
              </w:rPr>
              <w:t>（50分）</w:t>
            </w:r>
          </w:p>
        </w:tc>
        <w:tc>
          <w:tcPr>
            <w:tcW w:w="7581" w:type="dxa"/>
            <w:tcBorders>
              <w:top w:val="single" w:color="auto" w:sz="4" w:space="0"/>
              <w:left w:val="single" w:color="auto" w:sz="4" w:space="0"/>
              <w:right w:val="single" w:color="auto" w:sz="4" w:space="0"/>
            </w:tcBorders>
            <w:vAlign w:val="center"/>
          </w:tcPr>
          <w:p>
            <w:pPr>
              <w:spacing w:line="360" w:lineRule="exact"/>
              <w:rPr>
                <w:rFonts w:eastAsiaTheme="majorEastAsia"/>
                <w:kern w:val="0"/>
                <w:sz w:val="24"/>
              </w:rPr>
            </w:pPr>
            <w:r>
              <w:rPr>
                <w:rFonts w:eastAsiaTheme="majorEastAsia"/>
                <w:kern w:val="0"/>
                <w:sz w:val="24"/>
              </w:rPr>
              <w:t>设备技术参数全部满足招标要求的得满分；打</w:t>
            </w:r>
            <w:r>
              <w:rPr>
                <w:rFonts w:ascii="Segoe UI Symbol" w:hAnsi="Segoe UI Symbol" w:cs="Segoe UI Symbol" w:eastAsiaTheme="majorEastAsia"/>
                <w:kern w:val="0"/>
                <w:sz w:val="24"/>
              </w:rPr>
              <w:t>★</w:t>
            </w:r>
            <w:r>
              <w:rPr>
                <w:rFonts w:eastAsiaTheme="majorEastAsia"/>
                <w:kern w:val="0"/>
                <w:sz w:val="24"/>
              </w:rPr>
              <w:t>号指标为核心指标项，如有负偏离按无效投标处理；非打</w:t>
            </w:r>
            <w:r>
              <w:rPr>
                <w:rFonts w:ascii="Segoe UI Symbol" w:hAnsi="Segoe UI Symbol" w:cs="Segoe UI Symbol" w:eastAsiaTheme="majorEastAsia"/>
                <w:kern w:val="0"/>
                <w:sz w:val="24"/>
              </w:rPr>
              <w:t>★</w:t>
            </w:r>
            <w:r>
              <w:rPr>
                <w:rFonts w:eastAsiaTheme="majorEastAsia"/>
                <w:kern w:val="0"/>
                <w:sz w:val="24"/>
              </w:rPr>
              <w:t>号指标，有一项负偏离扣3分，扣完为止。严重负偏离影响设备性能的经半数以上评委认定，本项得零分。</w:t>
            </w:r>
          </w:p>
          <w:p>
            <w:pPr>
              <w:jc w:val="left"/>
              <w:rPr>
                <w:rFonts w:eastAsiaTheme="majorEastAsia"/>
                <w:kern w:val="0"/>
                <w:sz w:val="24"/>
              </w:rPr>
            </w:pPr>
            <w:r>
              <w:rPr>
                <w:rFonts w:eastAsiaTheme="majorEastAsia"/>
                <w:kern w:val="0"/>
                <w:sz w:val="24"/>
              </w:rPr>
              <w:t>各投标供应商均应如实填写偏离情况，技术参数性能等偏离不能改变采购产品使用的质量和功能，否则为无效投标。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66" w:type="dxa"/>
            <w:tcBorders>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3</w:t>
            </w:r>
          </w:p>
        </w:tc>
        <w:tc>
          <w:tcPr>
            <w:tcW w:w="1340" w:type="dxa"/>
            <w:tcBorders>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厂商信誉（9分）</w:t>
            </w:r>
          </w:p>
        </w:tc>
        <w:tc>
          <w:tcPr>
            <w:tcW w:w="7581" w:type="dxa"/>
            <w:tcBorders>
              <w:top w:val="single" w:color="auto" w:sz="4" w:space="0"/>
              <w:left w:val="single" w:color="auto" w:sz="4" w:space="0"/>
              <w:right w:val="single" w:color="auto" w:sz="4" w:space="0"/>
            </w:tcBorders>
            <w:vAlign w:val="center"/>
          </w:tcPr>
          <w:p>
            <w:pPr>
              <w:autoSpaceDE w:val="0"/>
              <w:autoSpaceDN w:val="0"/>
              <w:adjustRightInd w:val="0"/>
              <w:rPr>
                <w:rFonts w:eastAsiaTheme="majorEastAsia"/>
                <w:kern w:val="0"/>
                <w:sz w:val="24"/>
              </w:rPr>
            </w:pPr>
            <w:r>
              <w:rPr>
                <w:rFonts w:eastAsiaTheme="majorEastAsia"/>
                <w:kern w:val="0"/>
                <w:sz w:val="24"/>
              </w:rPr>
              <w:t>近3年承担</w:t>
            </w:r>
            <w:r>
              <w:rPr>
                <w:rFonts w:hint="eastAsia" w:eastAsiaTheme="majorEastAsia"/>
                <w:kern w:val="0"/>
                <w:sz w:val="24"/>
              </w:rPr>
              <w:t>类似</w:t>
            </w:r>
            <w:r>
              <w:rPr>
                <w:rFonts w:eastAsiaTheme="majorEastAsia"/>
                <w:kern w:val="0"/>
                <w:sz w:val="24"/>
              </w:rPr>
              <w:t>项目，每有一个得3分，最高得9分；</w:t>
            </w:r>
          </w:p>
          <w:p>
            <w:pPr>
              <w:pStyle w:val="45"/>
              <w:jc w:val="both"/>
              <w:rPr>
                <w:rFonts w:ascii="Times New Roman" w:hAnsi="Times New Roman" w:cs="Times New Roman" w:eastAsiaTheme="majorEastAsia"/>
                <w:sz w:val="24"/>
                <w:szCs w:val="24"/>
                <w:lang w:val="en-US" w:bidi="ar-SA"/>
              </w:rPr>
            </w:pPr>
            <w:r>
              <w:rPr>
                <w:rFonts w:ascii="Times New Roman" w:hAnsi="Times New Roman" w:cs="Times New Roman" w:eastAsiaTheme="majorEastAsia"/>
                <w:sz w:val="24"/>
                <w:szCs w:val="24"/>
                <w:lang w:val="en-US" w:bidi="ar-SA"/>
              </w:rPr>
              <w:t>近三年是指2017年</w:t>
            </w:r>
            <w:r>
              <w:rPr>
                <w:rFonts w:hint="eastAsia" w:ascii="Times New Roman" w:hAnsi="Times New Roman" w:cs="Times New Roman" w:eastAsiaTheme="majorEastAsia"/>
                <w:sz w:val="24"/>
                <w:szCs w:val="24"/>
                <w:lang w:val="en-US" w:bidi="ar-SA"/>
              </w:rPr>
              <w:t>5</w:t>
            </w:r>
            <w:r>
              <w:rPr>
                <w:rFonts w:ascii="Times New Roman" w:hAnsi="Times New Roman" w:cs="Times New Roman" w:eastAsiaTheme="majorEastAsia"/>
                <w:sz w:val="24"/>
                <w:szCs w:val="24"/>
                <w:lang w:val="en-US" w:bidi="ar-SA"/>
              </w:rPr>
              <w:t>月</w:t>
            </w:r>
            <w:r>
              <w:rPr>
                <w:rFonts w:hint="eastAsia" w:ascii="Times New Roman" w:hAnsi="Times New Roman" w:cs="Times New Roman" w:eastAsiaTheme="majorEastAsia"/>
                <w:sz w:val="24"/>
                <w:szCs w:val="24"/>
                <w:lang w:val="en-US" w:bidi="ar-SA"/>
              </w:rPr>
              <w:t>1</w:t>
            </w:r>
            <w:r>
              <w:rPr>
                <w:rFonts w:ascii="Times New Roman" w:hAnsi="Times New Roman" w:cs="Times New Roman" w:eastAsiaTheme="majorEastAsia"/>
                <w:sz w:val="24"/>
                <w:szCs w:val="24"/>
                <w:lang w:val="en-US" w:bidi="ar-SA"/>
              </w:rPr>
              <w:t>日至今，以合同签署时间为准，投标人须提供合同首页、含有项目名称的页面以及签章页，复印件加盖投标人公章，未提供不得分。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4</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售后服务</w:t>
            </w:r>
          </w:p>
          <w:p>
            <w:pPr>
              <w:jc w:val="left"/>
              <w:rPr>
                <w:rFonts w:eastAsiaTheme="majorEastAsia"/>
                <w:kern w:val="0"/>
                <w:sz w:val="24"/>
              </w:rPr>
            </w:pPr>
            <w:r>
              <w:rPr>
                <w:rFonts w:eastAsiaTheme="majorEastAsia"/>
                <w:kern w:val="0"/>
                <w:sz w:val="24"/>
              </w:rPr>
              <w:t>（5分）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31"/>
              <w:numPr>
                <w:ilvl w:val="0"/>
                <w:numId w:val="4"/>
              </w:numPr>
              <w:ind w:firstLineChars="0"/>
              <w:rPr>
                <w:rFonts w:eastAsiaTheme="majorEastAsia"/>
                <w:sz w:val="24"/>
                <w:szCs w:val="24"/>
              </w:rPr>
            </w:pPr>
            <w:r>
              <w:rPr>
                <w:rFonts w:eastAsiaTheme="majorEastAsia"/>
                <w:sz w:val="24"/>
                <w:szCs w:val="24"/>
              </w:rPr>
              <w:t>安装调试方案（2分）：依据供应商提供的本次招标采购设备到校后的安装调试方案的完整性、合理性最优的得2分，一般得1分，其他不得分。</w:t>
            </w:r>
          </w:p>
          <w:p>
            <w:pPr>
              <w:pStyle w:val="5"/>
              <w:numPr>
                <w:ilvl w:val="0"/>
                <w:numId w:val="4"/>
              </w:numPr>
              <w:kinsoku w:val="0"/>
              <w:overflowPunct w:val="0"/>
              <w:spacing w:line="360" w:lineRule="exact"/>
              <w:jc w:val="left"/>
              <w:rPr>
                <w:rFonts w:eastAsiaTheme="majorEastAsia"/>
                <w:sz w:val="24"/>
              </w:rPr>
            </w:pPr>
            <w:r>
              <w:rPr>
                <w:rFonts w:eastAsiaTheme="majorEastAsia"/>
                <w:sz w:val="24"/>
              </w:rPr>
              <w:t>售后服务方案（3分）：售后服务方案（服务体系、服务内容、故障解决方案、专业技术人员保障及服务电话）最优的得3分，一般得1分，其他不得分。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5</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承诺</w:t>
            </w:r>
          </w:p>
          <w:p>
            <w:pPr>
              <w:jc w:val="left"/>
              <w:rPr>
                <w:rFonts w:eastAsiaTheme="majorEastAsia"/>
                <w:kern w:val="0"/>
                <w:sz w:val="24"/>
              </w:rPr>
            </w:pPr>
            <w:r>
              <w:rPr>
                <w:rFonts w:eastAsiaTheme="majorEastAsia"/>
                <w:kern w:val="0"/>
                <w:sz w:val="24"/>
              </w:rPr>
              <w:t>（</w:t>
            </w:r>
            <w:r>
              <w:rPr>
                <w:rFonts w:hint="eastAsia" w:eastAsiaTheme="majorEastAsia"/>
                <w:kern w:val="0"/>
                <w:sz w:val="24"/>
              </w:rPr>
              <w:t>3</w:t>
            </w:r>
            <w:r>
              <w:rPr>
                <w:rFonts w:eastAsiaTheme="majorEastAsia"/>
                <w:kern w:val="0"/>
                <w:sz w:val="24"/>
              </w:rPr>
              <w:t>分）</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人承诺（3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6</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投标人资质</w:t>
            </w:r>
          </w:p>
          <w:p>
            <w:pPr>
              <w:jc w:val="left"/>
              <w:rPr>
                <w:rFonts w:eastAsiaTheme="majorEastAsia"/>
                <w:kern w:val="0"/>
                <w:sz w:val="24"/>
              </w:rPr>
            </w:pPr>
            <w:r>
              <w:rPr>
                <w:rFonts w:eastAsiaTheme="majorEastAsia"/>
                <w:kern w:val="0"/>
                <w:sz w:val="24"/>
              </w:rPr>
              <w:t>（1分）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lang w:val="en-US" w:bidi="ar-SA"/>
              </w:rPr>
            </w:pPr>
            <w:r>
              <w:rPr>
                <w:rFonts w:ascii="Times New Roman" w:hAnsi="Times New Roman" w:cs="Times New Roman" w:eastAsiaTheme="majorEastAsia"/>
                <w:sz w:val="24"/>
                <w:szCs w:val="24"/>
                <w:lang w:val="en-US" w:bidi="ar-SA"/>
              </w:rPr>
              <w:t>具有ISO9001质量管理体系认证证书得1分，否则不得分。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hint="eastAsia" w:eastAsiaTheme="majorEastAsia"/>
                <w:kern w:val="0"/>
                <w:sz w:val="24"/>
              </w:rPr>
              <w:t>7</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投标文件</w:t>
            </w:r>
          </w:p>
          <w:p>
            <w:pPr>
              <w:jc w:val="left"/>
              <w:rPr>
                <w:rFonts w:eastAsiaTheme="majorEastAsia"/>
                <w:kern w:val="0"/>
                <w:sz w:val="24"/>
              </w:rPr>
            </w:pPr>
            <w:r>
              <w:rPr>
                <w:rFonts w:hint="eastAsia" w:eastAsiaTheme="majorEastAsia"/>
                <w:kern w:val="0"/>
                <w:sz w:val="24"/>
              </w:rPr>
              <w:t>编制</w:t>
            </w:r>
            <w:r>
              <w:rPr>
                <w:rFonts w:eastAsiaTheme="majorEastAsia"/>
                <w:kern w:val="0"/>
                <w:sz w:val="24"/>
              </w:rPr>
              <w:t>（</w:t>
            </w:r>
            <w:r>
              <w:rPr>
                <w:rFonts w:hint="eastAsia" w:eastAsiaTheme="majorEastAsia"/>
                <w:kern w:val="0"/>
                <w:sz w:val="24"/>
              </w:rPr>
              <w:t>2</w:t>
            </w:r>
            <w:r>
              <w:rPr>
                <w:rFonts w:eastAsiaTheme="majorEastAsia"/>
                <w:kern w:val="0"/>
                <w:sz w:val="24"/>
              </w:rPr>
              <w:t>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lang w:val="en-US" w:bidi="ar-SA"/>
              </w:rPr>
            </w:pPr>
            <w:r>
              <w:rPr>
                <w:rFonts w:eastAsiaTheme="majorEastAsia"/>
                <w:sz w:val="24"/>
              </w:rPr>
              <w:t>投标文件评价（2分）：投标文件目录、页码齐全得1分；目录与页码能准确对应得1分。</w:t>
            </w:r>
          </w:p>
        </w:tc>
      </w:tr>
    </w:tbl>
    <w:p>
      <w:pPr>
        <w:widowControl/>
        <w:jc w:val="left"/>
        <w:rPr>
          <w:rFonts w:ascii="宋体" w:cs="仿宋"/>
          <w:sz w:val="28"/>
          <w:szCs w:val="28"/>
        </w:rPr>
      </w:pPr>
      <w:r>
        <w:rPr>
          <w:rFonts w:ascii="宋体" w:cs="仿宋"/>
          <w:sz w:val="28"/>
          <w:szCs w:val="28"/>
        </w:rPr>
        <w:br w:type="page"/>
      </w: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Lines="50"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8"/>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8"/>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8"/>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165"/>
        <w:gridCol w:w="1115"/>
        <w:gridCol w:w="1160"/>
        <w:gridCol w:w="1160"/>
        <w:gridCol w:w="1160"/>
        <w:gridCol w:w="1160"/>
        <w:gridCol w:w="116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b/>
                <w:sz w:val="24"/>
              </w:rPr>
            </w:pPr>
            <w:r>
              <w:rPr>
                <w:rFonts w:hint="eastAsia" w:ascii="宋体" w:hAnsi="宋体"/>
                <w:b/>
                <w:sz w:val="24"/>
              </w:rPr>
              <w:t>分包号</w:t>
            </w:r>
          </w:p>
        </w:tc>
        <w:tc>
          <w:tcPr>
            <w:tcW w:w="558" w:type="pct"/>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535" w:type="pct"/>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557" w:type="pct"/>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557" w:type="pct"/>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557" w:type="pct"/>
            <w:vAlign w:val="center"/>
          </w:tcPr>
          <w:p>
            <w:pPr>
              <w:spacing w:line="360" w:lineRule="auto"/>
              <w:jc w:val="center"/>
              <w:rPr>
                <w:rFonts w:ascii="宋体"/>
                <w:b/>
                <w:sz w:val="24"/>
              </w:rPr>
            </w:pPr>
            <w:r>
              <w:rPr>
                <w:rFonts w:hint="eastAsia" w:ascii="宋体" w:hAnsi="宋体"/>
                <w:b/>
                <w:sz w:val="24"/>
              </w:rPr>
              <w:t>数量</w:t>
            </w:r>
          </w:p>
        </w:tc>
        <w:tc>
          <w:tcPr>
            <w:tcW w:w="557" w:type="pct"/>
            <w:vAlign w:val="center"/>
          </w:tcPr>
          <w:p>
            <w:pPr>
              <w:spacing w:line="360" w:lineRule="auto"/>
              <w:jc w:val="center"/>
              <w:rPr>
                <w:rFonts w:ascii="宋体"/>
                <w:b/>
                <w:sz w:val="24"/>
              </w:rPr>
            </w:pPr>
            <w:r>
              <w:rPr>
                <w:rFonts w:hint="eastAsia" w:ascii="宋体" w:hAnsi="宋体"/>
                <w:b/>
                <w:sz w:val="24"/>
              </w:rPr>
              <w:t>单价</w:t>
            </w:r>
          </w:p>
        </w:tc>
        <w:tc>
          <w:tcPr>
            <w:tcW w:w="558" w:type="pct"/>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562" w:type="pct"/>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35" w:type="pct"/>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62" w:type="pct"/>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35" w:type="pct"/>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62" w:type="pct"/>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35" w:type="pct"/>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62" w:type="pct"/>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35" w:type="pct"/>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62" w:type="pct"/>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35" w:type="pct"/>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7" w:type="pct"/>
            <w:vAlign w:val="center"/>
          </w:tcPr>
          <w:p>
            <w:pPr>
              <w:spacing w:line="360" w:lineRule="auto"/>
              <w:jc w:val="center"/>
              <w:rPr>
                <w:rFonts w:ascii="宋体"/>
                <w:sz w:val="24"/>
              </w:rPr>
            </w:pPr>
          </w:p>
        </w:tc>
        <w:tc>
          <w:tcPr>
            <w:tcW w:w="558" w:type="pct"/>
            <w:vAlign w:val="center"/>
          </w:tcPr>
          <w:p>
            <w:pPr>
              <w:spacing w:line="360" w:lineRule="auto"/>
              <w:jc w:val="center"/>
              <w:rPr>
                <w:rFonts w:ascii="宋体"/>
                <w:sz w:val="24"/>
              </w:rPr>
            </w:pPr>
          </w:p>
        </w:tc>
        <w:tc>
          <w:tcPr>
            <w:tcW w:w="562" w:type="pct"/>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gridSpan w:val="2"/>
            <w:vAlign w:val="center"/>
          </w:tcPr>
          <w:p>
            <w:pPr>
              <w:spacing w:line="360" w:lineRule="auto"/>
              <w:jc w:val="center"/>
              <w:rPr>
                <w:rFonts w:ascii="宋体"/>
                <w:sz w:val="24"/>
              </w:rPr>
            </w:pPr>
            <w:r>
              <w:rPr>
                <w:rFonts w:hint="eastAsia" w:ascii="宋体" w:hAnsi="宋体"/>
                <w:sz w:val="24"/>
              </w:rPr>
              <w:t>合计总价</w:t>
            </w:r>
          </w:p>
        </w:tc>
        <w:tc>
          <w:tcPr>
            <w:tcW w:w="3883" w:type="pct"/>
            <w:gridSpan w:val="7"/>
            <w:vAlign w:val="center"/>
          </w:tcPr>
          <w:p>
            <w:pPr>
              <w:spacing w:line="360" w:lineRule="auto"/>
              <w:rPr>
                <w:rFonts w:ascii="宋体"/>
                <w:sz w:val="24"/>
                <w:u w:val="single"/>
              </w:rPr>
            </w:pPr>
            <w:r>
              <w:rPr>
                <w:rFonts w:hint="eastAsia" w:ascii="宋体" w:hAnsi="宋体"/>
                <w:sz w:val="24"/>
              </w:rPr>
              <w:t>大写：      小写：      元</w:t>
            </w:r>
          </w:p>
        </w:tc>
      </w:tr>
    </w:tbl>
    <w:p>
      <w:pPr>
        <w:pStyle w:val="8"/>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8"/>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Lines="50"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8"/>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质保期1年。（自交货验收合格之日起计）</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8"/>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w:t>
      </w:r>
      <w:r>
        <w:rPr>
          <w:rFonts w:hAnsi="宋体"/>
          <w:sz w:val="24"/>
          <w:szCs w:val="24"/>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rPr>
        <w:t>，质保期满后</w:t>
      </w:r>
      <w:r>
        <w:rPr>
          <w:rFonts w:hAnsi="宋体"/>
          <w:sz w:val="24"/>
          <w:szCs w:val="24"/>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8"/>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8"/>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Ansi="宋体"/>
          <w:sz w:val="24"/>
          <w:szCs w:val="24"/>
        </w:rPr>
        <w:t>________</w:t>
      </w:r>
      <w:r>
        <w:rPr>
          <w:rFonts w:hint="eastAsia" w:hAnsi="宋体"/>
          <w:sz w:val="24"/>
          <w:szCs w:val="24"/>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8"/>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8"/>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十九、合同生效及其它</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8"/>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8"/>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8"/>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8"/>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28A0"/>
    <w:multiLevelType w:val="multilevel"/>
    <w:tmpl w:val="20A628A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FE20FE0"/>
    <w:multiLevelType w:val="multilevel"/>
    <w:tmpl w:val="3FE20F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402978"/>
    <w:multiLevelType w:val="multilevel"/>
    <w:tmpl w:val="4040297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5A4308ED"/>
    <w:multiLevelType w:val="multilevel"/>
    <w:tmpl w:val="5A4308E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9F61D6C"/>
    <w:rsid w:val="186E045C"/>
    <w:rsid w:val="2CE81BAF"/>
    <w:rsid w:val="2E803571"/>
    <w:rsid w:val="38F33167"/>
    <w:rsid w:val="44DC7F4B"/>
    <w:rsid w:val="4DF63B84"/>
    <w:rsid w:val="542216C7"/>
    <w:rsid w:val="65EB685A"/>
    <w:rsid w:val="6BC1702A"/>
    <w:rsid w:val="6CBC2EA0"/>
    <w:rsid w:val="75BE6EB5"/>
    <w:rsid w:val="773233D8"/>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ook Antiqua" w:hAnsi="Book Antiqua" w:eastAsia="宋体" w:cs="Book Antiqu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iPriority w:val="99"/>
    <w:rPr>
      <w:rFonts w:cs="Times New Roman"/>
      <w:color w:val="0563C1"/>
      <w:u w:val="single"/>
    </w:rPr>
  </w:style>
  <w:style w:type="character" w:styleId="19">
    <w:name w:val="annotation reference"/>
    <w:basedOn w:val="17"/>
    <w:uiPriority w:val="99"/>
    <w:rPr>
      <w:rFonts w:cs="Times New Roman"/>
      <w:sz w:val="21"/>
    </w:rPr>
  </w:style>
  <w:style w:type="character" w:customStyle="1" w:styleId="20">
    <w:name w:val="标题 1 Char"/>
    <w:link w:val="3"/>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1</TotalTime>
  <ScaleCrop>false</ScaleCrop>
  <LinksUpToDate>false</LinksUpToDate>
  <CharactersWithSpaces>13592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2020-05-18T09:22:43Z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