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0" w:name="OLE_LINK1"/>
      <w:bookmarkStart w:id="1" w:name="OLE_LINK2"/>
      <w:r>
        <w:rPr>
          <w:b/>
          <w:sz w:val="44"/>
          <w:szCs w:val="44"/>
        </w:rPr>
        <w:t>南京信息工程大学</w:t>
      </w:r>
      <w:bookmarkEnd w:id="0"/>
      <w:bookmarkEnd w:id="1"/>
      <w:bookmarkStart w:id="2" w:name="_Hlk19539886"/>
      <w:r>
        <w:rPr>
          <w:rFonts w:hint="eastAsia"/>
          <w:b/>
          <w:sz w:val="44"/>
          <w:szCs w:val="44"/>
        </w:rPr>
        <w:t>计算机与软件学院台式机</w:t>
      </w:r>
    </w:p>
    <w:p>
      <w:pPr>
        <w:jc w:val="center"/>
        <w:rPr>
          <w:b/>
          <w:sz w:val="44"/>
          <w:szCs w:val="44"/>
        </w:rPr>
      </w:pPr>
      <w:r>
        <w:rPr>
          <w:rFonts w:hint="eastAsia"/>
          <w:b/>
          <w:sz w:val="44"/>
          <w:szCs w:val="44"/>
        </w:rPr>
        <w:t>采购</w:t>
      </w:r>
      <w:bookmarkEnd w:id="2"/>
      <w:r>
        <w:rPr>
          <w:b/>
          <w:sz w:val="44"/>
          <w:szCs w:val="44"/>
        </w:rPr>
        <w:t>项目招标文件</w:t>
      </w:r>
    </w:p>
    <w:p>
      <w:pPr>
        <w:pStyle w:val="2"/>
        <w:ind w:left="1470" w:right="1470"/>
      </w:pPr>
    </w:p>
    <w:p>
      <w:pPr>
        <w:adjustRightInd w:val="0"/>
        <w:snapToGrid w:val="0"/>
        <w:spacing w:line="360" w:lineRule="auto"/>
        <w:jc w:val="center"/>
        <w:rPr>
          <w:rFonts w:ascii="宋体" w:hAnsi="宋体" w:cs="仿宋"/>
          <w:sz w:val="28"/>
          <w:szCs w:val="28"/>
        </w:rPr>
      </w:pPr>
      <w:r>
        <w:rPr>
          <w:rFonts w:hint="eastAsia" w:ascii="宋体" w:hAnsi="宋体" w:cs="仿宋"/>
          <w:sz w:val="28"/>
          <w:szCs w:val="28"/>
        </w:rPr>
        <w:t>（招标编号：SBC2020023）</w:t>
      </w:r>
    </w:p>
    <w:p>
      <w:pPr>
        <w:adjustRightInd w:val="0"/>
        <w:snapToGrid w:val="0"/>
        <w:spacing w:line="360" w:lineRule="auto"/>
        <w:jc w:val="center"/>
        <w:rPr>
          <w:rFonts w:ascii="宋体" w:cs="仿宋"/>
          <w:sz w:val="28"/>
          <w:szCs w:val="28"/>
        </w:rPr>
      </w:pPr>
    </w:p>
    <w:p>
      <w:pPr>
        <w:adjustRightInd w:val="0"/>
        <w:snapToGrid w:val="0"/>
        <w:spacing w:line="360" w:lineRule="auto"/>
        <w:jc w:val="center"/>
        <w:rPr>
          <w:rFonts w:ascii="宋体" w:cs="仿宋"/>
          <w:sz w:val="28"/>
          <w:szCs w:val="28"/>
        </w:rPr>
      </w:pPr>
      <w:r>
        <w:rPr>
          <w:rFonts w:ascii="宋体" w:hAnsi="宋体" w:cs="仿宋"/>
          <w:sz w:val="28"/>
          <w:szCs w:val="28"/>
        </w:rPr>
        <w:t>(</w:t>
      </w:r>
      <w:r>
        <w:rPr>
          <w:rFonts w:ascii="宋体" w:hAnsi="宋体" w:cs="仿宋"/>
          <w:sz w:val="28"/>
          <w:szCs w:val="28"/>
          <w:u w:val="single"/>
        </w:rPr>
        <w:t>20</w:t>
      </w:r>
      <w:r>
        <w:rPr>
          <w:rFonts w:hint="eastAsia" w:ascii="宋体" w:hAnsi="宋体" w:cs="仿宋"/>
          <w:sz w:val="28"/>
          <w:szCs w:val="28"/>
          <w:u w:val="single"/>
        </w:rPr>
        <w:t>20年06月1</w:t>
      </w:r>
      <w:r>
        <w:rPr>
          <w:rFonts w:hint="eastAsia" w:ascii="宋体" w:hAnsi="宋体" w:cs="仿宋"/>
          <w:sz w:val="28"/>
          <w:szCs w:val="28"/>
          <w:u w:val="single"/>
          <w:lang w:val="en-US" w:eastAsia="zh-CN"/>
        </w:rPr>
        <w:t>5</w:t>
      </w:r>
      <w:r>
        <w:rPr>
          <w:rFonts w:hint="eastAsia" w:ascii="宋体" w:hAnsi="宋体" w:cs="仿宋"/>
          <w:sz w:val="28"/>
          <w:szCs w:val="28"/>
          <w:u w:val="single"/>
        </w:rPr>
        <w:t>日16：</w:t>
      </w:r>
      <w:r>
        <w:rPr>
          <w:rFonts w:ascii="宋体" w:cs="仿宋"/>
          <w:sz w:val="28"/>
          <w:szCs w:val="28"/>
          <w:u w:val="single"/>
        </w:rPr>
        <w:t>00</w:t>
      </w:r>
      <w:r>
        <w:rPr>
          <w:rFonts w:hint="eastAsia" w:ascii="宋体" w:hAnsi="宋体" w:cs="仿宋"/>
          <w:sz w:val="28"/>
          <w:szCs w:val="28"/>
          <w:u w:val="single"/>
        </w:rPr>
        <w:t>定标发标版</w:t>
      </w:r>
      <w:r>
        <w:rPr>
          <w:rFonts w:ascii="宋体" w:hAnsi="宋体" w:cs="仿宋"/>
          <w:sz w:val="28"/>
          <w:szCs w:val="28"/>
        </w:rPr>
        <w:t>)</w:t>
      </w:r>
    </w:p>
    <w:p>
      <w:pPr>
        <w:jc w:val="center"/>
        <w:rPr>
          <w:b/>
          <w:sz w:val="28"/>
          <w:szCs w:val="28"/>
        </w:rPr>
      </w:pPr>
    </w:p>
    <w:p>
      <w:pPr>
        <w:spacing w:line="360" w:lineRule="auto"/>
        <w:ind w:firstLine="560" w:firstLineChars="200"/>
        <w:rPr>
          <w:rFonts w:ascii="宋体" w:hAnsi="宋体"/>
          <w:sz w:val="28"/>
          <w:szCs w:val="28"/>
        </w:rPr>
      </w:pPr>
      <w:r>
        <w:rPr>
          <w:rFonts w:ascii="宋体" w:hAnsi="宋体"/>
          <w:sz w:val="28"/>
          <w:szCs w:val="28"/>
        </w:rPr>
        <w:t>为满足学校相关</w:t>
      </w:r>
      <w:r>
        <w:rPr>
          <w:rFonts w:hint="eastAsia" w:ascii="宋体" w:hAnsi="宋体"/>
          <w:sz w:val="28"/>
          <w:szCs w:val="28"/>
        </w:rPr>
        <w:t>教学</w:t>
      </w:r>
      <w:r>
        <w:rPr>
          <w:rFonts w:ascii="宋体" w:hAnsi="宋体"/>
          <w:sz w:val="28"/>
          <w:szCs w:val="28"/>
        </w:rPr>
        <w:t>科研工作需要，受校实验室与设备管理处委托，就</w:t>
      </w:r>
      <w:r>
        <w:rPr>
          <w:rFonts w:hint="eastAsia" w:ascii="宋体" w:hAnsi="宋体"/>
          <w:sz w:val="28"/>
          <w:szCs w:val="28"/>
        </w:rPr>
        <w:t>计算机与软件学院台式机</w:t>
      </w:r>
      <w:r>
        <w:rPr>
          <w:rFonts w:hint="eastAsia" w:ascii="宋体" w:hAnsi="宋体" w:cs="仿宋"/>
          <w:sz w:val="28"/>
          <w:szCs w:val="28"/>
        </w:rPr>
        <w:t>采购项目</w:t>
      </w:r>
      <w:r>
        <w:rPr>
          <w:rFonts w:ascii="宋体" w:hAnsi="宋体"/>
          <w:sz w:val="28"/>
          <w:szCs w:val="28"/>
        </w:rPr>
        <w:t>进行公开招标，欢迎符合条件的供应商报名投标，现将有关情况说明如下：</w:t>
      </w:r>
    </w:p>
    <w:p>
      <w:pPr>
        <w:spacing w:line="360" w:lineRule="auto"/>
        <w:ind w:firstLine="480" w:firstLineChars="200"/>
        <w:rPr>
          <w:sz w:val="24"/>
        </w:rPr>
      </w:pPr>
    </w:p>
    <w:p>
      <w:pPr>
        <w:pStyle w:val="33"/>
        <w:spacing w:line="360" w:lineRule="auto"/>
        <w:ind w:firstLine="0" w:firstLineChars="0"/>
        <w:jc w:val="center"/>
        <w:rPr>
          <w:rFonts w:ascii="宋体" w:hAnsi="宋体" w:cs="仿宋"/>
          <w:b/>
          <w:bCs/>
          <w:kern w:val="2"/>
          <w:sz w:val="28"/>
          <w:szCs w:val="28"/>
        </w:rPr>
      </w:pPr>
      <w:r>
        <w:rPr>
          <w:rFonts w:hint="eastAsia" w:ascii="宋体" w:hAnsi="宋体" w:cs="仿宋"/>
          <w:b/>
          <w:bCs/>
          <w:kern w:val="2"/>
          <w:sz w:val="28"/>
          <w:szCs w:val="28"/>
        </w:rPr>
        <w:t>一、招标项目名称及简要说明</w:t>
      </w:r>
    </w:p>
    <w:p>
      <w:pPr>
        <w:pStyle w:val="33"/>
        <w:spacing w:line="360" w:lineRule="auto"/>
        <w:ind w:firstLine="560"/>
        <w:rPr>
          <w:rFonts w:ascii="宋体" w:hAnsi="宋体"/>
          <w:kern w:val="2"/>
          <w:sz w:val="28"/>
          <w:szCs w:val="28"/>
        </w:rPr>
      </w:pPr>
      <w:r>
        <w:rPr>
          <w:rFonts w:ascii="宋体" w:hAnsi="宋体"/>
          <w:kern w:val="2"/>
          <w:sz w:val="28"/>
          <w:szCs w:val="28"/>
        </w:rPr>
        <w:t>1. 项目名称：南京信息工程大学</w:t>
      </w:r>
      <w:r>
        <w:rPr>
          <w:rFonts w:hint="eastAsia" w:ascii="宋体" w:hAnsi="宋体"/>
          <w:sz w:val="28"/>
          <w:szCs w:val="28"/>
        </w:rPr>
        <w:t>计算机与软件学院台式机</w:t>
      </w:r>
      <w:r>
        <w:rPr>
          <w:rFonts w:hint="eastAsia" w:ascii="宋体" w:hAnsi="宋体" w:cs="仿宋"/>
          <w:sz w:val="28"/>
          <w:szCs w:val="28"/>
        </w:rPr>
        <w:t>采购项目</w:t>
      </w:r>
      <w:r>
        <w:rPr>
          <w:rFonts w:ascii="宋体" w:hAnsi="宋体"/>
          <w:kern w:val="2"/>
          <w:sz w:val="28"/>
          <w:szCs w:val="28"/>
        </w:rPr>
        <w:t>。</w:t>
      </w:r>
    </w:p>
    <w:p>
      <w:pPr>
        <w:spacing w:line="360" w:lineRule="auto"/>
        <w:ind w:firstLine="560" w:firstLineChars="200"/>
        <w:rPr>
          <w:rFonts w:ascii="宋体" w:hAnsi="宋体"/>
          <w:sz w:val="28"/>
          <w:szCs w:val="28"/>
        </w:rPr>
      </w:pPr>
      <w:r>
        <w:rPr>
          <w:rFonts w:ascii="宋体" w:hAnsi="宋体"/>
          <w:sz w:val="28"/>
          <w:szCs w:val="28"/>
        </w:rPr>
        <w:t xml:space="preserve">2. </w:t>
      </w:r>
      <w:r>
        <w:rPr>
          <w:rFonts w:hint="eastAsia" w:ascii="宋体" w:hAnsi="宋体" w:cs="仿宋"/>
          <w:sz w:val="28"/>
          <w:szCs w:val="28"/>
        </w:rPr>
        <w:t>项目说明：</w:t>
      </w:r>
      <w:r>
        <w:rPr>
          <w:rFonts w:hint="eastAsia" w:ascii="宋体" w:hAnsi="宋体"/>
          <w:sz w:val="28"/>
          <w:szCs w:val="28"/>
        </w:rPr>
        <w:t>南京信息工程大学校内，本次招标</w:t>
      </w:r>
      <w:r>
        <w:rPr>
          <w:rFonts w:hint="eastAsia" w:ascii="宋体" w:hAnsi="宋体" w:cs="仿宋"/>
          <w:sz w:val="28"/>
          <w:szCs w:val="28"/>
        </w:rPr>
        <w:t>项目必须由中标单位自行完成，严禁转包和擅自分包。否则我院有权单方面终止本合同的执行，并且中标人支付按合同价款20%的违约金，由此所造成的一切后果和经济损失均由中标人自行负责和承担。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rPr>
      </w:pPr>
      <w:r>
        <w:rPr>
          <w:rFonts w:ascii="宋体" w:hAnsi="宋体"/>
          <w:sz w:val="28"/>
          <w:szCs w:val="28"/>
        </w:rPr>
        <w:t>3</w:t>
      </w:r>
      <w:bookmarkStart w:id="3" w:name="_Hlk9865971"/>
      <w:r>
        <w:rPr>
          <w:rFonts w:hint="eastAsia" w:ascii="宋体" w:hAnsi="宋体"/>
          <w:sz w:val="28"/>
          <w:szCs w:val="28"/>
        </w:rPr>
        <w:t>.本次招标采取公开招标方式，不承诺最低价（最高价）中标。招标公告和中标公示信息均在</w:t>
      </w:r>
      <w:r>
        <w:fldChar w:fldCharType="begin"/>
      </w:r>
      <w:r>
        <w:instrText xml:space="preserve"> HYPERLINK "https://bulletin.nuist.edu.cn/779/list.htm" </w:instrText>
      </w:r>
      <w:r>
        <w:fldChar w:fldCharType="separate"/>
      </w:r>
      <w:r>
        <w:rPr>
          <w:rStyle w:val="18"/>
          <w:b/>
          <w:color w:val="auto"/>
          <w:sz w:val="24"/>
        </w:rPr>
        <w:t>https://bulletin.nuist.edu.cn/779/lis</w:t>
      </w:r>
      <w:r>
        <w:rPr>
          <w:rStyle w:val="18"/>
          <w:color w:val="auto"/>
          <w:sz w:val="24"/>
        </w:rPr>
        <w:t>t.htm</w:t>
      </w:r>
      <w:r>
        <w:rPr>
          <w:rStyle w:val="18"/>
          <w:color w:val="auto"/>
          <w:sz w:val="24"/>
        </w:rPr>
        <w:fldChar w:fldCharType="end"/>
      </w:r>
      <w:r>
        <w:rPr>
          <w:rFonts w:hint="eastAsia" w:ascii="宋体" w:hAnsi="宋体"/>
          <w:sz w:val="28"/>
          <w:szCs w:val="28"/>
        </w:rPr>
        <w:t>和</w:t>
      </w:r>
      <w:r>
        <w:fldChar w:fldCharType="begin"/>
      </w:r>
      <w:r>
        <w:instrText xml:space="preserve"> HYPERLINK "http://zbc.nuist.edu.cn" </w:instrText>
      </w:r>
      <w:r>
        <w:fldChar w:fldCharType="separate"/>
      </w:r>
      <w:r>
        <w:rPr>
          <w:rFonts w:ascii="宋体" w:hAnsi="宋体"/>
          <w:b/>
          <w:sz w:val="24"/>
          <w:szCs w:val="28"/>
        </w:rPr>
        <w:t>zbc.nuist.edu.cn</w:t>
      </w:r>
      <w:r>
        <w:rPr>
          <w:rFonts w:ascii="宋体" w:hAnsi="宋体"/>
          <w:b/>
          <w:sz w:val="24"/>
          <w:szCs w:val="28"/>
        </w:rPr>
        <w:fldChar w:fldCharType="end"/>
      </w:r>
      <w:r>
        <w:rPr>
          <w:rFonts w:hint="eastAsia" w:ascii="宋体" w:hAnsi="宋体"/>
          <w:sz w:val="28"/>
          <w:szCs w:val="28"/>
        </w:rPr>
        <w:t>网页上公开发布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3"/>
    <w:p>
      <w:pPr>
        <w:spacing w:line="360" w:lineRule="auto"/>
        <w:ind w:firstLine="570"/>
        <w:jc w:val="left"/>
        <w:rPr>
          <w:rFonts w:ascii="宋体" w:cs="宋体"/>
          <w:sz w:val="28"/>
          <w:szCs w:val="28"/>
        </w:rPr>
      </w:pPr>
      <w:r>
        <w:rPr>
          <w:rFonts w:ascii="宋体" w:hAnsi="宋体"/>
          <w:sz w:val="28"/>
          <w:szCs w:val="28"/>
        </w:rPr>
        <w:t>4</w:t>
      </w:r>
      <w:bookmarkStart w:id="4" w:name="_Hlk9866054"/>
      <w:r>
        <w:rPr>
          <w:rFonts w:hint="eastAsia" w:ascii="宋体" w:hAnsi="宋体"/>
          <w:sz w:val="28"/>
          <w:szCs w:val="28"/>
        </w:rPr>
        <w:t>.招标文件由我校采购人、项目归口管理部门和财务处联合起草；经学校相关职能部门会审通过形成正式招标文件。同时</w:t>
      </w:r>
      <w:r>
        <w:rPr>
          <w:rFonts w:hint="eastAsia" w:ascii="宋体" w:hAnsi="宋体" w:cs="宋体"/>
          <w:sz w:val="28"/>
          <w:szCs w:val="28"/>
        </w:rPr>
        <w:t>打印</w:t>
      </w:r>
      <w:r>
        <w:rPr>
          <w:rFonts w:ascii="宋体" w:hAnsi="宋体" w:cs="宋体"/>
          <w:sz w:val="28"/>
          <w:szCs w:val="28"/>
        </w:rPr>
        <w:t>3</w:t>
      </w:r>
      <w:r>
        <w:rPr>
          <w:rFonts w:hint="eastAsia" w:ascii="宋体" w:hAnsi="宋体" w:cs="宋体"/>
          <w:sz w:val="28"/>
          <w:szCs w:val="28"/>
        </w:rPr>
        <w:t>份纸质的正式招标文件，由财务处负责人和招标科工作人员同时签字并加盖财务处骑缝章后，分别交财务处、项目归口管理部门（或采购人）、审计处各</w:t>
      </w:r>
      <w:r>
        <w:rPr>
          <w:rFonts w:ascii="宋体" w:hAnsi="宋体" w:cs="宋体"/>
          <w:sz w:val="28"/>
          <w:szCs w:val="28"/>
        </w:rPr>
        <w:t>1</w:t>
      </w:r>
      <w:r>
        <w:rPr>
          <w:rFonts w:hint="eastAsia" w:ascii="宋体" w:hAnsi="宋体" w:cs="宋体"/>
          <w:sz w:val="28"/>
          <w:szCs w:val="28"/>
        </w:rPr>
        <w:t>份，作为相关部门存档、合同签订、项目竣工验收和决（结）算审计，以及处理纠纷等的依据。</w:t>
      </w:r>
    </w:p>
    <w:bookmarkEnd w:id="4"/>
    <w:p>
      <w:pPr>
        <w:spacing w:line="360" w:lineRule="auto"/>
        <w:ind w:firstLine="570"/>
        <w:jc w:val="left"/>
        <w:rPr>
          <w:rFonts w:ascii="宋体" w:hAnsi="宋体"/>
          <w:sz w:val="28"/>
          <w:szCs w:val="28"/>
        </w:rPr>
      </w:pPr>
      <w:r>
        <w:rPr>
          <w:rFonts w:ascii="宋体" w:hAnsi="宋体"/>
          <w:sz w:val="28"/>
          <w:szCs w:val="28"/>
        </w:rPr>
        <w:t>5.</w:t>
      </w:r>
      <w:r>
        <w:rPr>
          <w:rFonts w:hint="eastAsia" w:ascii="宋体" w:hAnsi="宋体"/>
          <w:sz w:val="28"/>
          <w:szCs w:val="28"/>
        </w:rPr>
        <w:t>正式的答疑回复文件也按上述方式处理留存。</w:t>
      </w:r>
    </w:p>
    <w:p>
      <w:pPr>
        <w:pStyle w:val="41"/>
        <w:adjustRightInd w:val="0"/>
        <w:snapToGrid w:val="0"/>
        <w:spacing w:before="0" w:beforeAutospacing="0" w:after="0" w:afterAutospacing="0" w:line="360" w:lineRule="auto"/>
        <w:ind w:firstLine="560" w:firstLineChars="200"/>
        <w:rPr>
          <w:rFonts w:cs="Times New Roman"/>
          <w:color w:val="auto"/>
          <w:kern w:val="2"/>
          <w:sz w:val="28"/>
          <w:szCs w:val="28"/>
        </w:rPr>
      </w:pPr>
      <w:r>
        <w:rPr>
          <w:rFonts w:cs="Times New Roman"/>
          <w:color w:val="auto"/>
          <w:kern w:val="2"/>
          <w:sz w:val="28"/>
          <w:szCs w:val="28"/>
        </w:rPr>
        <w:t>6.</w:t>
      </w:r>
      <w:r>
        <w:rPr>
          <w:rFonts w:hint="eastAsia" w:cs="Times New Roman"/>
          <w:color w:val="auto"/>
          <w:kern w:val="2"/>
          <w:sz w:val="28"/>
          <w:szCs w:val="28"/>
        </w:rPr>
        <w:t>投标有效期：自开标之日起90天内投标有效。</w:t>
      </w:r>
    </w:p>
    <w:p>
      <w:pPr>
        <w:pStyle w:val="41"/>
        <w:adjustRightInd w:val="0"/>
        <w:snapToGrid w:val="0"/>
        <w:spacing w:before="0" w:beforeAutospacing="0" w:after="0" w:afterAutospacing="0" w:line="360" w:lineRule="auto"/>
        <w:ind w:firstLine="560" w:firstLineChars="200"/>
        <w:rPr>
          <w:rFonts w:cs="Times New Roman"/>
          <w:color w:val="auto"/>
          <w:sz w:val="28"/>
          <w:szCs w:val="28"/>
        </w:rPr>
      </w:pPr>
      <w:r>
        <w:rPr>
          <w:rFonts w:hint="eastAsia" w:cs="Times New Roman"/>
          <w:color w:val="auto"/>
          <w:kern w:val="2"/>
          <w:sz w:val="28"/>
          <w:szCs w:val="28"/>
        </w:rPr>
        <w:t>7.</w:t>
      </w:r>
      <w:r>
        <w:rPr>
          <w:rFonts w:hint="eastAsia" w:cs="Times New Roman"/>
          <w:color w:val="auto"/>
          <w:sz w:val="28"/>
          <w:szCs w:val="28"/>
        </w:rPr>
        <w:t>招标过程接受学校纪检监察部门监督检查。</w:t>
      </w:r>
    </w:p>
    <w:p>
      <w:pPr>
        <w:adjustRightInd w:val="0"/>
        <w:snapToGrid w:val="0"/>
        <w:spacing w:before="312" w:beforeLines="100" w:after="312" w:afterLines="100" w:line="360" w:lineRule="auto"/>
        <w:jc w:val="center"/>
        <w:rPr>
          <w:rFonts w:ascii="宋体" w:cs="仿宋"/>
          <w:b/>
          <w:bCs/>
          <w:sz w:val="28"/>
          <w:szCs w:val="28"/>
        </w:rPr>
      </w:pPr>
      <w:r>
        <w:rPr>
          <w:rFonts w:hint="eastAsia" w:ascii="宋体" w:hAnsi="宋体" w:cs="仿宋"/>
          <w:b/>
          <w:bCs/>
          <w:sz w:val="28"/>
          <w:szCs w:val="28"/>
        </w:rPr>
        <w:t>二、对投标人及投标报价的要求</w:t>
      </w:r>
    </w:p>
    <w:p>
      <w:pPr>
        <w:snapToGrid w:val="0"/>
        <w:spacing w:line="360" w:lineRule="auto"/>
        <w:ind w:firstLine="540" w:firstLineChars="192"/>
        <w:rPr>
          <w:rFonts w:ascii="宋体" w:hAnsi="宋体"/>
          <w:b/>
          <w:kern w:val="0"/>
          <w:sz w:val="28"/>
          <w:szCs w:val="28"/>
        </w:rPr>
      </w:pPr>
      <w:r>
        <w:rPr>
          <w:rFonts w:hint="eastAsia" w:ascii="宋体" w:hAnsi="宋体"/>
          <w:b/>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kern w:val="0"/>
          <w:sz w:val="28"/>
          <w:szCs w:val="28"/>
        </w:rPr>
      </w:pPr>
      <w:r>
        <w:rPr>
          <w:rFonts w:hint="eastAsia" w:ascii="宋体" w:hAnsi="宋体" w:cs="Arial"/>
          <w:sz w:val="28"/>
          <w:szCs w:val="28"/>
        </w:rPr>
        <w:t>（一）参加政府采购的供应商应当具备政府采购法</w:t>
      </w:r>
      <w:r>
        <w:rPr>
          <w:rFonts w:ascii="宋体" w:hAnsi="宋体" w:cs="Arial"/>
          <w:sz w:val="28"/>
          <w:szCs w:val="28"/>
        </w:rPr>
        <w:t>第二十二条</w:t>
      </w:r>
      <w:r>
        <w:rPr>
          <w:rFonts w:hint="eastAsia" w:ascii="宋体" w:hAnsi="宋体" w:cs="Arial"/>
          <w:sz w:val="28"/>
          <w:szCs w:val="28"/>
        </w:rPr>
        <w:t>第一款</w:t>
      </w:r>
      <w:r>
        <w:rPr>
          <w:rFonts w:ascii="宋体" w:hAnsi="宋体" w:cs="Arial"/>
          <w:sz w:val="28"/>
          <w:szCs w:val="28"/>
        </w:rPr>
        <w:t>规定</w:t>
      </w:r>
      <w:r>
        <w:rPr>
          <w:rFonts w:hint="eastAsia" w:ascii="宋体" w:hAnsi="宋体" w:cs="Arial"/>
          <w:sz w:val="28"/>
          <w:szCs w:val="28"/>
        </w:rPr>
        <w:t>的条件，并依照政府采购法实施条例第十七条规定提供下列材料：</w:t>
      </w:r>
    </w:p>
    <w:p>
      <w:pPr>
        <w:adjustRightInd w:val="0"/>
        <w:snapToGrid w:val="0"/>
        <w:spacing w:line="360" w:lineRule="auto"/>
        <w:ind w:firstLine="560" w:firstLineChars="200"/>
        <w:rPr>
          <w:rFonts w:ascii="宋体" w:hAnsi="宋体"/>
          <w:sz w:val="28"/>
          <w:szCs w:val="28"/>
        </w:rPr>
      </w:pPr>
      <w:r>
        <w:rPr>
          <w:rFonts w:hint="eastAsia" w:ascii="宋体" w:hAnsi="宋体" w:cs="Arial"/>
          <w:sz w:val="28"/>
          <w:szCs w:val="28"/>
        </w:rPr>
        <w:t>1.具有独立承担民事责任的能力</w:t>
      </w:r>
      <w:r>
        <w:rPr>
          <w:rFonts w:hint="eastAsia" w:ascii="宋体" w:hAnsi="宋体"/>
          <w:sz w:val="28"/>
          <w:szCs w:val="28"/>
        </w:rPr>
        <w:t>：须为独立法人企业，需提供企业法人营业执照；</w:t>
      </w:r>
    </w:p>
    <w:p>
      <w:pPr>
        <w:adjustRightInd w:val="0"/>
        <w:snapToGrid w:val="0"/>
        <w:spacing w:line="360" w:lineRule="auto"/>
        <w:ind w:firstLine="560" w:firstLineChars="200"/>
        <w:rPr>
          <w:rFonts w:ascii="宋体" w:hAnsi="宋体"/>
          <w:sz w:val="28"/>
          <w:szCs w:val="28"/>
        </w:rPr>
      </w:pPr>
      <w:r>
        <w:rPr>
          <w:rFonts w:hint="eastAsia" w:ascii="宋体" w:hAnsi="宋体" w:cs="宋体"/>
          <w:kern w:val="0"/>
          <w:sz w:val="28"/>
          <w:szCs w:val="28"/>
        </w:rPr>
        <w:t>2.具有良好的商业信誉和健全的财务会计制度</w:t>
      </w:r>
      <w:r>
        <w:rPr>
          <w:rFonts w:hint="eastAsia" w:ascii="宋体" w:hAnsi="宋体"/>
          <w:sz w:val="28"/>
          <w:szCs w:val="28"/>
        </w:rPr>
        <w:t>：需提供参加本次投标活动前近六个月内（2019年12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sz w:val="28"/>
          <w:szCs w:val="28"/>
        </w:rPr>
      </w:pPr>
      <w:r>
        <w:rPr>
          <w:rFonts w:hint="eastAsia" w:ascii="宋体" w:hAnsi="宋体" w:cs="宋体"/>
          <w:kern w:val="0"/>
          <w:sz w:val="28"/>
          <w:szCs w:val="28"/>
        </w:rPr>
        <w:t>4.有依法缴纳税收和社会保障资金的良好记录</w:t>
      </w:r>
      <w:r>
        <w:rPr>
          <w:rFonts w:hint="eastAsia" w:ascii="宋体" w:hAnsi="宋体"/>
          <w:sz w:val="28"/>
          <w:szCs w:val="28"/>
        </w:rPr>
        <w:t>：提供参加本次投标活动前近六个月内（2019年12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sz w:val="28"/>
          <w:szCs w:val="28"/>
        </w:rPr>
      </w:pPr>
      <w:r>
        <w:rPr>
          <w:rFonts w:hint="eastAsia" w:ascii="宋体" w:hAnsi="宋体" w:cs="宋体"/>
          <w:kern w:val="0"/>
          <w:sz w:val="28"/>
          <w:szCs w:val="28"/>
        </w:rPr>
        <w:t>5.参加政府采购活动前三年内，在经营活动中没有违法记录</w:t>
      </w:r>
      <w:r>
        <w:rPr>
          <w:rFonts w:hint="eastAsia" w:ascii="宋体" w:hAnsi="宋体"/>
          <w:sz w:val="28"/>
          <w:szCs w:val="28"/>
        </w:rPr>
        <w:t>：需提供参加本次投标活动前3年内在经营活动中没有重大违法记录的书面声明；</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6.法律、行政法规规定的其他条件：无。</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（二）投标人不得存在下列情形之一</w:t>
      </w:r>
      <w:r>
        <w:rPr>
          <w:rFonts w:hint="eastAsia" w:ascii="宋体" w:hAnsi="宋体"/>
          <w:sz w:val="28"/>
          <w:szCs w:val="28"/>
        </w:rPr>
        <w:t>（</w:t>
      </w:r>
      <w:r>
        <w:rPr>
          <w:rFonts w:hint="eastAsia" w:ascii="宋体" w:hAnsi="宋体"/>
          <w:b/>
          <w:sz w:val="28"/>
          <w:szCs w:val="28"/>
        </w:rPr>
        <w:t>提供加盖投标人公章的承诺书）</w:t>
      </w:r>
      <w:r>
        <w:rPr>
          <w:rFonts w:hint="eastAsia" w:ascii="宋体" w:hAnsi="宋体" w:cs="宋体"/>
          <w:kern w:val="0"/>
          <w:sz w:val="28"/>
          <w:szCs w:val="28"/>
        </w:rPr>
        <w:t>：</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（1）为招标人不具有独立法人资格的附属机构（单位）；</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（2）与招标人存在利害关系可能影响招标公正性的；</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（3）单位负责人为同一人或者存在控股、管理关系的不同单位；</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（三）</w:t>
      </w:r>
      <w:r>
        <w:rPr>
          <w:rFonts w:hint="eastAsia" w:ascii="宋体" w:hAnsi="宋体" w:cs="宋体"/>
          <w:bCs/>
          <w:kern w:val="0"/>
          <w:sz w:val="28"/>
          <w:szCs w:val="28"/>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sz w:val="28"/>
          <w:szCs w:val="28"/>
        </w:rPr>
        <w:t>供应商被“信用中国”网站（www.creditchina.gov.cn）、“中国政府采购网”(www.ccgp.gov.cn)列入失信被执行人、重大税收违法案件当事人名单、政府采购严重违法失信行为记录名单</w:t>
      </w:r>
      <w:r>
        <w:rPr>
          <w:rFonts w:hint="eastAsia" w:ascii="宋体" w:hAnsi="宋体" w:cs="宋体"/>
          <w:b/>
          <w:sz w:val="28"/>
          <w:szCs w:val="28"/>
        </w:rPr>
        <w:t>（提供本项目报名截止日后的网站截图并加盖单位公章）</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三、投标人应按附件</w:t>
      </w:r>
      <w:r>
        <w:rPr>
          <w:rFonts w:ascii="宋体" w:hAnsi="宋体" w:cs="宋体"/>
          <w:sz w:val="28"/>
          <w:szCs w:val="28"/>
        </w:rPr>
        <w:t>2</w:t>
      </w:r>
      <w:r>
        <w:rPr>
          <w:rFonts w:hint="eastAsia" w:ascii="宋体" w:hAnsi="宋体" w:cs="宋体"/>
          <w:sz w:val="28"/>
          <w:szCs w:val="28"/>
        </w:rPr>
        <w:t>、附件</w:t>
      </w:r>
      <w:r>
        <w:rPr>
          <w:rFonts w:ascii="宋体" w:hAnsi="宋体" w:cs="宋体"/>
          <w:sz w:val="28"/>
          <w:szCs w:val="28"/>
        </w:rPr>
        <w:t>3</w:t>
      </w:r>
      <w:r>
        <w:rPr>
          <w:rFonts w:hint="eastAsia" w:ascii="宋体" w:hAnsi="宋体" w:cs="宋体"/>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rPr>
      </w:pPr>
      <w:r>
        <w:rPr>
          <w:rFonts w:hint="eastAsia" w:ascii="宋体" w:hAnsi="宋体" w:cs="宋体"/>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rPr>
      </w:pPr>
      <w:r>
        <w:rPr>
          <w:rFonts w:hint="eastAsia" w:ascii="宋体" w:hAnsi="宋体" w:cs="宋体"/>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合同生效之日起3</w:t>
      </w:r>
      <w:r>
        <w:rPr>
          <w:rFonts w:ascii="宋体" w:hAnsi="宋体" w:cs="宋体"/>
          <w:sz w:val="28"/>
          <w:szCs w:val="28"/>
        </w:rPr>
        <w:t>0</w:t>
      </w:r>
      <w:r>
        <w:rPr>
          <w:rFonts w:hint="eastAsia" w:ascii="宋体" w:hAnsi="宋体" w:cs="宋体"/>
          <w:sz w:val="28"/>
          <w:szCs w:val="28"/>
        </w:rPr>
        <w:t>天内完成设备运输（含上、下力）、安装调试等，所有费用由供方承担，安装调试完毕后需方用户负责试用并签收。</w:t>
      </w:r>
    </w:p>
    <w:p>
      <w:pPr>
        <w:pStyle w:val="41"/>
        <w:adjustRightInd w:val="0"/>
        <w:snapToGrid w:val="0"/>
        <w:spacing w:before="0" w:beforeAutospacing="0" w:after="0" w:afterAutospacing="0" w:line="360" w:lineRule="auto"/>
        <w:ind w:firstLine="560" w:firstLineChars="200"/>
        <w:rPr>
          <w:color w:val="auto"/>
          <w:kern w:val="2"/>
          <w:sz w:val="28"/>
          <w:szCs w:val="28"/>
        </w:rPr>
      </w:pPr>
      <w:r>
        <w:rPr>
          <w:rFonts w:hint="eastAsia"/>
          <w:color w:val="auto"/>
          <w:kern w:val="2"/>
          <w:sz w:val="28"/>
          <w:szCs w:val="28"/>
        </w:rPr>
        <w:t>六、本项目预算价为</w:t>
      </w:r>
      <w:r>
        <w:rPr>
          <w:rFonts w:hint="eastAsia"/>
          <w:color w:val="auto"/>
          <w:kern w:val="2"/>
          <w:sz w:val="28"/>
          <w:szCs w:val="28"/>
          <w:lang w:val="en-US" w:eastAsia="zh-CN"/>
        </w:rPr>
        <w:t>63</w:t>
      </w:r>
      <w:r>
        <w:rPr>
          <w:rFonts w:hint="eastAsia"/>
          <w:color w:val="auto"/>
          <w:kern w:val="2"/>
          <w:sz w:val="28"/>
          <w:szCs w:val="28"/>
        </w:rPr>
        <w:t>.00万元，本项目只接受人民币报价。</w:t>
      </w:r>
    </w:p>
    <w:p>
      <w:pPr>
        <w:spacing w:line="360" w:lineRule="auto"/>
        <w:ind w:firstLine="548" w:firstLineChars="196"/>
        <w:rPr>
          <w:rFonts w:ascii="宋体" w:cs="宋体"/>
          <w:sz w:val="28"/>
          <w:szCs w:val="28"/>
        </w:rPr>
      </w:pPr>
      <w:r>
        <w:rPr>
          <w:rFonts w:hint="eastAsia" w:ascii="宋体" w:hAnsi="宋体" w:cs="宋体"/>
          <w:sz w:val="28"/>
          <w:szCs w:val="28"/>
        </w:rPr>
        <w:t>七、进口货物的外贸代理公司由投标人（中标人）自行选择，代理费由投标人与所选外贸公司协商确定并含在报价中。我校协助办理入关、免税等相关证明材料手续。</w:t>
      </w:r>
    </w:p>
    <w:p>
      <w:pPr>
        <w:spacing w:before="312" w:beforeLines="100" w:after="312" w:afterLines="100" w:line="360" w:lineRule="auto"/>
        <w:ind w:firstLine="548" w:firstLineChars="196"/>
        <w:jc w:val="center"/>
        <w:rPr>
          <w:rFonts w:ascii="黑体" w:hAnsi="黑体" w:eastAsia="黑体" w:cs="宋体"/>
          <w:sz w:val="28"/>
          <w:szCs w:val="28"/>
        </w:rPr>
      </w:pPr>
      <w:bookmarkStart w:id="5" w:name="_Hlk9866140"/>
      <w:r>
        <w:rPr>
          <w:rFonts w:hint="eastAsia" w:ascii="黑体" w:hAnsi="黑体" w:eastAsia="黑体" w:cs="宋体"/>
          <w:sz w:val="28"/>
          <w:szCs w:val="28"/>
        </w:rPr>
        <w:t>三、对投标文件的要求</w:t>
      </w:r>
    </w:p>
    <w:p>
      <w:pPr>
        <w:spacing w:line="360" w:lineRule="auto"/>
        <w:ind w:firstLine="548" w:firstLineChars="196"/>
        <w:rPr>
          <w:rFonts w:ascii="宋体" w:hAnsi="宋体" w:cs="宋体"/>
          <w:sz w:val="28"/>
          <w:szCs w:val="28"/>
        </w:rPr>
      </w:pPr>
      <w:r>
        <w:rPr>
          <w:rFonts w:ascii="宋体" w:hAnsi="宋体" w:cs="宋体"/>
          <w:sz w:val="28"/>
          <w:szCs w:val="28"/>
        </w:rPr>
        <w:t>1.</w:t>
      </w:r>
      <w:r>
        <w:rPr>
          <w:rFonts w:hint="eastAsia" w:ascii="宋体" w:hAnsi="宋体" w:cs="宋体"/>
          <w:sz w:val="28"/>
          <w:szCs w:val="28"/>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投标文件一正四副，正、副本均须列出目录，内容不得有插行、涂抹、粘贴等，并打印装订成册。</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投标文件用档案袋密封，档案袋封面标明“正本”或“副本”字样，并注明招标编号、投标项目名称、投标人名称及投标人代表姓名、手机号码（务必留手机号码，不得留座机号码，以便</w:t>
      </w:r>
      <w:r>
        <w:rPr>
          <w:rFonts w:hint="eastAsia" w:ascii="宋体" w:hAnsi="宋体" w:cs="宋体"/>
          <w:sz w:val="28"/>
          <w:szCs w:val="28"/>
          <w:lang w:val="en-US" w:eastAsia="zh-CN"/>
        </w:rPr>
        <w:t>联系</w:t>
      </w:r>
      <w:r>
        <w:rPr>
          <w:rFonts w:hint="eastAsia" w:ascii="宋体" w:hAnsi="宋体" w:cs="宋体"/>
          <w:sz w:val="28"/>
          <w:szCs w:val="28"/>
        </w:rPr>
        <w:t>）。</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为便于唱标和减少浪费，请将</w:t>
      </w:r>
      <w:r>
        <w:rPr>
          <w:rFonts w:ascii="宋体" w:hAnsi="宋体" w:cs="宋体"/>
          <w:sz w:val="28"/>
          <w:szCs w:val="28"/>
        </w:rPr>
        <w:t>1</w:t>
      </w:r>
      <w:r>
        <w:rPr>
          <w:rFonts w:hint="eastAsia" w:ascii="宋体" w:hAnsi="宋体" w:cs="宋体"/>
          <w:sz w:val="28"/>
          <w:szCs w:val="28"/>
        </w:rPr>
        <w:t>份正本单独封装，另外</w:t>
      </w:r>
      <w:r>
        <w:rPr>
          <w:rFonts w:ascii="宋体" w:hAnsi="宋体" w:cs="宋体"/>
          <w:sz w:val="28"/>
          <w:szCs w:val="28"/>
        </w:rPr>
        <w:t>4</w:t>
      </w:r>
      <w:r>
        <w:rPr>
          <w:rFonts w:hint="eastAsia" w:ascii="宋体" w:hAnsi="宋体" w:cs="宋体"/>
          <w:sz w:val="28"/>
          <w:szCs w:val="28"/>
        </w:rPr>
        <w:t>份副本可叠加封装在一个大的档案袋中（</w:t>
      </w:r>
      <w:r>
        <w:rPr>
          <w:rFonts w:ascii="宋体" w:hAnsi="宋体" w:cs="宋体"/>
          <w:sz w:val="28"/>
          <w:szCs w:val="28"/>
        </w:rPr>
        <w:t>4</w:t>
      </w:r>
      <w:r>
        <w:rPr>
          <w:rFonts w:hint="eastAsia" w:ascii="宋体" w:hAnsi="宋体" w:cs="宋体"/>
          <w:sz w:val="28"/>
          <w:szCs w:val="28"/>
        </w:rPr>
        <w:t>份副本无需分别封装在</w:t>
      </w:r>
      <w:r>
        <w:rPr>
          <w:rFonts w:ascii="宋体" w:hAnsi="宋体" w:cs="宋体"/>
          <w:sz w:val="28"/>
          <w:szCs w:val="28"/>
        </w:rPr>
        <w:t>4</w:t>
      </w:r>
      <w:r>
        <w:rPr>
          <w:rFonts w:hint="eastAsia" w:ascii="宋体" w:hAnsi="宋体" w:cs="宋体"/>
          <w:sz w:val="28"/>
          <w:szCs w:val="28"/>
        </w:rPr>
        <w:t>个档案袋中，一个大档案袋封装不下的除外）。每家投标人在送交投标文件时，只需交</w:t>
      </w:r>
      <w:r>
        <w:rPr>
          <w:rFonts w:ascii="宋体" w:hAnsi="宋体" w:cs="宋体"/>
          <w:sz w:val="28"/>
          <w:szCs w:val="28"/>
        </w:rPr>
        <w:t>2</w:t>
      </w:r>
      <w:r>
        <w:rPr>
          <w:rFonts w:hint="eastAsia" w:ascii="宋体" w:hAnsi="宋体" w:cs="宋体"/>
          <w:sz w:val="28"/>
          <w:szCs w:val="28"/>
        </w:rPr>
        <w:t>个档案袋即可，即</w:t>
      </w:r>
      <w:r>
        <w:rPr>
          <w:rFonts w:ascii="宋体" w:hAnsi="宋体" w:cs="宋体"/>
          <w:sz w:val="28"/>
          <w:szCs w:val="28"/>
        </w:rPr>
        <w:t>1</w:t>
      </w:r>
      <w:r>
        <w:rPr>
          <w:rFonts w:hint="eastAsia" w:ascii="宋体" w:hAnsi="宋体" w:cs="宋体"/>
          <w:sz w:val="28"/>
          <w:szCs w:val="28"/>
        </w:rPr>
        <w:t>个正本档案袋，</w:t>
      </w:r>
      <w:r>
        <w:rPr>
          <w:rFonts w:ascii="宋体" w:hAnsi="宋体" w:cs="宋体"/>
          <w:sz w:val="28"/>
          <w:szCs w:val="28"/>
        </w:rPr>
        <w:t>1</w:t>
      </w:r>
      <w:r>
        <w:rPr>
          <w:rFonts w:hint="eastAsia" w:ascii="宋体" w:hAnsi="宋体" w:cs="宋体"/>
          <w:sz w:val="28"/>
          <w:szCs w:val="28"/>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投标文件应包含以下内容（所有材料必须加盖投标单位公章）：</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）经投标单位法人或委托代理人代表签字并加盖单位公章的投标函（附件</w:t>
      </w:r>
      <w:r>
        <w:rPr>
          <w:rFonts w:ascii="宋体" w:hAnsi="宋体" w:cs="宋体"/>
          <w:sz w:val="28"/>
          <w:szCs w:val="28"/>
        </w:rPr>
        <w:t>2</w:t>
      </w:r>
      <w:r>
        <w:rPr>
          <w:rFonts w:hint="eastAsia" w:ascii="宋体" w:hAnsi="宋体" w:cs="宋体"/>
          <w:sz w:val="28"/>
          <w:szCs w:val="28"/>
        </w:rPr>
        <w:t>格式，为便于唱标，此函件请务必放置在投标文件内页的第一页）；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）投标价格明细表（附件</w:t>
      </w:r>
      <w:r>
        <w:rPr>
          <w:rFonts w:ascii="宋体" w:hAnsi="宋体" w:cs="宋体"/>
          <w:sz w:val="28"/>
          <w:szCs w:val="28"/>
        </w:rPr>
        <w:t>3</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）授权委托书、被委托人身份证复印件；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hint="eastAsia" w:ascii="宋体" w:hAnsi="宋体" w:cs="宋体"/>
          <w:sz w:val="28"/>
          <w:szCs w:val="28"/>
        </w:rPr>
        <w:t>中的章节顺序依次逐条响应，不得颠倒顺序，不得有漏项，不得原封不动地引用招标文件附件</w:t>
      </w:r>
      <w:r>
        <w:rPr>
          <w:rFonts w:ascii="宋体" w:hAnsi="宋体" w:cs="宋体"/>
          <w:sz w:val="28"/>
          <w:szCs w:val="28"/>
        </w:rPr>
        <w:t>1</w:t>
      </w:r>
      <w:r>
        <w:rPr>
          <w:rFonts w:hint="eastAsia" w:ascii="宋体" w:hAnsi="宋体" w:cs="宋体"/>
          <w:sz w:val="28"/>
          <w:szCs w:val="28"/>
        </w:rPr>
        <w:t>中的章节、句段；投标文件应采用文字加图片或图形描述的方式对标的物进行必要的、详尽的说明；</w:t>
      </w:r>
    </w:p>
    <w:p>
      <w:pPr>
        <w:spacing w:line="360" w:lineRule="auto"/>
        <w:ind w:firstLine="548" w:firstLineChars="196"/>
        <w:rPr>
          <w:rFonts w:ascii="宋体" w:hAnsi="宋体" w:cs="宋体"/>
          <w:sz w:val="28"/>
          <w:szCs w:val="28"/>
        </w:rPr>
      </w:pPr>
      <w:r>
        <w:rPr>
          <w:rFonts w:hint="eastAsia" w:ascii="宋体" w:hAnsi="宋体" w:cs="宋体"/>
          <w:sz w:val="28"/>
          <w:szCs w:val="28"/>
        </w:rPr>
        <w:t>（7）产品技术和商务指标偏差表；</w:t>
      </w:r>
    </w:p>
    <w:p>
      <w:pPr>
        <w:spacing w:line="360" w:lineRule="auto"/>
        <w:ind w:firstLine="548" w:firstLineChars="196"/>
        <w:rPr>
          <w:rFonts w:ascii="宋体" w:hAnsi="宋体" w:cs="宋体"/>
          <w:sz w:val="28"/>
          <w:szCs w:val="28"/>
        </w:rPr>
      </w:pPr>
      <w:r>
        <w:rPr>
          <w:rFonts w:hint="eastAsia" w:ascii="宋体" w:hAnsi="宋体" w:cs="宋体"/>
          <w:sz w:val="28"/>
          <w:szCs w:val="28"/>
        </w:rPr>
        <w:t>（8）产品服务方案；</w:t>
      </w:r>
    </w:p>
    <w:p>
      <w:pPr>
        <w:spacing w:line="360" w:lineRule="auto"/>
        <w:ind w:firstLine="548" w:firstLineChars="196"/>
        <w:rPr>
          <w:rFonts w:ascii="宋体" w:hAnsi="宋体" w:cs="宋体"/>
          <w:sz w:val="28"/>
          <w:szCs w:val="28"/>
        </w:rPr>
      </w:pPr>
      <w:r>
        <w:rPr>
          <w:rFonts w:hint="eastAsia" w:ascii="宋体" w:hAnsi="宋体" w:cs="宋体"/>
          <w:sz w:val="28"/>
          <w:szCs w:val="28"/>
        </w:rPr>
        <w:t>（9）产品销售授权书或代理证书（如系代理公司的）；</w:t>
      </w:r>
    </w:p>
    <w:p>
      <w:pPr>
        <w:spacing w:line="360" w:lineRule="auto"/>
        <w:ind w:firstLine="548" w:firstLineChars="196"/>
        <w:rPr>
          <w:rFonts w:ascii="宋体" w:hAnsi="宋体" w:cs="宋体"/>
          <w:sz w:val="28"/>
          <w:szCs w:val="28"/>
        </w:rPr>
      </w:pPr>
      <w:r>
        <w:rPr>
          <w:rFonts w:hint="eastAsia" w:ascii="宋体" w:hAnsi="宋体" w:cs="宋体"/>
          <w:sz w:val="28"/>
          <w:szCs w:val="28"/>
        </w:rPr>
        <w:t>（10) 产品质量、工期、安全、管理及售后服务承诺书；</w:t>
      </w:r>
    </w:p>
    <w:p>
      <w:pPr>
        <w:spacing w:line="360" w:lineRule="auto"/>
        <w:ind w:firstLine="548" w:firstLineChars="196"/>
        <w:rPr>
          <w:rFonts w:ascii="宋体" w:hAnsi="宋体" w:cs="宋体"/>
          <w:sz w:val="28"/>
          <w:szCs w:val="28"/>
        </w:rPr>
      </w:pPr>
      <w:r>
        <w:rPr>
          <w:rFonts w:hint="eastAsia" w:ascii="宋体" w:hAnsi="宋体" w:cs="宋体"/>
          <w:sz w:val="28"/>
          <w:szCs w:val="28"/>
        </w:rPr>
        <w:t>（11）产品质量检测报告、质保、认证等证书；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12</w:t>
      </w:r>
      <w:r>
        <w:rPr>
          <w:rFonts w:hint="eastAsia" w:ascii="宋体" w:hAnsi="宋体" w:cs="宋体"/>
          <w:sz w:val="28"/>
          <w:szCs w:val="28"/>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13</w:t>
      </w:r>
      <w:r>
        <w:rPr>
          <w:rFonts w:hint="eastAsia" w:ascii="宋体" w:hAnsi="宋体" w:cs="宋体"/>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14</w:t>
      </w:r>
      <w:r>
        <w:rPr>
          <w:rFonts w:hint="eastAsia" w:ascii="宋体" w:hAnsi="宋体" w:cs="宋体"/>
          <w:sz w:val="28"/>
          <w:szCs w:val="28"/>
        </w:rPr>
        <w:t>）招标文件规定或投标人对照评标办法的得分因素以及附件</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15</w:t>
      </w:r>
      <w:r>
        <w:rPr>
          <w:rFonts w:hint="eastAsia" w:ascii="宋体" w:hAnsi="宋体" w:cs="宋体"/>
          <w:sz w:val="28"/>
          <w:szCs w:val="28"/>
        </w:rPr>
        <w:t>）</w:t>
      </w:r>
      <w:r>
        <w:rPr>
          <w:rFonts w:hint="eastAsia"/>
          <w:sz w:val="28"/>
          <w:szCs w:val="28"/>
        </w:rPr>
        <w:t>投标人必须投本标书所有标段的设备，不允许分标段投标；标书中服务器标段必须满足所有参数要求，其余标段标</w:t>
      </w:r>
      <w:r>
        <w:rPr>
          <w:rFonts w:hint="eastAsia" w:ascii="宋体" w:hAnsi="宋体" w:cs="Arial"/>
          <w:kern w:val="0"/>
          <w:sz w:val="18"/>
          <w:szCs w:val="18"/>
        </w:rPr>
        <w:t>★</w:t>
      </w:r>
      <w:r>
        <w:rPr>
          <w:rFonts w:hint="eastAsia"/>
          <w:sz w:val="28"/>
          <w:szCs w:val="28"/>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投标人在投标文件中应承诺对如下内容已完全理解，如不承诺，视为认可：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）在参与我校相关项目的招投标活动中，遵纪守法，诚信经营，公平竞争；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）不采取不正当手段诋毁、排挤其他投标人；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）本项目的中标单位由本校评标专家组按规定程序确定（采用“评定分离”制的项目除外）；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）未能中标单位，本校对其原因不作解释；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）投标单位对本文件其他内容已充分理解，并承诺一经中标即严格按合同执行，合同附件与合同有同等法律效力。</w:t>
      </w:r>
    </w:p>
    <w:bookmarkEnd w:id="5"/>
    <w:p>
      <w:pPr>
        <w:spacing w:before="312" w:beforeLines="100" w:after="312" w:afterLines="100" w:line="360" w:lineRule="auto"/>
        <w:ind w:firstLine="548" w:firstLineChars="196"/>
        <w:jc w:val="center"/>
        <w:rPr>
          <w:rFonts w:ascii="黑体" w:hAnsi="黑体" w:eastAsia="黑体" w:cs="宋体"/>
          <w:sz w:val="28"/>
          <w:szCs w:val="28"/>
        </w:rPr>
      </w:pPr>
      <w:bookmarkStart w:id="6" w:name="_Hlk9866206"/>
      <w:r>
        <w:rPr>
          <w:rFonts w:hint="eastAsia" w:ascii="黑体" w:hAnsi="黑体" w:eastAsia="黑体" w:cs="宋体"/>
          <w:sz w:val="28"/>
          <w:szCs w:val="28"/>
        </w:rPr>
        <w:t>四、开标程序</w:t>
      </w:r>
    </w:p>
    <w:bookmarkEnd w:id="6"/>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招标文件给出评标办法（见附件</w:t>
      </w:r>
      <w:r>
        <w:rPr>
          <w:rFonts w:ascii="宋体" w:hAnsi="宋体" w:cs="宋体"/>
          <w:sz w:val="28"/>
          <w:szCs w:val="28"/>
        </w:rPr>
        <w:t>5</w:t>
      </w:r>
      <w:r>
        <w:rPr>
          <w:rFonts w:hint="eastAsia" w:ascii="宋体" w:hAnsi="宋体" w:cs="宋体"/>
          <w:sz w:val="28"/>
          <w:szCs w:val="28"/>
        </w:rPr>
        <w:t>）</w:t>
      </w:r>
      <w:r>
        <w:rPr>
          <w:rFonts w:ascii="宋体" w:cs="宋体"/>
          <w:sz w:val="28"/>
          <w:szCs w:val="28"/>
        </w:rPr>
        <w:t>,</w:t>
      </w:r>
      <w:r>
        <w:rPr>
          <w:rFonts w:hint="eastAsia" w:ascii="宋体" w:hAnsi="宋体" w:cs="宋体"/>
          <w:sz w:val="28"/>
          <w:szCs w:val="28"/>
        </w:rPr>
        <w:t>供投标人和评标专家组参考。</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财务处工作人员在投标人的见证下唱标。投标人或投标人代表在唱标结果上签名确认。如投标人均未参加唱标，则由财务处工作人员和评标专家组组长、采购人代表共同签名确认。重要项目另请纪检监察部门代表签字。</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rPr>
      </w:pPr>
      <w:r>
        <w:rPr>
          <w:rFonts w:hint="eastAsia" w:ascii="宋体" w:hAnsi="宋体" w:cs="宋体"/>
          <w:sz w:val="28"/>
          <w:szCs w:val="28"/>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）投标文件中的大写金额与小写金额不一致的，以大写金额为准；正本和副本不一致的，以正本为准。</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财务处根据评标专家组综合排序，在学校网站和财务处招标科网站对拟中标单位进行公示。公示结束，无异议，确定中标单位。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五、无效投标</w:t>
      </w:r>
    </w:p>
    <w:p>
      <w:pPr>
        <w:spacing w:line="360" w:lineRule="auto"/>
        <w:ind w:firstLine="548" w:firstLineChars="196"/>
        <w:rPr>
          <w:rFonts w:ascii="宋体" w:cs="宋体"/>
          <w:sz w:val="28"/>
          <w:szCs w:val="28"/>
        </w:rPr>
      </w:pPr>
      <w:r>
        <w:rPr>
          <w:rFonts w:hint="eastAsia" w:ascii="宋体" w:hAnsi="宋体" w:cs="宋体"/>
          <w:sz w:val="28"/>
          <w:szCs w:val="28"/>
        </w:rPr>
        <w:t>投标文件出现下列情形的，将作为无效投标文件，不得进入评标：</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投标文件未按照招标文件的要求予以密封的；</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投标文件少项漏项，或关键内容字迹模糊、无法辨认的；</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有</w:t>
      </w:r>
      <w:r>
        <w:rPr>
          <w:rFonts w:ascii="宋体" w:hAnsi="宋体" w:cs="宋体"/>
          <w:sz w:val="28"/>
          <w:szCs w:val="28"/>
        </w:rPr>
        <w:t>1</w:t>
      </w:r>
      <w:r>
        <w:rPr>
          <w:rFonts w:hint="eastAsia" w:ascii="宋体" w:hAnsi="宋体" w:cs="宋体"/>
          <w:sz w:val="28"/>
          <w:szCs w:val="28"/>
        </w:rPr>
        <w:t>个核心指标或有</w:t>
      </w:r>
      <w:r>
        <w:rPr>
          <w:rFonts w:ascii="宋体" w:hAnsi="宋体" w:cs="宋体"/>
          <w:sz w:val="28"/>
          <w:szCs w:val="28"/>
        </w:rPr>
        <w:t>5</w:t>
      </w:r>
      <w:r>
        <w:rPr>
          <w:rFonts w:hint="eastAsia" w:ascii="宋体" w:hAnsi="宋体" w:cs="宋体"/>
          <w:sz w:val="28"/>
          <w:szCs w:val="28"/>
        </w:rPr>
        <w:t>个及以上非核心指标未能满足的；</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技术指标响应内容未按照招标文件附件</w:t>
      </w:r>
      <w:r>
        <w:rPr>
          <w:rFonts w:ascii="宋体" w:hAnsi="宋体" w:cs="宋体"/>
          <w:sz w:val="28"/>
          <w:szCs w:val="28"/>
        </w:rPr>
        <w:t>1</w:t>
      </w:r>
      <w:r>
        <w:rPr>
          <w:rFonts w:hint="eastAsia" w:ascii="宋体" w:hAnsi="宋体" w:cs="宋体"/>
          <w:sz w:val="28"/>
          <w:szCs w:val="28"/>
        </w:rPr>
        <w:t>中的章节顺序依次逐条响应；投标文件未采用文字加图片或图形描述的方式对货物进行必要的、详尽的说明，原封不动地引用招标文件附件</w:t>
      </w:r>
      <w:r>
        <w:rPr>
          <w:rFonts w:ascii="宋体" w:hAnsi="宋体" w:cs="宋体"/>
          <w:sz w:val="28"/>
          <w:szCs w:val="28"/>
        </w:rPr>
        <w:t>1</w:t>
      </w:r>
      <w:r>
        <w:rPr>
          <w:rFonts w:hint="eastAsia" w:ascii="宋体" w:hAnsi="宋体" w:cs="宋体"/>
          <w:sz w:val="28"/>
          <w:szCs w:val="28"/>
        </w:rPr>
        <w:t>中的章节、句段的；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rPr>
      </w:pPr>
      <w:r>
        <w:rPr>
          <w:rFonts w:ascii="宋体" w:hAnsi="宋体" w:cs="宋体"/>
          <w:sz w:val="28"/>
          <w:szCs w:val="28"/>
        </w:rPr>
        <w:t>8.</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hAnsi="宋体" w:cs="宋体"/>
          <w:b/>
          <w:sz w:val="28"/>
          <w:szCs w:val="28"/>
        </w:rPr>
      </w:pPr>
      <w:r>
        <w:rPr>
          <w:rFonts w:ascii="宋体" w:hAnsi="宋体" w:cs="宋体"/>
          <w:sz w:val="28"/>
          <w:szCs w:val="28"/>
        </w:rPr>
        <w:t>9.</w:t>
      </w:r>
      <w:r>
        <w:rPr>
          <w:rFonts w:hint="eastAsia" w:ascii="宋体" w:hAnsi="宋体" w:cs="宋体"/>
          <w:sz w:val="28"/>
          <w:szCs w:val="28"/>
        </w:rPr>
        <w:t>无</w:t>
      </w:r>
      <w:r>
        <w:rPr>
          <w:rFonts w:ascii="宋体" w:hAnsi="宋体" w:cs="宋体"/>
          <w:sz w:val="28"/>
          <w:szCs w:val="28"/>
        </w:rPr>
        <w:t>300</w:t>
      </w:r>
      <w:r>
        <w:rPr>
          <w:rFonts w:hint="eastAsia" w:ascii="宋体" w:hAnsi="宋体" w:cs="宋体"/>
          <w:sz w:val="28"/>
          <w:szCs w:val="28"/>
        </w:rPr>
        <w:t>元报名资料费银行转账回单复印件的，或报名资料费银行转账回单中无</w:t>
      </w:r>
      <w:r>
        <w:rPr>
          <w:rFonts w:hint="eastAsia" w:ascii="宋体" w:hAnsi="宋体" w:cs="宋体"/>
          <w:b/>
          <w:sz w:val="28"/>
          <w:szCs w:val="28"/>
        </w:rPr>
        <w:t>“</w:t>
      </w:r>
      <w:r>
        <w:rPr>
          <w:rFonts w:ascii="宋体" w:hAnsi="宋体" w:cs="宋体"/>
          <w:b/>
          <w:sz w:val="28"/>
          <w:szCs w:val="28"/>
        </w:rPr>
        <w:t>SBC20</w:t>
      </w:r>
      <w:r>
        <w:rPr>
          <w:rFonts w:hint="eastAsia" w:ascii="宋体" w:hAnsi="宋体" w:cs="宋体"/>
          <w:b/>
          <w:sz w:val="28"/>
          <w:szCs w:val="28"/>
        </w:rPr>
        <w:t>20023资料费”</w:t>
      </w:r>
      <w:r>
        <w:rPr>
          <w:rFonts w:hint="eastAsia" w:ascii="宋体" w:hAnsi="宋体" w:cs="宋体"/>
          <w:sz w:val="28"/>
          <w:szCs w:val="28"/>
        </w:rPr>
        <w:t>字样的；</w:t>
      </w:r>
    </w:p>
    <w:p>
      <w:pPr>
        <w:spacing w:line="360" w:lineRule="auto"/>
        <w:ind w:firstLine="548" w:firstLineChars="196"/>
        <w:rPr>
          <w:rFonts w:ascii="宋体" w:cs="宋体"/>
          <w:sz w:val="28"/>
          <w:szCs w:val="28"/>
        </w:rPr>
      </w:pPr>
      <w:r>
        <w:rPr>
          <w:rFonts w:ascii="宋体" w:hAnsi="宋体" w:cs="宋体"/>
          <w:sz w:val="28"/>
          <w:szCs w:val="28"/>
        </w:rPr>
        <w:t>10.</w:t>
      </w:r>
      <w:r>
        <w:rPr>
          <w:rFonts w:hint="eastAsia" w:ascii="宋体" w:hAnsi="宋体" w:cs="宋体"/>
          <w:sz w:val="28"/>
          <w:szCs w:val="28"/>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六、评标办法</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本着“质量第一、价格合理、服务优异、保障有力”的原则，由采购人、项目归口管理部门和财务处从报价得分、技术得分、服务、业绩、信誉得分五个方面提出评标办法（见附件</w:t>
      </w:r>
      <w:r>
        <w:rPr>
          <w:rFonts w:ascii="宋体" w:hAnsi="宋体" w:cs="宋体"/>
          <w:sz w:val="28"/>
          <w:szCs w:val="28"/>
        </w:rPr>
        <w:t>5</w:t>
      </w:r>
      <w:r>
        <w:rPr>
          <w:rFonts w:hint="eastAsia" w:ascii="宋体" w:hAnsi="宋体" w:cs="宋体"/>
          <w:sz w:val="28"/>
          <w:szCs w:val="28"/>
        </w:rPr>
        <w:t>）。</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为保证招标质量，在评标办法中设核心指标。每个分包的核心指标不超过</w:t>
      </w:r>
      <w:r>
        <w:rPr>
          <w:rFonts w:ascii="宋体" w:hAnsi="宋体" w:cs="宋体"/>
          <w:sz w:val="28"/>
          <w:szCs w:val="28"/>
        </w:rPr>
        <w:t>5</w:t>
      </w:r>
      <w:r>
        <w:rPr>
          <w:rFonts w:hint="eastAsia" w:ascii="宋体" w:hAnsi="宋体" w:cs="宋体"/>
          <w:sz w:val="28"/>
          <w:szCs w:val="28"/>
        </w:rPr>
        <w:t>个。</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）中标公示结束无异议后</w:t>
      </w:r>
      <w:r>
        <w:rPr>
          <w:rFonts w:ascii="宋体" w:hAnsi="宋体" w:cs="宋体"/>
          <w:sz w:val="28"/>
          <w:szCs w:val="28"/>
        </w:rPr>
        <w:t>5</w:t>
      </w:r>
      <w:r>
        <w:rPr>
          <w:rFonts w:hint="eastAsia" w:ascii="宋体" w:hAnsi="宋体" w:cs="宋体"/>
          <w:sz w:val="28"/>
          <w:szCs w:val="28"/>
        </w:rPr>
        <w:t>个工作日内，中标单位须及时缴纳5</w:t>
      </w:r>
      <w:r>
        <w:rPr>
          <w:rFonts w:ascii="宋体" w:hAnsi="宋体" w:cs="宋体"/>
          <w:sz w:val="28"/>
          <w:szCs w:val="28"/>
        </w:rPr>
        <w:t>000</w:t>
      </w:r>
      <w:r>
        <w:rPr>
          <w:rFonts w:hint="eastAsia" w:ascii="宋体" w:hAnsi="宋体" w:cs="宋体"/>
          <w:sz w:val="28"/>
          <w:szCs w:val="28"/>
        </w:rPr>
        <w:t>元履约保证金并前来我校领取的《中标通知书》（一式二份）。</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）中标单位须在接《中标通知书》起</w:t>
      </w:r>
      <w:r>
        <w:rPr>
          <w:rFonts w:ascii="宋体" w:hAnsi="宋体" w:cs="宋体"/>
          <w:sz w:val="28"/>
          <w:szCs w:val="28"/>
        </w:rPr>
        <w:t>7</w:t>
      </w:r>
      <w:r>
        <w:rPr>
          <w:rFonts w:hint="eastAsia" w:ascii="宋体" w:hAnsi="宋体" w:cs="宋体"/>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spacing w:line="360" w:lineRule="auto"/>
        <w:ind w:firstLine="548" w:firstLineChars="196"/>
        <w:rPr>
          <w:rFonts w:ascii="宋体" w:hAnsi="宋体" w:cs="宋体"/>
          <w:sz w:val="28"/>
          <w:szCs w:val="28"/>
        </w:rPr>
      </w:pPr>
      <w:r>
        <w:rPr>
          <w:rFonts w:ascii="宋体" w:hAnsi="宋体" w:cs="宋体"/>
          <w:sz w:val="28"/>
          <w:szCs w:val="28"/>
        </w:rPr>
        <w:t>2.</w:t>
      </w:r>
      <w:r>
        <w:rPr>
          <w:rFonts w:hint="eastAsia" w:ascii="宋体" w:hAnsi="宋体" w:cs="宋体"/>
          <w:sz w:val="28"/>
          <w:szCs w:val="28"/>
        </w:rPr>
        <w:t>服务地点：南京信息工程大学校内。</w:t>
      </w:r>
    </w:p>
    <w:p>
      <w:pPr>
        <w:spacing w:line="360" w:lineRule="auto"/>
        <w:ind w:firstLine="548" w:firstLineChars="196"/>
        <w:rPr>
          <w:rFonts w:ascii="宋体" w:hAnsi="宋体" w:cs="宋体"/>
          <w:sz w:val="28"/>
          <w:szCs w:val="28"/>
        </w:rPr>
      </w:pPr>
      <w:r>
        <w:rPr>
          <w:rFonts w:ascii="宋体" w:hAnsi="宋体" w:cs="宋体"/>
          <w:sz w:val="28"/>
          <w:szCs w:val="28"/>
        </w:rPr>
        <w:t>3.</w:t>
      </w:r>
      <w:r>
        <w:rPr>
          <w:rFonts w:hint="eastAsia" w:ascii="宋体" w:hAnsi="宋体" w:cs="宋体"/>
          <w:sz w:val="28"/>
          <w:szCs w:val="28"/>
        </w:rPr>
        <w:t>付款方式：</w:t>
      </w:r>
    </w:p>
    <w:p>
      <w:pPr>
        <w:spacing w:line="360" w:lineRule="auto"/>
        <w:ind w:firstLine="548" w:firstLineChars="196"/>
        <w:rPr>
          <w:rFonts w:ascii="宋体" w:hAnsi="宋体" w:cs="宋体"/>
          <w:sz w:val="28"/>
          <w:szCs w:val="28"/>
        </w:rPr>
      </w:pPr>
      <w:r>
        <w:rPr>
          <w:rFonts w:hint="eastAsia" w:ascii="宋体" w:hAnsi="宋体" w:cs="宋体"/>
          <w:sz w:val="28"/>
          <w:szCs w:val="28"/>
        </w:rPr>
        <w:t>针对国内供应货物，中标单位所供设备（或软件、服务）进场安装调试或服务工作完毕，经验收、检测合格后，提供全额税务发票，凭最终签字和盖章的验收合格报告，支付至合同价的95%，余5%作质保金，质保期满后并经有关单位确认无质量问题后，一次性支付完毕。具体内容以最终签署的合同约定为准。</w:t>
      </w:r>
    </w:p>
    <w:p>
      <w:pPr>
        <w:spacing w:line="360" w:lineRule="auto"/>
        <w:ind w:firstLine="548" w:firstLineChars="196"/>
        <w:rPr>
          <w:rFonts w:ascii="宋体" w:hAnsi="宋体" w:cs="宋体"/>
          <w:sz w:val="28"/>
          <w:szCs w:val="28"/>
        </w:rPr>
      </w:pPr>
      <w:r>
        <w:rPr>
          <w:rFonts w:hint="eastAsia" w:ascii="宋体" w:hAnsi="宋体" w:cs="宋体"/>
          <w:sz w:val="28"/>
          <w:szCs w:val="28"/>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资料费：</w:t>
      </w:r>
      <w:r>
        <w:rPr>
          <w:rFonts w:ascii="宋体" w:hAnsi="宋体" w:cs="宋体"/>
          <w:sz w:val="28"/>
          <w:szCs w:val="28"/>
        </w:rPr>
        <w:t>300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）我校不接收现金或支付宝等方式交费。各投标人务必通过单位银行基本账户提前将资料费汇至我校以下账号：户名：南京信息工程大学；账号：</w:t>
      </w:r>
      <w:r>
        <w:rPr>
          <w:rFonts w:ascii="宋体" w:hAnsi="宋体" w:cs="宋体"/>
          <w:sz w:val="28"/>
          <w:szCs w:val="28"/>
        </w:rPr>
        <w:t>10115401040000228</w:t>
      </w:r>
      <w:r>
        <w:rPr>
          <w:rFonts w:hint="eastAsia" w:ascii="宋体" w:hAnsi="宋体" w:cs="宋体"/>
          <w:sz w:val="28"/>
          <w:szCs w:val="28"/>
        </w:rPr>
        <w:t>；开户银行：中国农业银行南京盘城支行。请各投标人务必在转账留言栏备注填写</w:t>
      </w:r>
      <w:r>
        <w:rPr>
          <w:rFonts w:hint="eastAsia" w:ascii="宋体" w:hAnsi="宋体" w:cs="宋体"/>
          <w:b/>
          <w:sz w:val="28"/>
          <w:szCs w:val="28"/>
        </w:rPr>
        <w:t>“</w:t>
      </w:r>
      <w:r>
        <w:rPr>
          <w:rFonts w:ascii="宋体" w:hAnsi="宋体" w:cs="宋体"/>
          <w:b/>
          <w:sz w:val="28"/>
          <w:szCs w:val="28"/>
        </w:rPr>
        <w:t>SBC20200</w:t>
      </w:r>
      <w:r>
        <w:rPr>
          <w:rFonts w:hint="eastAsia" w:ascii="宋体" w:hAnsi="宋体" w:cs="宋体"/>
          <w:b/>
          <w:sz w:val="28"/>
          <w:szCs w:val="28"/>
        </w:rPr>
        <w:t>23资料费”</w:t>
      </w:r>
      <w:r>
        <w:rPr>
          <w:rFonts w:hint="eastAsia" w:ascii="宋体" w:hAnsi="宋体" w:cs="宋体"/>
          <w:sz w:val="28"/>
          <w:szCs w:val="28"/>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ascii="宋体" w:hAnsi="宋体" w:cs="宋体"/>
          <w:b/>
          <w:bCs/>
          <w:sz w:val="28"/>
          <w:szCs w:val="28"/>
        </w:rPr>
        <w:t>我校提供电子普通发票，招标科定期到财务结算中心对账（时间约半个月）。请投标单位在邮件报名时提供单位纳税人识别号，并确保联系人手机号及邮箱状态正常，以便接收电子发票信息。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履约保证金（或投标保证金）：</w:t>
      </w:r>
      <w:r>
        <w:rPr>
          <w:rFonts w:hint="eastAsia" w:ascii="宋体" w:hAnsi="宋体" w:cs="宋体"/>
          <w:sz w:val="28"/>
          <w:szCs w:val="28"/>
          <w:u w:val="single"/>
        </w:rPr>
        <w:t>5</w:t>
      </w:r>
      <w:r>
        <w:rPr>
          <w:rFonts w:ascii="宋体" w:hAnsi="宋体" w:cs="宋体"/>
          <w:sz w:val="28"/>
          <w:szCs w:val="28"/>
          <w:u w:val="single"/>
        </w:rPr>
        <w:t>000</w:t>
      </w:r>
      <w:r>
        <w:rPr>
          <w:rFonts w:hint="eastAsia" w:ascii="宋体" w:hAnsi="宋体" w:cs="宋体"/>
          <w:sz w:val="28"/>
          <w:szCs w:val="28"/>
          <w:u w:val="single"/>
        </w:rPr>
        <w:t>元</w:t>
      </w:r>
      <w:r>
        <w:rPr>
          <w:rFonts w:hint="eastAsia" w:ascii="宋体" w:hAnsi="宋体" w:cs="宋体"/>
          <w:sz w:val="28"/>
          <w:szCs w:val="28"/>
        </w:rPr>
        <w:t>整。</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财务处招标科领取中标通知书后再与采购单位签订供货和服务合同。5</w:t>
      </w:r>
      <w:r>
        <w:rPr>
          <w:rFonts w:ascii="宋体" w:hAnsi="宋体" w:cs="宋体"/>
          <w:sz w:val="28"/>
          <w:szCs w:val="28"/>
        </w:rPr>
        <w:t>000</w:t>
      </w:r>
      <w:r>
        <w:rPr>
          <w:rFonts w:hint="eastAsia" w:ascii="宋体" w:hAnsi="宋体" w:cs="宋体"/>
          <w:sz w:val="28"/>
          <w:szCs w:val="28"/>
        </w:rPr>
        <w:t>元履约保证金交款账号同</w:t>
      </w:r>
      <w:r>
        <w:rPr>
          <w:rFonts w:ascii="宋体" w:hAnsi="宋体" w:cs="宋体"/>
          <w:sz w:val="28"/>
          <w:szCs w:val="28"/>
        </w:rPr>
        <w:t>300</w:t>
      </w:r>
      <w:r>
        <w:rPr>
          <w:rFonts w:hint="eastAsia" w:ascii="宋体" w:hAnsi="宋体" w:cs="宋体"/>
          <w:sz w:val="28"/>
          <w:szCs w:val="28"/>
        </w:rPr>
        <w:t>元资料费。</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）履约保证金交退咨询：财务处结算中心（体育馆北面，南气宾馆东侧的大学生创业中心</w:t>
      </w:r>
      <w:r>
        <w:rPr>
          <w:rFonts w:ascii="宋体" w:hAnsi="宋体" w:cs="宋体"/>
          <w:sz w:val="28"/>
          <w:szCs w:val="28"/>
        </w:rPr>
        <w:t>3</w:t>
      </w:r>
      <w:r>
        <w:rPr>
          <w:rFonts w:hint="eastAsia" w:ascii="宋体" w:hAnsi="宋体" w:cs="宋体"/>
          <w:sz w:val="28"/>
          <w:szCs w:val="28"/>
        </w:rPr>
        <w:t>号楼二楼201）。</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）如中标单位有下列情况之一，不予退还履约保证金，我校将其列入招投标诚信“黑名单”，</w:t>
      </w:r>
      <w:r>
        <w:rPr>
          <w:rFonts w:ascii="宋体" w:hAnsi="宋体" w:cs="宋体"/>
          <w:sz w:val="28"/>
          <w:szCs w:val="28"/>
        </w:rPr>
        <w:t>3</w:t>
      </w:r>
      <w:r>
        <w:rPr>
          <w:rFonts w:hint="eastAsia" w:ascii="宋体" w:hAnsi="宋体" w:cs="宋体"/>
          <w:sz w:val="28"/>
          <w:szCs w:val="28"/>
        </w:rPr>
        <w:t>年内不得到我校从事任何投标活动。</w:t>
      </w:r>
    </w:p>
    <w:p>
      <w:pPr>
        <w:spacing w:line="360" w:lineRule="auto"/>
        <w:ind w:firstLine="548" w:firstLineChars="196"/>
        <w:rPr>
          <w:rFonts w:ascii="宋体" w:cs="宋体"/>
          <w:sz w:val="28"/>
          <w:szCs w:val="28"/>
        </w:rPr>
      </w:pPr>
      <w:r>
        <w:rPr>
          <w:rFonts w:ascii="宋体" w:hAnsi="宋体" w:cs="宋体"/>
          <w:sz w:val="28"/>
          <w:szCs w:val="28"/>
        </w:rPr>
        <w:t>a.</w:t>
      </w:r>
      <w:r>
        <w:rPr>
          <w:rFonts w:hint="eastAsia" w:ascii="宋体" w:hAnsi="宋体" w:cs="宋体"/>
          <w:sz w:val="28"/>
          <w:szCs w:val="28"/>
        </w:rPr>
        <w:t>中标单位未能按学校通知，在规定时间内签署合同；或签署合同后未能履约、单方撕毁合同等；</w:t>
      </w:r>
    </w:p>
    <w:p>
      <w:pPr>
        <w:spacing w:line="360" w:lineRule="auto"/>
        <w:ind w:firstLine="548" w:firstLineChars="196"/>
        <w:rPr>
          <w:rFonts w:ascii="宋体" w:cs="宋体"/>
          <w:sz w:val="28"/>
          <w:szCs w:val="28"/>
        </w:rPr>
      </w:pPr>
      <w:r>
        <w:rPr>
          <w:rFonts w:ascii="宋体" w:hAnsi="宋体" w:cs="宋体"/>
          <w:sz w:val="28"/>
          <w:szCs w:val="28"/>
        </w:rPr>
        <w:t>b.</w:t>
      </w:r>
      <w:r>
        <w:rPr>
          <w:rFonts w:hint="eastAsia" w:ascii="宋体" w:hAnsi="宋体" w:cs="宋体"/>
          <w:sz w:val="28"/>
          <w:szCs w:val="28"/>
        </w:rPr>
        <w:t>中标单位在投标过程中存在串通投标等违规或舞弊行为；或中标单位借用其他公司相关资质的；</w:t>
      </w:r>
    </w:p>
    <w:p>
      <w:pPr>
        <w:spacing w:line="360" w:lineRule="auto"/>
        <w:ind w:firstLine="548" w:firstLineChars="196"/>
        <w:rPr>
          <w:rFonts w:ascii="宋体" w:cs="宋体"/>
          <w:sz w:val="28"/>
          <w:szCs w:val="28"/>
        </w:rPr>
      </w:pPr>
      <w:r>
        <w:rPr>
          <w:rFonts w:ascii="宋体" w:hAnsi="宋体" w:cs="宋体"/>
          <w:sz w:val="28"/>
          <w:szCs w:val="28"/>
        </w:rPr>
        <w:t>c.</w:t>
      </w:r>
      <w:r>
        <w:rPr>
          <w:rFonts w:hint="eastAsia" w:ascii="宋体" w:hAnsi="宋体" w:cs="宋体"/>
          <w:sz w:val="28"/>
          <w:szCs w:val="28"/>
        </w:rPr>
        <w:t>出现其他不予退还履约保证金情形的。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验收：按学校验收规定执行，项目合同是验收的主要依据。</w:t>
      </w:r>
    </w:p>
    <w:p>
      <w:pPr>
        <w:widowControl/>
        <w:spacing w:line="360" w:lineRule="auto"/>
        <w:ind w:firstLine="560" w:firstLineChars="200"/>
        <w:textAlignment w:val="center"/>
        <w:rPr>
          <w:rFonts w:ascii="宋体" w:hAnsi="宋体" w:cs="宋体"/>
          <w:sz w:val="28"/>
          <w:szCs w:val="28"/>
        </w:rPr>
      </w:pPr>
      <w:r>
        <w:rPr>
          <w:rFonts w:ascii="宋体" w:hAnsi="宋体" w:cs="宋体"/>
          <w:sz w:val="28"/>
          <w:szCs w:val="28"/>
        </w:rPr>
        <w:t>7.</w:t>
      </w:r>
      <w:r>
        <w:rPr>
          <w:rFonts w:hint="eastAsia" w:ascii="宋体" w:hAnsi="宋体" w:cs="宋体"/>
          <w:sz w:val="28"/>
          <w:szCs w:val="28"/>
        </w:rPr>
        <w:t>质保：参照附件4服务要求</w:t>
      </w:r>
    </w:p>
    <w:p>
      <w:pPr>
        <w:spacing w:before="312" w:beforeLines="100" w:after="312" w:afterLines="100" w:line="360" w:lineRule="auto"/>
        <w:jc w:val="center"/>
        <w:rPr>
          <w:rFonts w:ascii="黑体" w:hAnsi="黑体" w:eastAsia="黑体"/>
          <w:sz w:val="28"/>
          <w:szCs w:val="28"/>
        </w:rPr>
      </w:pPr>
      <w:bookmarkStart w:id="7"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 xml:space="preserve">答疑时间：          </w:t>
      </w:r>
    </w:p>
    <w:p>
      <w:pPr>
        <w:spacing w:line="360" w:lineRule="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）投标人如有疑问，请在</w:t>
      </w:r>
      <w:r>
        <w:rPr>
          <w:rFonts w:ascii="宋体" w:hAnsi="宋体"/>
          <w:b/>
          <w:sz w:val="28"/>
          <w:szCs w:val="28"/>
          <w:u w:val="single"/>
        </w:rPr>
        <w:t>2020</w:t>
      </w:r>
      <w:r>
        <w:rPr>
          <w:rFonts w:hint="eastAsia" w:ascii="宋体" w:hAnsi="宋体"/>
          <w:b/>
          <w:sz w:val="28"/>
          <w:szCs w:val="28"/>
          <w:u w:val="single"/>
        </w:rPr>
        <w:t>年06月</w:t>
      </w:r>
      <w:r>
        <w:rPr>
          <w:rFonts w:hint="eastAsia" w:ascii="宋体" w:hAnsi="宋体"/>
          <w:b/>
          <w:sz w:val="28"/>
          <w:szCs w:val="28"/>
          <w:u w:val="single"/>
          <w:lang w:val="en-US" w:eastAsia="zh-CN"/>
        </w:rPr>
        <w:t>21</w:t>
      </w:r>
      <w:r>
        <w:rPr>
          <w:rFonts w:hint="eastAsia" w:ascii="宋体" w:hAnsi="宋体"/>
          <w:b/>
          <w:sz w:val="28"/>
          <w:szCs w:val="28"/>
          <w:u w:val="single"/>
        </w:rPr>
        <w:t>日</w:t>
      </w:r>
      <w:r>
        <w:rPr>
          <w:rFonts w:ascii="宋体" w:hAnsi="宋体"/>
          <w:b/>
          <w:sz w:val="28"/>
          <w:szCs w:val="28"/>
          <w:u w:val="single"/>
        </w:rPr>
        <w:t>11</w:t>
      </w:r>
      <w:r>
        <w:rPr>
          <w:rFonts w:hint="eastAsia" w:ascii="宋体" w:hAnsi="宋体"/>
          <w:b/>
          <w:sz w:val="28"/>
          <w:szCs w:val="28"/>
          <w:u w:val="single"/>
        </w:rPr>
        <w:t>：</w:t>
      </w:r>
      <w:r>
        <w:rPr>
          <w:rFonts w:ascii="宋体" w:hAnsi="宋体"/>
          <w:b/>
          <w:sz w:val="28"/>
          <w:szCs w:val="28"/>
          <w:u w:val="single"/>
        </w:rPr>
        <w:t>3</w:t>
      </w:r>
      <w:r>
        <w:fldChar w:fldCharType="begin"/>
      </w:r>
      <w:r>
        <w:instrText xml:space="preserve"> HYPERLINK "mailto:30前将问题一律以word格式或txt格式发至89523765@qq.com" </w:instrText>
      </w:r>
      <w:r>
        <w:fldChar w:fldCharType="separate"/>
      </w:r>
      <w:r>
        <w:rPr>
          <w:rFonts w:ascii="宋体"/>
          <w:b/>
          <w:sz w:val="28"/>
          <w:szCs w:val="28"/>
          <w:u w:val="single"/>
        </w:rPr>
        <w:t>0</w:t>
      </w:r>
      <w:r>
        <w:rPr>
          <w:rFonts w:hint="eastAsia" w:ascii="宋体" w:hAnsi="宋体"/>
          <w:sz w:val="28"/>
          <w:szCs w:val="28"/>
        </w:rPr>
        <w:t>前将问题以</w:t>
      </w:r>
      <w:r>
        <w:rPr>
          <w:rFonts w:ascii="宋体" w:hAnsi="宋体"/>
          <w:sz w:val="28"/>
          <w:szCs w:val="28"/>
        </w:rPr>
        <w:t>word</w:t>
      </w:r>
      <w:r>
        <w:rPr>
          <w:rFonts w:hint="eastAsia" w:ascii="宋体" w:hAnsi="宋体"/>
          <w:sz w:val="28"/>
          <w:szCs w:val="28"/>
        </w:rPr>
        <w:t>格式或</w:t>
      </w:r>
      <w:r>
        <w:rPr>
          <w:rFonts w:ascii="宋体" w:hAnsi="宋体"/>
          <w:sz w:val="28"/>
          <w:szCs w:val="28"/>
        </w:rPr>
        <w:t>txt</w:t>
      </w:r>
      <w:r>
        <w:rPr>
          <w:rFonts w:hint="eastAsia" w:ascii="宋体" w:hAnsi="宋体"/>
          <w:sz w:val="28"/>
          <w:szCs w:val="28"/>
        </w:rPr>
        <w:t>格式发至</w:t>
      </w:r>
      <w:r>
        <w:rPr>
          <w:rFonts w:ascii="宋体" w:hAnsi="宋体"/>
          <w:sz w:val="28"/>
          <w:szCs w:val="28"/>
        </w:rPr>
        <w:t>2483567991@qq.com</w:t>
      </w:r>
      <w:r>
        <w:rPr>
          <w:rFonts w:ascii="宋体" w:hAnsi="宋体"/>
          <w:sz w:val="28"/>
          <w:szCs w:val="28"/>
        </w:rPr>
        <w:fldChar w:fldCharType="end"/>
      </w:r>
      <w:r>
        <w:rPr>
          <w:rFonts w:hint="eastAsia" w:ascii="宋体" w:hAnsi="宋体"/>
          <w:sz w:val="28"/>
          <w:szCs w:val="28"/>
        </w:rPr>
        <w:t>（质疑函请勿以</w:t>
      </w:r>
      <w:r>
        <w:rPr>
          <w:rFonts w:ascii="宋体" w:hAnsi="宋体"/>
          <w:sz w:val="28"/>
          <w:szCs w:val="28"/>
        </w:rPr>
        <w:t>JPG</w:t>
      </w:r>
      <w:r>
        <w:rPr>
          <w:rFonts w:hint="eastAsia" w:ascii="宋体" w:hAnsi="宋体"/>
          <w:sz w:val="28"/>
          <w:szCs w:val="28"/>
        </w:rPr>
        <w:t>或</w:t>
      </w:r>
      <w:r>
        <w:rPr>
          <w:rFonts w:ascii="宋体" w:hAnsi="宋体"/>
          <w:sz w:val="28"/>
          <w:szCs w:val="28"/>
        </w:rPr>
        <w:t>PDF</w:t>
      </w:r>
      <w:r>
        <w:rPr>
          <w:rFonts w:hint="eastAsia" w:ascii="宋体" w:hAnsi="宋体"/>
          <w:sz w:val="28"/>
          <w:szCs w:val="28"/>
        </w:rPr>
        <w:t>格式，对</w:t>
      </w:r>
      <w:r>
        <w:rPr>
          <w:rFonts w:ascii="宋体" w:hAnsi="宋体"/>
          <w:sz w:val="28"/>
          <w:szCs w:val="28"/>
        </w:rPr>
        <w:t>JPG</w:t>
      </w:r>
      <w:r>
        <w:rPr>
          <w:rFonts w:hint="eastAsia" w:ascii="宋体" w:hAnsi="宋体"/>
          <w:sz w:val="28"/>
          <w:szCs w:val="28"/>
        </w:rPr>
        <w:t>和</w:t>
      </w:r>
      <w:r>
        <w:rPr>
          <w:rFonts w:ascii="宋体" w:hAnsi="宋体"/>
          <w:sz w:val="28"/>
          <w:szCs w:val="28"/>
        </w:rPr>
        <w:t>PDF</w:t>
      </w:r>
      <w:r>
        <w:rPr>
          <w:rFonts w:hint="eastAsia" w:ascii="宋体" w:hAnsi="宋体"/>
          <w:sz w:val="28"/>
          <w:szCs w:val="28"/>
        </w:rPr>
        <w:t>格式的附件一律删除，不予采纳，敬请谅解）。</w:t>
      </w:r>
    </w:p>
    <w:p>
      <w:pPr>
        <w:spacing w:line="360" w:lineRule="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）我校项目归口管理部门将通过财务处招标科向各投标人统一进行书面（或电子版）答疑回复。</w:t>
      </w:r>
    </w:p>
    <w:p>
      <w:pPr>
        <w:widowControl/>
        <w:snapToGrid w:val="0"/>
        <w:spacing w:line="360" w:lineRule="auto"/>
        <w:ind w:firstLine="548" w:firstLineChars="196"/>
        <w:rPr>
          <w:rFonts w:ascii="黑体" w:hAnsi="黑体" w:eastAsia="黑体"/>
          <w:i/>
          <w:sz w:val="28"/>
          <w:szCs w:val="28"/>
        </w:rPr>
      </w:pPr>
      <w:r>
        <w:rPr>
          <w:rFonts w:hint="eastAsia" w:ascii="宋体" w:hAnsi="宋体"/>
          <w:sz w:val="28"/>
          <w:szCs w:val="28"/>
        </w:rPr>
        <w:t>4.投标文件</w:t>
      </w:r>
    </w:p>
    <w:p>
      <w:pPr>
        <w:widowControl/>
        <w:spacing w:line="360" w:lineRule="auto"/>
        <w:ind w:firstLine="560" w:firstLineChars="200"/>
        <w:rPr>
          <w:rFonts w:ascii="宋体" w:hAnsi="宋体"/>
          <w:sz w:val="28"/>
          <w:szCs w:val="28"/>
        </w:rPr>
      </w:pPr>
      <w:r>
        <w:rPr>
          <w:rFonts w:hint="eastAsia" w:ascii="宋体" w:hAnsi="宋体"/>
          <w:sz w:val="28"/>
          <w:szCs w:val="28"/>
        </w:rPr>
        <w:t>（1）投标送达方式：</w:t>
      </w:r>
      <w:r>
        <w:rPr>
          <w:rFonts w:hint="eastAsia" w:ascii="宋体" w:hAnsi="宋体"/>
          <w:b/>
          <w:sz w:val="28"/>
          <w:szCs w:val="28"/>
        </w:rPr>
        <w:t>只接受以邮寄方式送达，并请务必用顺丰快递</w:t>
      </w:r>
      <w:r>
        <w:rPr>
          <w:rFonts w:hint="eastAsia" w:ascii="宋体" w:hAnsi="宋体"/>
          <w:sz w:val="28"/>
          <w:szCs w:val="28"/>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rPr>
      </w:pPr>
      <w:r>
        <w:rPr>
          <w:rFonts w:hint="eastAsia" w:ascii="宋体" w:hAnsi="宋体"/>
          <w:sz w:val="28"/>
          <w:szCs w:val="28"/>
        </w:rPr>
        <w:t>（2）投标截止时间：2020年</w:t>
      </w:r>
      <w:r>
        <w:rPr>
          <w:rFonts w:hint="eastAsia" w:ascii="宋体" w:hAnsi="宋体"/>
          <w:sz w:val="28"/>
          <w:szCs w:val="28"/>
          <w:lang w:val="en-US" w:eastAsia="zh-CN"/>
        </w:rPr>
        <w:t>07</w:t>
      </w:r>
      <w:r>
        <w:rPr>
          <w:rFonts w:hint="eastAsia" w:ascii="宋体" w:hAnsi="宋体"/>
          <w:sz w:val="28"/>
          <w:szCs w:val="28"/>
        </w:rPr>
        <w:t>月</w:t>
      </w:r>
      <w:r>
        <w:rPr>
          <w:rFonts w:hint="eastAsia" w:ascii="宋体" w:hAnsi="宋体"/>
          <w:sz w:val="28"/>
          <w:szCs w:val="28"/>
          <w:lang w:val="en-US" w:eastAsia="zh-CN"/>
        </w:rPr>
        <w:t>05</w:t>
      </w:r>
      <w:r>
        <w:rPr>
          <w:rFonts w:hint="eastAsia" w:ascii="宋体" w:hAnsi="宋体"/>
          <w:sz w:val="28"/>
          <w:szCs w:val="28"/>
        </w:rPr>
        <w:t>日</w:t>
      </w:r>
      <w:r>
        <w:rPr>
          <w:rFonts w:hint="eastAsia" w:ascii="宋体" w:hAnsi="宋体"/>
          <w:sz w:val="28"/>
          <w:szCs w:val="28"/>
          <w:lang w:val="en-US" w:eastAsia="zh-CN"/>
        </w:rPr>
        <w:t>13</w:t>
      </w:r>
      <w:r>
        <w:rPr>
          <w:rFonts w:hint="eastAsia" w:ascii="宋体" w:hAnsi="宋体"/>
          <w:sz w:val="28"/>
          <w:szCs w:val="28"/>
        </w:rPr>
        <w:t>：</w:t>
      </w:r>
      <w:r>
        <w:rPr>
          <w:rFonts w:hint="eastAsia" w:ascii="宋体" w:hAnsi="宋体"/>
          <w:sz w:val="28"/>
          <w:szCs w:val="28"/>
          <w:lang w:val="en-US" w:eastAsia="zh-CN"/>
        </w:rPr>
        <w:t>30</w:t>
      </w:r>
      <w:r>
        <w:rPr>
          <w:rFonts w:hint="eastAsia" w:ascii="宋体" w:hAnsi="宋体"/>
          <w:sz w:val="28"/>
          <w:szCs w:val="28"/>
        </w:rPr>
        <w:t>。</w:t>
      </w:r>
      <w:bookmarkStart w:id="8" w:name="_Hlk32349437"/>
    </w:p>
    <w:bookmarkEnd w:id="8"/>
    <w:p>
      <w:pPr>
        <w:widowControl/>
        <w:adjustRightInd w:val="0"/>
        <w:snapToGrid w:val="0"/>
        <w:spacing w:line="360" w:lineRule="auto"/>
        <w:ind w:firstLine="560" w:firstLineChars="200"/>
        <w:rPr>
          <w:rFonts w:ascii="宋体" w:hAnsi="宋体"/>
          <w:sz w:val="28"/>
          <w:szCs w:val="28"/>
        </w:rPr>
      </w:pPr>
      <w:r>
        <w:rPr>
          <w:rFonts w:hint="eastAsia" w:ascii="宋体" w:hAnsi="宋体"/>
          <w:sz w:val="28"/>
          <w:szCs w:val="28"/>
        </w:rPr>
        <w:t>（3）邮寄送达地点：</w:t>
      </w:r>
      <w:r>
        <w:rPr>
          <w:rFonts w:hint="eastAsia" w:ascii="宋体" w:hAnsi="宋体" w:cs="宋体"/>
          <w:kern w:val="0"/>
          <w:sz w:val="28"/>
          <w:szCs w:val="28"/>
        </w:rPr>
        <w:t>南京市浦口区宁六路219号</w:t>
      </w:r>
      <w:r>
        <w:rPr>
          <w:rFonts w:ascii="宋体" w:hAnsi="宋体" w:cs="宋体"/>
          <w:kern w:val="0"/>
          <w:sz w:val="28"/>
          <w:szCs w:val="28"/>
        </w:rPr>
        <w:t>南京信息工程大学</w:t>
      </w:r>
      <w:r>
        <w:rPr>
          <w:rFonts w:hint="eastAsia" w:ascii="宋体" w:hAnsi="宋体"/>
          <w:sz w:val="28"/>
          <w:szCs w:val="28"/>
        </w:rPr>
        <w:t>东苑大学生创业中心3号楼（体育馆北面三层小楼）210室</w:t>
      </w:r>
      <w:r>
        <w:rPr>
          <w:rFonts w:hint="eastAsia" w:ascii="宋体" w:hAnsi="宋体" w:cs="宋体"/>
          <w:kern w:val="0"/>
          <w:sz w:val="28"/>
          <w:szCs w:val="28"/>
        </w:rPr>
        <w:t>财务处招标科。联系人：马老师、罗老师、方老师；联系电话：025-58731441。</w:t>
      </w:r>
    </w:p>
    <w:p>
      <w:pPr>
        <w:snapToGrid w:val="0"/>
        <w:spacing w:line="360" w:lineRule="auto"/>
        <w:ind w:firstLine="560" w:firstLineChars="200"/>
        <w:rPr>
          <w:rFonts w:ascii="宋体" w:hAnsi="宋体"/>
          <w:sz w:val="28"/>
          <w:szCs w:val="28"/>
        </w:rPr>
      </w:pPr>
      <w:r>
        <w:rPr>
          <w:rFonts w:hint="eastAsia" w:ascii="宋体" w:hAnsi="宋体"/>
          <w:sz w:val="28"/>
          <w:szCs w:val="28"/>
        </w:rPr>
        <w:t>5.开标、唱标和评标</w:t>
      </w:r>
    </w:p>
    <w:p>
      <w:pPr>
        <w:widowControl/>
        <w:spacing w:line="360" w:lineRule="auto"/>
        <w:ind w:firstLine="560" w:firstLineChars="200"/>
        <w:rPr>
          <w:rFonts w:ascii="宋体" w:hAnsi="宋体"/>
          <w:sz w:val="28"/>
          <w:szCs w:val="28"/>
        </w:rPr>
      </w:pPr>
      <w:r>
        <w:rPr>
          <w:rFonts w:hint="eastAsia" w:ascii="宋体" w:hAnsi="宋体"/>
          <w:sz w:val="28"/>
          <w:szCs w:val="28"/>
        </w:rPr>
        <w:t>（1）开标、唱标：2020年</w:t>
      </w:r>
      <w:r>
        <w:rPr>
          <w:rFonts w:hint="eastAsia" w:ascii="宋体" w:hAnsi="宋体"/>
          <w:sz w:val="28"/>
          <w:szCs w:val="28"/>
          <w:lang w:val="en-US" w:eastAsia="zh-CN"/>
        </w:rPr>
        <w:t>07</w:t>
      </w:r>
      <w:r>
        <w:rPr>
          <w:rFonts w:hint="eastAsia" w:ascii="宋体" w:hAnsi="宋体"/>
          <w:sz w:val="28"/>
          <w:szCs w:val="28"/>
        </w:rPr>
        <w:t>月</w:t>
      </w:r>
      <w:r>
        <w:rPr>
          <w:rFonts w:hint="eastAsia" w:ascii="宋体" w:hAnsi="宋体"/>
          <w:sz w:val="28"/>
          <w:szCs w:val="28"/>
          <w:lang w:val="en-US" w:eastAsia="zh-CN"/>
        </w:rPr>
        <w:t>05</w:t>
      </w:r>
      <w:r>
        <w:rPr>
          <w:rFonts w:hint="eastAsia" w:ascii="宋体" w:hAnsi="宋体"/>
          <w:sz w:val="28"/>
          <w:szCs w:val="28"/>
        </w:rPr>
        <w:t>日</w:t>
      </w:r>
      <w:r>
        <w:rPr>
          <w:rFonts w:hint="eastAsia" w:ascii="宋体" w:hAnsi="宋体"/>
          <w:sz w:val="28"/>
          <w:szCs w:val="28"/>
          <w:lang w:val="en-US" w:eastAsia="zh-CN"/>
        </w:rPr>
        <w:t>13</w:t>
      </w:r>
      <w:r>
        <w:rPr>
          <w:rFonts w:hint="eastAsia" w:ascii="宋体" w:hAnsi="宋体"/>
          <w:sz w:val="28"/>
          <w:szCs w:val="28"/>
        </w:rPr>
        <w:t>：</w:t>
      </w:r>
      <w:r>
        <w:rPr>
          <w:rFonts w:hint="eastAsia" w:ascii="宋体" w:hAnsi="宋体"/>
          <w:sz w:val="28"/>
          <w:szCs w:val="28"/>
          <w:lang w:val="en-US" w:eastAsia="zh-CN"/>
        </w:rPr>
        <w:t>30</w:t>
      </w:r>
      <w:r>
        <w:rPr>
          <w:rFonts w:hint="eastAsia" w:ascii="宋体" w:hAnsi="宋体"/>
          <w:sz w:val="28"/>
          <w:szCs w:val="28"/>
        </w:rPr>
        <w:t>；(不安排公开开标、唱标，由财务处招标科工作人员在我校纪检监察部门监督见证下进行，开标、唱标工作全程视频监控并录像)。</w:t>
      </w:r>
    </w:p>
    <w:p>
      <w:pPr>
        <w:snapToGrid w:val="0"/>
        <w:spacing w:line="360" w:lineRule="auto"/>
        <w:ind w:firstLine="560" w:firstLineChars="200"/>
        <w:rPr>
          <w:rFonts w:ascii="宋体" w:hAnsi="宋体"/>
          <w:sz w:val="28"/>
          <w:szCs w:val="28"/>
        </w:rPr>
      </w:pPr>
      <w:r>
        <w:rPr>
          <w:rFonts w:hint="eastAsia" w:ascii="宋体" w:hAnsi="宋体"/>
          <w:sz w:val="28"/>
          <w:szCs w:val="28"/>
        </w:rPr>
        <w:t>（2）唱标和开标地点：南京信息工程大学东苑大学生创业中心</w:t>
      </w:r>
      <w:r>
        <w:rPr>
          <w:rFonts w:ascii="宋体" w:hAnsi="宋体"/>
          <w:sz w:val="28"/>
          <w:szCs w:val="28"/>
        </w:rPr>
        <w:t>3</w:t>
      </w:r>
      <w:r>
        <w:rPr>
          <w:rFonts w:hint="eastAsia" w:ascii="宋体" w:hAnsi="宋体"/>
          <w:sz w:val="28"/>
          <w:szCs w:val="28"/>
        </w:rPr>
        <w:t>号楼（体育馆北面三层小楼）</w:t>
      </w:r>
      <w:r>
        <w:rPr>
          <w:rFonts w:ascii="宋体" w:hAnsi="宋体"/>
          <w:sz w:val="28"/>
          <w:szCs w:val="28"/>
        </w:rPr>
        <w:t>210</w:t>
      </w:r>
      <w:r>
        <w:rPr>
          <w:rFonts w:hint="eastAsia" w:ascii="宋体" w:hAnsi="宋体"/>
          <w:sz w:val="28"/>
          <w:szCs w:val="28"/>
        </w:rPr>
        <w:t>室。</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6.相关单位联系人及电话</w:t>
      </w:r>
    </w:p>
    <w:p>
      <w:pPr>
        <w:snapToGrid w:val="0"/>
        <w:spacing w:line="360" w:lineRule="auto"/>
        <w:ind w:firstLine="425" w:firstLineChars="152"/>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）财务处招标科（招投标管理业务单位）：联系电话：</w:t>
      </w:r>
      <w:r>
        <w:rPr>
          <w:rFonts w:ascii="宋体" w:hAnsi="宋体"/>
          <w:sz w:val="28"/>
          <w:szCs w:val="28"/>
        </w:rPr>
        <w:t>025-58731441</w:t>
      </w:r>
      <w:r>
        <w:rPr>
          <w:rFonts w:hint="eastAsia" w:ascii="宋体" w:hAnsi="宋体"/>
          <w:sz w:val="28"/>
          <w:szCs w:val="28"/>
        </w:rPr>
        <w:t>，联系人：马老师、罗老师、方老师；</w:t>
      </w:r>
    </w:p>
    <w:p>
      <w:pPr>
        <w:snapToGrid w:val="0"/>
        <w:spacing w:line="360" w:lineRule="auto"/>
        <w:ind w:firstLine="425" w:firstLineChars="152"/>
        <w:rPr>
          <w:rFonts w:ascii="宋体" w:hAnsi="宋体"/>
          <w:sz w:val="28"/>
          <w:szCs w:val="28"/>
        </w:rPr>
      </w:pPr>
      <w:r>
        <w:rPr>
          <w:rFonts w:hint="eastAsia" w:ascii="宋体" w:hAnsi="宋体"/>
          <w:sz w:val="28"/>
          <w:szCs w:val="28"/>
        </w:rPr>
        <w:t>（2）</w:t>
      </w:r>
      <w:bookmarkEnd w:id="7"/>
      <w:r>
        <w:rPr>
          <w:rFonts w:hint="eastAsia" w:ascii="宋体" w:hAnsi="宋体"/>
          <w:sz w:val="28"/>
          <w:szCs w:val="28"/>
        </w:rPr>
        <w:t>用户单位联系电话：13851454238，联系人：吕老师。</w:t>
      </w:r>
    </w:p>
    <w:p>
      <w:pPr>
        <w:pStyle w:val="2"/>
        <w:ind w:left="0" w:leftChars="0" w:right="0" w:rightChars="0"/>
        <w:rPr>
          <w:rFonts w:ascii="宋体" w:hAnsi="宋体"/>
          <w:sz w:val="28"/>
          <w:szCs w:val="28"/>
        </w:rPr>
      </w:pPr>
    </w:p>
    <w:p>
      <w:pPr>
        <w:tabs>
          <w:tab w:val="left" w:pos="1260"/>
        </w:tabs>
        <w:spacing w:line="360" w:lineRule="auto"/>
        <w:ind w:left="1959" w:leftChars="933" w:firstLine="2530" w:firstLineChars="900"/>
        <w:rPr>
          <w:rFonts w:ascii="宋体"/>
          <w:b/>
          <w:sz w:val="28"/>
          <w:szCs w:val="28"/>
        </w:rPr>
      </w:pPr>
      <w:bookmarkStart w:id="9" w:name="_Hlk9866962"/>
      <w:r>
        <w:rPr>
          <w:rFonts w:hint="eastAsia" w:ascii="宋体" w:hAnsi="宋体"/>
          <w:b/>
          <w:sz w:val="28"/>
          <w:szCs w:val="28"/>
        </w:rPr>
        <w:t>南京信息工程大学财务处</w:t>
      </w:r>
    </w:p>
    <w:p>
      <w:pPr>
        <w:pStyle w:val="9"/>
        <w:spacing w:line="360" w:lineRule="auto"/>
        <w:ind w:left="99" w:leftChars="47" w:firstLine="4919" w:firstLineChars="1750"/>
        <w:rPr>
          <w:rStyle w:val="40"/>
          <w:rFonts w:ascii="宋体" w:hAnsi="Times New Roman" w:eastAsia="宋体"/>
          <w:sz w:val="28"/>
          <w:szCs w:val="28"/>
        </w:rPr>
      </w:pPr>
      <w:r>
        <w:rPr>
          <w:rStyle w:val="40"/>
          <w:rFonts w:ascii="宋体" w:hAnsi="宋体" w:eastAsia="宋体"/>
          <w:sz w:val="28"/>
          <w:szCs w:val="28"/>
        </w:rPr>
        <w:t>20</w:t>
      </w:r>
      <w:r>
        <w:rPr>
          <w:rStyle w:val="40"/>
          <w:rFonts w:hint="eastAsia" w:ascii="宋体" w:hAnsi="宋体" w:eastAsia="宋体"/>
          <w:sz w:val="28"/>
          <w:szCs w:val="28"/>
        </w:rPr>
        <w:t>20年0</w:t>
      </w:r>
      <w:r>
        <w:rPr>
          <w:rStyle w:val="40"/>
          <w:rFonts w:hint="eastAsia" w:ascii="宋体" w:hAnsi="宋体"/>
          <w:sz w:val="28"/>
          <w:szCs w:val="28"/>
        </w:rPr>
        <w:t>6</w:t>
      </w:r>
      <w:r>
        <w:rPr>
          <w:rStyle w:val="40"/>
          <w:rFonts w:hint="eastAsia" w:ascii="宋体" w:hAnsi="宋体" w:eastAsia="宋体"/>
          <w:sz w:val="28"/>
          <w:szCs w:val="28"/>
        </w:rPr>
        <w:t>月</w:t>
      </w:r>
      <w:r>
        <w:rPr>
          <w:rStyle w:val="40"/>
          <w:rFonts w:hint="eastAsia" w:ascii="宋体" w:hAnsi="宋体"/>
          <w:sz w:val="28"/>
          <w:szCs w:val="28"/>
          <w:lang w:val="en-US"/>
        </w:rPr>
        <w:t>15</w:t>
      </w:r>
      <w:r>
        <w:rPr>
          <w:rStyle w:val="40"/>
          <w:rFonts w:hint="eastAsia" w:ascii="宋体" w:hAnsi="宋体" w:eastAsia="宋体"/>
          <w:sz w:val="28"/>
          <w:szCs w:val="28"/>
        </w:rPr>
        <w:t>日</w:t>
      </w:r>
      <w:bookmarkStart w:id="12" w:name="_GoBack"/>
      <w:bookmarkEnd w:id="12"/>
    </w:p>
    <w:bookmarkEnd w:id="9"/>
    <w:p>
      <w:pPr>
        <w:pStyle w:val="8"/>
        <w:adjustRightInd w:val="0"/>
        <w:snapToGrid w:val="0"/>
        <w:spacing w:before="120" w:after="120" w:line="360" w:lineRule="auto"/>
        <w:rPr>
          <w:rStyle w:val="40"/>
          <w:rFonts w:ascii="宋体" w:hAnsi="宋体" w:eastAsia="宋体"/>
          <w:b w:val="0"/>
          <w:sz w:val="28"/>
          <w:szCs w:val="28"/>
        </w:rPr>
      </w:pPr>
      <w:r>
        <w:rPr>
          <w:rStyle w:val="40"/>
          <w:rFonts w:ascii="宋体" w:hAnsi="Times New Roman" w:eastAsia="宋体"/>
          <w:b w:val="0"/>
          <w:sz w:val="28"/>
          <w:szCs w:val="28"/>
        </w:rPr>
        <w:br w:type="page"/>
      </w:r>
      <w:bookmarkStart w:id="10" w:name="_Toc462564147"/>
      <w:r>
        <w:rPr>
          <w:rFonts w:ascii="Times New Roman" w:hAnsi="Times New Roman"/>
          <w:b/>
          <w:bCs/>
          <w:sz w:val="30"/>
          <w:szCs w:val="30"/>
        </w:rPr>
        <w:t>附件1：</w:t>
      </w:r>
    </w:p>
    <w:p>
      <w:pPr>
        <w:spacing w:line="360" w:lineRule="auto"/>
        <w:ind w:left="180"/>
        <w:jc w:val="center"/>
        <w:rPr>
          <w:rFonts w:hAnsi="宋体"/>
          <w:b/>
          <w:sz w:val="28"/>
          <w:szCs w:val="28"/>
        </w:rPr>
      </w:pPr>
      <w:r>
        <w:rPr>
          <w:rFonts w:hint="eastAsia" w:hAnsi="宋体"/>
          <w:b/>
          <w:sz w:val="28"/>
          <w:szCs w:val="28"/>
        </w:rPr>
        <w:t>招标项目设备名称、数量、主要技术要求及其他要求</w:t>
      </w:r>
    </w:p>
    <w:tbl>
      <w:tblPr>
        <w:tblStyle w:val="15"/>
        <w:tblW w:w="5000" w:type="pct"/>
        <w:tblInd w:w="0" w:type="dxa"/>
        <w:tblLayout w:type="fixed"/>
        <w:tblCellMar>
          <w:top w:w="15" w:type="dxa"/>
          <w:left w:w="15" w:type="dxa"/>
          <w:bottom w:w="15" w:type="dxa"/>
          <w:right w:w="15" w:type="dxa"/>
        </w:tblCellMar>
      </w:tblPr>
      <w:tblGrid>
        <w:gridCol w:w="513"/>
        <w:gridCol w:w="2555"/>
        <w:gridCol w:w="1425"/>
        <w:gridCol w:w="1425"/>
        <w:gridCol w:w="815"/>
        <w:gridCol w:w="3503"/>
      </w:tblGrid>
      <w:tr>
        <w:tblPrEx>
          <w:tblCellMar>
            <w:top w:w="15" w:type="dxa"/>
            <w:left w:w="15" w:type="dxa"/>
            <w:bottom w:w="15" w:type="dxa"/>
            <w:right w:w="15" w:type="dxa"/>
          </w:tblCellMar>
        </w:tblPrEx>
        <w:trPr>
          <w:trHeight w:val="686" w:hRule="atLeast"/>
        </w:trPr>
        <w:tc>
          <w:tcPr>
            <w:tcW w:w="2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分包</w:t>
            </w:r>
          </w:p>
        </w:tc>
        <w:tc>
          <w:tcPr>
            <w:tcW w:w="124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仪器设备名称</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参考型号</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单位</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数量</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主要配置或技术参数</w:t>
            </w:r>
          </w:p>
        </w:tc>
      </w:tr>
      <w:tr>
        <w:tblPrEx>
          <w:tblCellMar>
            <w:top w:w="15" w:type="dxa"/>
            <w:left w:w="15" w:type="dxa"/>
            <w:bottom w:w="15" w:type="dxa"/>
            <w:right w:w="15" w:type="dxa"/>
          </w:tblCellMar>
        </w:tblPrEx>
        <w:tc>
          <w:tcPr>
            <w:tcW w:w="2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124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台式机</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r>
              <w:rPr>
                <w:rFonts w:hint="eastAsia" w:ascii="宋体" w:hAnsi="宋体" w:cs="宋体"/>
                <w:color w:val="auto"/>
                <w:sz w:val="24"/>
              </w:rPr>
              <w:t>台</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108</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r>
              <w:rPr>
                <w:rFonts w:hint="eastAsia" w:ascii="宋体" w:hAnsi="宋体" w:cs="宋体"/>
                <w:color w:val="auto"/>
                <w:sz w:val="24"/>
              </w:rPr>
              <w:t>详见下表</w:t>
            </w:r>
          </w:p>
        </w:tc>
      </w:tr>
    </w:tbl>
    <w:p>
      <w:pPr>
        <w:pStyle w:val="2"/>
        <w:ind w:left="1470" w:right="1470"/>
      </w:pPr>
    </w:p>
    <w:tbl>
      <w:tblPr>
        <w:tblStyle w:val="15"/>
        <w:tblW w:w="8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5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Cs w:val="21"/>
              </w:rPr>
            </w:pPr>
            <w:r>
              <w:rPr>
                <w:rFonts w:hint="eastAsia" w:ascii="宋体" w:hAnsi="宋体"/>
                <w:kern w:val="0"/>
                <w:szCs w:val="21"/>
              </w:rPr>
              <w:t>★显示器</w:t>
            </w:r>
          </w:p>
        </w:tc>
        <w:tc>
          <w:tcPr>
            <w:tcW w:w="59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1.5英寸宽屏三边超窄边框液晶，分辨率</w:t>
            </w:r>
            <w:r>
              <w:rPr>
                <w:rFonts w:ascii="宋体" w:hAnsi="宋体"/>
                <w:kern w:val="0"/>
                <w:szCs w:val="21"/>
              </w:rPr>
              <w:t>1920*1080，</w:t>
            </w:r>
            <w:r>
              <w:rPr>
                <w:rFonts w:hint="eastAsia" w:ascii="宋体" w:hAnsi="宋体"/>
                <w:kern w:val="0"/>
                <w:szCs w:val="21"/>
              </w:rPr>
              <w:t>≥3个</w:t>
            </w:r>
            <w:r>
              <w:rPr>
                <w:rFonts w:ascii="宋体" w:hAnsi="宋体"/>
                <w:kern w:val="0"/>
                <w:szCs w:val="21"/>
              </w:rPr>
              <w:t>视频接口</w:t>
            </w:r>
            <w:r>
              <w:rPr>
                <w:rFonts w:hint="eastAsia" w:ascii="宋体" w:hAnsi="宋体"/>
                <w:kern w:val="0"/>
                <w:szCs w:val="21"/>
              </w:rPr>
              <w:t xml:space="preserve"> VGA+HDMI+DP，需随箱配备原厂链接线缆，不接受外配。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3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Cs w:val="21"/>
              </w:rPr>
            </w:pPr>
            <w:r>
              <w:rPr>
                <w:rFonts w:hint="eastAsia" w:ascii="宋体" w:hAnsi="宋体"/>
                <w:kern w:val="0"/>
                <w:szCs w:val="21"/>
              </w:rPr>
              <w:t>★</w:t>
            </w:r>
            <w:r>
              <w:rPr>
                <w:rFonts w:ascii="宋体" w:hAnsi="宋体"/>
                <w:kern w:val="0"/>
                <w:szCs w:val="21"/>
              </w:rPr>
              <w:t>CPU</w:t>
            </w:r>
          </w:p>
        </w:tc>
        <w:tc>
          <w:tcPr>
            <w:tcW w:w="59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kern w:val="0"/>
                <w:szCs w:val="21"/>
              </w:rPr>
            </w:pPr>
            <w:r>
              <w:rPr>
                <w:rFonts w:hint="eastAsia" w:ascii="宋体" w:hAnsi="宋体"/>
                <w:kern w:val="0"/>
                <w:szCs w:val="21"/>
              </w:rPr>
              <w:t>≥英特尔酷睿10代</w:t>
            </w:r>
            <w:r>
              <w:rPr>
                <w:rFonts w:ascii="宋体" w:hAnsi="宋体"/>
                <w:kern w:val="0"/>
                <w:szCs w:val="21"/>
              </w:rPr>
              <w:t xml:space="preserve"> </w:t>
            </w:r>
            <w:r>
              <w:rPr>
                <w:rFonts w:hint="eastAsia" w:ascii="宋体" w:hAnsi="宋体"/>
                <w:kern w:val="0"/>
                <w:szCs w:val="21"/>
              </w:rPr>
              <w:t>I</w:t>
            </w:r>
            <w:r>
              <w:rPr>
                <w:rFonts w:ascii="宋体" w:hAnsi="宋体"/>
                <w:kern w:val="0"/>
                <w:szCs w:val="21"/>
              </w:rPr>
              <w:t>5-</w:t>
            </w:r>
            <w:r>
              <w:rPr>
                <w:rFonts w:hint="eastAsia" w:ascii="宋体" w:hAnsi="宋体"/>
                <w:kern w:val="0"/>
                <w:szCs w:val="21"/>
              </w:rPr>
              <w:t>104</w:t>
            </w:r>
            <w:r>
              <w:rPr>
                <w:rFonts w:ascii="宋体" w:hAnsi="宋体"/>
                <w:kern w:val="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3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Cs w:val="21"/>
              </w:rPr>
            </w:pPr>
            <w:r>
              <w:rPr>
                <w:rFonts w:hint="eastAsia" w:ascii="宋体" w:hAnsi="宋体"/>
                <w:kern w:val="0"/>
                <w:szCs w:val="21"/>
              </w:rPr>
              <w:t>★芯片组</w:t>
            </w:r>
          </w:p>
        </w:tc>
        <w:tc>
          <w:tcPr>
            <w:tcW w:w="59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kern w:val="0"/>
                <w:szCs w:val="21"/>
              </w:rPr>
            </w:pPr>
            <w:r>
              <w:rPr>
                <w:rFonts w:hint="eastAsia" w:ascii="宋体" w:hAnsi="宋体"/>
                <w:kern w:val="0"/>
                <w:szCs w:val="21"/>
              </w:rPr>
              <w:t>≥Intel 470系列芯片组</w:t>
            </w:r>
            <w:r>
              <w:rPr>
                <w:rFonts w:ascii="宋体" w:hAnsi="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Cs w:val="21"/>
              </w:rPr>
            </w:pPr>
            <w:r>
              <w:rPr>
                <w:rFonts w:hint="eastAsia" w:ascii="宋体" w:hAnsi="宋体"/>
                <w:kern w:val="0"/>
                <w:szCs w:val="21"/>
              </w:rPr>
              <w:t>硬盘</w:t>
            </w:r>
          </w:p>
        </w:tc>
        <w:tc>
          <w:tcPr>
            <w:tcW w:w="59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kern w:val="0"/>
                <w:szCs w:val="21"/>
              </w:rPr>
            </w:pPr>
            <w:r>
              <w:rPr>
                <w:rFonts w:hint="eastAsia" w:ascii="宋体" w:hAnsi="宋体"/>
                <w:kern w:val="0"/>
                <w:szCs w:val="21"/>
              </w:rPr>
              <w:t>≥256G M.2 SSD+</w:t>
            </w:r>
            <w:r>
              <w:rPr>
                <w:rFonts w:ascii="宋体" w:hAnsi="宋体"/>
                <w:kern w:val="0"/>
                <w:szCs w:val="21"/>
              </w:rPr>
              <w:t>1T SATA3 7200</w:t>
            </w:r>
            <w:r>
              <w:rPr>
                <w:rFonts w:hint="eastAsia" w:ascii="宋体" w:hAnsi="宋体"/>
                <w:kern w:val="0"/>
                <w:szCs w:val="21"/>
              </w:rPr>
              <w:t>转硬盘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Cs w:val="21"/>
              </w:rPr>
            </w:pPr>
            <w:r>
              <w:rPr>
                <w:rFonts w:hint="eastAsia" w:ascii="宋体" w:hAnsi="宋体"/>
                <w:kern w:val="0"/>
                <w:szCs w:val="21"/>
              </w:rPr>
              <w:t>内存</w:t>
            </w:r>
          </w:p>
        </w:tc>
        <w:tc>
          <w:tcPr>
            <w:tcW w:w="59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kern w:val="0"/>
                <w:szCs w:val="21"/>
              </w:rPr>
            </w:pPr>
            <w:r>
              <w:rPr>
                <w:rFonts w:hint="eastAsia" w:ascii="宋体" w:hAnsi="宋体"/>
                <w:kern w:val="0"/>
                <w:szCs w:val="21"/>
              </w:rPr>
              <w:t>≥16G</w:t>
            </w:r>
            <w:r>
              <w:rPr>
                <w:rFonts w:ascii="宋体" w:hAnsi="宋体"/>
                <w:kern w:val="0"/>
                <w:szCs w:val="21"/>
              </w:rPr>
              <w:t xml:space="preserve"> DDR4  2</w:t>
            </w:r>
            <w:r>
              <w:rPr>
                <w:rFonts w:hint="eastAsia" w:ascii="宋体" w:hAnsi="宋体"/>
                <w:kern w:val="0"/>
                <w:szCs w:val="21"/>
              </w:rPr>
              <w:t>933</w:t>
            </w:r>
            <w:r>
              <w:rPr>
                <w:rFonts w:ascii="宋体" w:hAnsi="宋体"/>
                <w:kern w:val="0"/>
                <w:szCs w:val="21"/>
              </w:rPr>
              <w:t>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3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Cs w:val="21"/>
              </w:rPr>
            </w:pPr>
            <w:r>
              <w:rPr>
                <w:rFonts w:hint="eastAsia" w:ascii="宋体" w:hAnsi="宋体"/>
                <w:kern w:val="0"/>
                <w:szCs w:val="21"/>
              </w:rPr>
              <w:t>显卡</w:t>
            </w:r>
          </w:p>
        </w:tc>
        <w:tc>
          <w:tcPr>
            <w:tcW w:w="59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kern w:val="0"/>
                <w:szCs w:val="21"/>
              </w:rPr>
            </w:pPr>
            <w:r>
              <w:rPr>
                <w:rFonts w:hint="eastAsia" w:ascii="宋体" w:hAnsi="宋体"/>
                <w:kern w:val="0"/>
                <w:szCs w:val="21"/>
              </w:rPr>
              <w:t>≥R7 430 2G DDR5 独立显卡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3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Cs w:val="21"/>
              </w:rPr>
            </w:pPr>
            <w:r>
              <w:rPr>
                <w:rFonts w:hint="eastAsia" w:ascii="宋体" w:hAnsi="宋体"/>
                <w:kern w:val="0"/>
                <w:szCs w:val="21"/>
              </w:rPr>
              <w:t>网卡</w:t>
            </w:r>
          </w:p>
        </w:tc>
        <w:tc>
          <w:tcPr>
            <w:tcW w:w="59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kern w:val="0"/>
                <w:szCs w:val="21"/>
              </w:rPr>
            </w:pPr>
            <w:r>
              <w:rPr>
                <w:rFonts w:hint="eastAsia" w:ascii="宋体" w:hAnsi="宋体"/>
                <w:kern w:val="0"/>
                <w:szCs w:val="21"/>
              </w:rPr>
              <w:t>千兆</w:t>
            </w:r>
            <w:r>
              <w:rPr>
                <w:rFonts w:ascii="宋体" w:hAnsi="宋体"/>
                <w:kern w:val="0"/>
                <w:szCs w:val="21"/>
              </w:rPr>
              <w:t>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3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Cs w:val="21"/>
              </w:rPr>
            </w:pPr>
            <w:r>
              <w:rPr>
                <w:rFonts w:hint="eastAsia" w:ascii="宋体" w:hAnsi="宋体"/>
                <w:kern w:val="0"/>
                <w:szCs w:val="21"/>
              </w:rPr>
              <w:t>鼠标、键盘</w:t>
            </w:r>
          </w:p>
        </w:tc>
        <w:tc>
          <w:tcPr>
            <w:tcW w:w="59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kern w:val="0"/>
                <w:szCs w:val="21"/>
              </w:rPr>
            </w:pPr>
            <w:r>
              <w:rPr>
                <w:rFonts w:hint="eastAsia" w:ascii="宋体" w:hAnsi="宋体"/>
                <w:kern w:val="0"/>
                <w:szCs w:val="21"/>
              </w:rPr>
              <w:t>光电鼠标，标准键盘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3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Cs w:val="21"/>
              </w:rPr>
            </w:pPr>
            <w:r>
              <w:rPr>
                <w:rFonts w:hint="eastAsia" w:ascii="宋体" w:hAnsi="宋体"/>
                <w:kern w:val="0"/>
                <w:szCs w:val="21"/>
              </w:rPr>
              <w:t>★电源</w:t>
            </w:r>
          </w:p>
        </w:tc>
        <w:tc>
          <w:tcPr>
            <w:tcW w:w="59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kern w:val="0"/>
                <w:szCs w:val="21"/>
              </w:rPr>
            </w:pPr>
            <w:r>
              <w:rPr>
                <w:rFonts w:hint="eastAsia" w:ascii="宋体" w:hAnsi="宋体"/>
                <w:kern w:val="0"/>
                <w:szCs w:val="21"/>
              </w:rPr>
              <w:t>≥500W电源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3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Cs w:val="21"/>
              </w:rPr>
            </w:pPr>
            <w:r>
              <w:rPr>
                <w:rFonts w:hint="eastAsia" w:ascii="宋体" w:hAnsi="宋体"/>
                <w:kern w:val="0"/>
                <w:szCs w:val="21"/>
              </w:rPr>
              <w:t>接口</w:t>
            </w:r>
          </w:p>
        </w:tc>
        <w:tc>
          <w:tcPr>
            <w:tcW w:w="59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kern w:val="0"/>
                <w:szCs w:val="21"/>
              </w:rPr>
            </w:pPr>
            <w:r>
              <w:rPr>
                <w:rFonts w:hint="eastAsia" w:ascii="宋体" w:hAnsi="宋体"/>
                <w:kern w:val="0"/>
                <w:szCs w:val="21"/>
              </w:rPr>
              <w:t>≥8个</w:t>
            </w:r>
            <w:r>
              <w:rPr>
                <w:rFonts w:ascii="宋体" w:hAnsi="宋体"/>
                <w:kern w:val="0"/>
                <w:szCs w:val="21"/>
              </w:rPr>
              <w:t>USB</w:t>
            </w:r>
            <w:r>
              <w:rPr>
                <w:rFonts w:hint="eastAsia" w:ascii="宋体" w:hAnsi="宋体"/>
                <w:kern w:val="0"/>
                <w:szCs w:val="21"/>
              </w:rPr>
              <w:t>3.2端口，前置≥6个</w:t>
            </w:r>
            <w:r>
              <w:rPr>
                <w:rFonts w:ascii="宋体" w:hAnsi="宋体"/>
                <w:kern w:val="0"/>
                <w:szCs w:val="21"/>
              </w:rPr>
              <w:t>USB 3.</w:t>
            </w:r>
            <w:r>
              <w:rPr>
                <w:rFonts w:hint="eastAsia" w:ascii="宋体" w:hAnsi="宋体"/>
                <w:kern w:val="0"/>
                <w:szCs w:val="21"/>
              </w:rPr>
              <w:t>2端口，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3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Cs w:val="21"/>
              </w:rPr>
            </w:pPr>
            <w:r>
              <w:rPr>
                <w:rFonts w:hint="eastAsia" w:ascii="宋体" w:hAnsi="宋体"/>
                <w:kern w:val="0"/>
                <w:szCs w:val="21"/>
              </w:rPr>
              <w:t>扩展性</w:t>
            </w:r>
          </w:p>
        </w:tc>
        <w:tc>
          <w:tcPr>
            <w:tcW w:w="59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kern w:val="0"/>
                <w:szCs w:val="21"/>
              </w:rPr>
            </w:pPr>
            <w:r>
              <w:rPr>
                <w:rFonts w:hint="eastAsia" w:ascii="宋体" w:hAnsi="宋体"/>
                <w:kern w:val="0"/>
                <w:szCs w:val="21"/>
              </w:rPr>
              <w:t>≥1个全高</w:t>
            </w:r>
            <w:r>
              <w:rPr>
                <w:rFonts w:ascii="宋体" w:hAnsi="宋体"/>
                <w:kern w:val="0"/>
                <w:szCs w:val="21"/>
              </w:rPr>
              <w:t>PCI</w:t>
            </w:r>
            <w:r>
              <w:rPr>
                <w:rFonts w:hint="eastAsia" w:ascii="宋体" w:hAnsi="宋体"/>
                <w:kern w:val="0"/>
                <w:szCs w:val="21"/>
              </w:rPr>
              <w:t>插槽，1个PCIX1插槽，1个PCIX16插槽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3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Cs w:val="21"/>
              </w:rPr>
            </w:pPr>
            <w:r>
              <w:rPr>
                <w:rFonts w:hint="eastAsia" w:ascii="宋体" w:hAnsi="宋体"/>
                <w:kern w:val="0"/>
                <w:szCs w:val="21"/>
              </w:rPr>
              <w:t>★机箱</w:t>
            </w:r>
          </w:p>
        </w:tc>
        <w:tc>
          <w:tcPr>
            <w:tcW w:w="59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kern w:val="0"/>
                <w:szCs w:val="21"/>
              </w:rPr>
            </w:pPr>
            <w:r>
              <w:rPr>
                <w:rFonts w:hint="eastAsia" w:ascii="宋体" w:hAnsi="宋体"/>
                <w:kern w:val="0"/>
                <w:szCs w:val="21"/>
              </w:rPr>
              <w:t>标准立式机箱，</w:t>
            </w:r>
            <w:r>
              <w:rPr>
                <w:rFonts w:ascii="宋体" w:hAnsi="宋体"/>
                <w:kern w:val="0"/>
                <w:szCs w:val="21"/>
              </w:rPr>
              <w:t>15 -16L之间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Cs w:val="21"/>
              </w:rPr>
            </w:pPr>
            <w:r>
              <w:rPr>
                <w:rFonts w:hint="eastAsia" w:ascii="宋体" w:hAnsi="宋体"/>
                <w:kern w:val="0"/>
                <w:szCs w:val="21"/>
              </w:rPr>
              <w:t>操作系统</w:t>
            </w:r>
          </w:p>
        </w:tc>
        <w:tc>
          <w:tcPr>
            <w:tcW w:w="59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kern w:val="0"/>
                <w:szCs w:val="21"/>
              </w:rPr>
            </w:pPr>
            <w:r>
              <w:rPr>
                <w:rFonts w:hint="eastAsia" w:ascii="宋体" w:hAnsi="宋体"/>
                <w:kern w:val="0"/>
                <w:szCs w:val="21"/>
              </w:rPr>
              <w:t>出厂自带win10 home 正版操作系统。</w:t>
            </w:r>
          </w:p>
        </w:tc>
      </w:tr>
    </w:tbl>
    <w:p>
      <w:pPr>
        <w:pStyle w:val="2"/>
        <w:ind w:left="0" w:leftChars="0" w:right="1470"/>
        <w:rPr>
          <w:rFonts w:hAnsi="宋体"/>
          <w:b/>
          <w:sz w:val="28"/>
          <w:szCs w:val="28"/>
        </w:rPr>
      </w:pPr>
      <w:r>
        <w:rPr>
          <w:rFonts w:hint="eastAsia" w:hAnsi="宋体"/>
          <w:b/>
          <w:sz w:val="28"/>
          <w:szCs w:val="28"/>
        </w:rPr>
        <w:t>以上设备提供原厂6年</w:t>
      </w:r>
      <w:r>
        <w:rPr>
          <w:rFonts w:hint="eastAsia" w:hAnsi="宋体"/>
          <w:b/>
          <w:color w:val="auto"/>
          <w:sz w:val="28"/>
          <w:szCs w:val="28"/>
        </w:rPr>
        <w:t>免费上门保</w:t>
      </w:r>
      <w:r>
        <w:rPr>
          <w:rFonts w:hint="eastAsia" w:hAnsi="宋体"/>
          <w:b/>
          <w:sz w:val="28"/>
          <w:szCs w:val="28"/>
        </w:rPr>
        <w:t>修。</w:t>
      </w:r>
    </w:p>
    <w:p>
      <w:pPr>
        <w:widowControl/>
        <w:jc w:val="left"/>
        <w:rPr>
          <w:rFonts w:hAnsi="宋体"/>
          <w:b/>
          <w:sz w:val="28"/>
          <w:szCs w:val="28"/>
        </w:rPr>
      </w:pPr>
      <w:r>
        <w:rPr>
          <w:rFonts w:ascii="宋体" w:hAnsi="宋体" w:cs="宋体"/>
          <w:b/>
          <w:bCs/>
          <w:sz w:val="28"/>
          <w:szCs w:val="28"/>
        </w:rPr>
        <w:t>注：报价时必须注明或说明品牌中具体投标品牌，否则投标无效。</w:t>
      </w:r>
      <w:r>
        <w:rPr>
          <w:rFonts w:ascii="宋体" w:hAnsi="宋体" w:cs="宋体"/>
          <w:b/>
          <w:bCs/>
          <w:sz w:val="28"/>
          <w:szCs w:val="28"/>
        </w:rPr>
        <w:br w:type="textWrapping"/>
      </w:r>
      <w:r>
        <w:rPr>
          <w:rFonts w:ascii="宋体" w:hAnsi="宋体" w:cs="宋体"/>
          <w:b/>
          <w:bCs/>
          <w:sz w:val="28"/>
          <w:szCs w:val="28"/>
        </w:rPr>
        <w:t>★▲投标时需提供承诺并在中标公示之日起，五个工作日内取得所投上述要求原厂授权函、售后服务承诺函、原厂保修等均须提供原厂项目授权书与售后服务承诺书，否则取消中标资格。</w:t>
      </w:r>
    </w:p>
    <w:p>
      <w:pPr>
        <w:widowControl/>
        <w:jc w:val="left"/>
        <w:rPr>
          <w:rFonts w:hAnsi="宋体"/>
          <w:b/>
          <w:sz w:val="28"/>
          <w:szCs w:val="28"/>
        </w:rPr>
      </w:pPr>
    </w:p>
    <w:p>
      <w:pPr>
        <w:widowControl/>
        <w:jc w:val="left"/>
        <w:rPr>
          <w:rFonts w:hAnsi="宋体"/>
          <w:b/>
          <w:sz w:val="36"/>
          <w:szCs w:val="36"/>
        </w:rPr>
      </w:pPr>
      <w:r>
        <w:rPr>
          <w:rFonts w:hint="eastAsia" w:hAnsi="宋体"/>
          <w:b/>
          <w:sz w:val="28"/>
          <w:szCs w:val="28"/>
        </w:rPr>
        <w:t>附件</w:t>
      </w:r>
      <w:r>
        <w:rPr>
          <w:rFonts w:hAnsi="宋体"/>
          <w:b/>
          <w:sz w:val="28"/>
          <w:szCs w:val="28"/>
        </w:rPr>
        <w:t>2</w:t>
      </w:r>
      <w:r>
        <w:rPr>
          <w:rFonts w:hint="eastAsia" w:hAnsi="宋体"/>
          <w:b/>
          <w:sz w:val="28"/>
          <w:szCs w:val="28"/>
        </w:rPr>
        <w:t>：</w:t>
      </w:r>
    </w:p>
    <w:p>
      <w:pPr>
        <w:tabs>
          <w:tab w:val="left" w:pos="3270"/>
        </w:tabs>
        <w:autoSpaceDE w:val="0"/>
        <w:autoSpaceDN w:val="0"/>
        <w:adjustRightInd w:val="0"/>
        <w:spacing w:line="360" w:lineRule="exact"/>
        <w:rPr>
          <w:rFonts w:ascii="宋体" w:hAnsi="宋体"/>
          <w:b/>
          <w:sz w:val="24"/>
          <w:lang w:val="zh-CN"/>
        </w:rPr>
      </w:pPr>
      <w:bookmarkStart w:id="11" w:name="_Hlk9862420"/>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根据贵方（项目名称）（项目编号）投标邀请，正式授权下述签字人</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代表投标人 （投标人名称），提交投标文件。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lang w:val="zh-CN"/>
        </w:rPr>
      </w:pPr>
      <w:r>
        <w:rPr>
          <w:rFonts w:ascii="宋体" w:hAnsi="宋体"/>
          <w:sz w:val="24"/>
        </w:rPr>
        <w:t>2</w:t>
      </w:r>
      <w:r>
        <w:rPr>
          <w:rFonts w:hint="eastAsia" w:ascii="宋体" w:hAnsi="宋体"/>
          <w:sz w:val="24"/>
        </w:rPr>
        <w:t>、</w:t>
      </w:r>
      <w:r>
        <w:rPr>
          <w:rFonts w:hint="eastAsia" w:ascii="宋体" w:hAnsi="宋体"/>
          <w:sz w:val="24"/>
          <w:lang w:val="zh-CN"/>
        </w:rPr>
        <w:t>按招标要求，我们的投标总报价为人民币大写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rFonts w:ascii="宋体"/>
          <w:b/>
          <w:sz w:val="28"/>
          <w:szCs w:val="28"/>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p>
    <w:p>
      <w:pPr>
        <w:spacing w:line="360" w:lineRule="auto"/>
        <w:jc w:val="center"/>
        <w:rPr>
          <w:rFonts w:ascii="宋体"/>
          <w:sz w:val="44"/>
          <w:szCs w:val="44"/>
        </w:rPr>
      </w:pPr>
      <w:r>
        <w:rPr>
          <w:rFonts w:hint="eastAsia" w:ascii="宋体" w:hAnsi="宋体"/>
          <w:sz w:val="44"/>
          <w:szCs w:val="44"/>
        </w:rPr>
        <w:t>投标项目报价明细表</w:t>
      </w:r>
    </w:p>
    <w:p>
      <w:pPr>
        <w:spacing w:line="360" w:lineRule="auto"/>
        <w:rPr>
          <w:rFonts w:ascii="宋体"/>
          <w:sz w:val="28"/>
          <w:szCs w:val="28"/>
          <w:u w:val="single"/>
        </w:rPr>
      </w:pPr>
      <w:r>
        <w:rPr>
          <w:rFonts w:hint="eastAsia" w:ascii="宋体" w:hAnsi="宋体"/>
          <w:sz w:val="28"/>
          <w:szCs w:val="28"/>
        </w:rPr>
        <w:t>投标人</w:t>
      </w:r>
    </w:p>
    <w:p>
      <w:pPr>
        <w:spacing w:line="360" w:lineRule="auto"/>
        <w:rPr>
          <w:rFonts w:ascii="宋体"/>
          <w:sz w:val="28"/>
          <w:szCs w:val="28"/>
          <w:u w:val="single"/>
        </w:rPr>
      </w:pPr>
      <w:r>
        <w:rPr>
          <w:rFonts w:hint="eastAsia" w:ascii="宋体" w:hAnsi="宋体"/>
          <w:sz w:val="28"/>
          <w:szCs w:val="28"/>
        </w:rPr>
        <w:t>招标编号及分包号</w:t>
      </w:r>
    </w:p>
    <w:p>
      <w:pPr>
        <w:spacing w:line="360" w:lineRule="auto"/>
        <w:rPr>
          <w:rFonts w:ascii="宋体"/>
          <w:sz w:val="28"/>
          <w:szCs w:val="28"/>
          <w:u w:val="single"/>
        </w:rPr>
      </w:pPr>
      <w:r>
        <w:rPr>
          <w:rFonts w:hint="eastAsia" w:ascii="宋体" w:hAnsi="宋体"/>
          <w:sz w:val="28"/>
          <w:szCs w:val="28"/>
        </w:rPr>
        <w:t>投标报价</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b/>
                <w:sz w:val="28"/>
                <w:szCs w:val="28"/>
              </w:rPr>
            </w:pPr>
            <w:r>
              <w:rPr>
                <w:rFonts w:hint="eastAsia" w:ascii="宋体" w:hAnsi="宋体"/>
                <w:b/>
                <w:sz w:val="28"/>
                <w:szCs w:val="28"/>
              </w:rPr>
              <w:t>分包号</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名称</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描述</w:t>
            </w:r>
          </w:p>
        </w:tc>
        <w:tc>
          <w:tcPr>
            <w:tcW w:w="1065" w:type="dxa"/>
            <w:vAlign w:val="center"/>
          </w:tcPr>
          <w:p>
            <w:pPr>
              <w:spacing w:line="360" w:lineRule="auto"/>
              <w:jc w:val="center"/>
              <w:rPr>
                <w:rFonts w:ascii="宋体"/>
                <w:b/>
                <w:sz w:val="28"/>
                <w:szCs w:val="28"/>
              </w:rPr>
            </w:pPr>
            <w:r>
              <w:rPr>
                <w:rFonts w:hint="eastAsia" w:ascii="宋体" w:hAnsi="宋体"/>
                <w:b/>
                <w:sz w:val="28"/>
                <w:szCs w:val="28"/>
              </w:rPr>
              <w:t>计量</w:t>
            </w:r>
          </w:p>
          <w:p>
            <w:pPr>
              <w:spacing w:line="360" w:lineRule="auto"/>
              <w:jc w:val="center"/>
              <w:rPr>
                <w:rFonts w:ascii="宋体"/>
                <w:b/>
                <w:sz w:val="28"/>
                <w:szCs w:val="28"/>
              </w:rPr>
            </w:pPr>
            <w:r>
              <w:rPr>
                <w:rFonts w:hint="eastAsia" w:ascii="宋体" w:hAnsi="宋体"/>
                <w:b/>
                <w:sz w:val="28"/>
                <w:szCs w:val="28"/>
              </w:rPr>
              <w:t>单位</w:t>
            </w:r>
          </w:p>
        </w:tc>
        <w:tc>
          <w:tcPr>
            <w:tcW w:w="1065" w:type="dxa"/>
            <w:vAlign w:val="center"/>
          </w:tcPr>
          <w:p>
            <w:pPr>
              <w:spacing w:line="360" w:lineRule="auto"/>
              <w:jc w:val="center"/>
              <w:rPr>
                <w:rFonts w:ascii="宋体"/>
                <w:b/>
                <w:sz w:val="28"/>
                <w:szCs w:val="28"/>
              </w:rPr>
            </w:pPr>
            <w:r>
              <w:rPr>
                <w:rFonts w:hint="eastAsia" w:ascii="宋体" w:hAnsi="宋体"/>
                <w:b/>
                <w:sz w:val="28"/>
                <w:szCs w:val="28"/>
              </w:rPr>
              <w:t>数量</w:t>
            </w:r>
          </w:p>
        </w:tc>
        <w:tc>
          <w:tcPr>
            <w:tcW w:w="1065" w:type="dxa"/>
            <w:vAlign w:val="center"/>
          </w:tcPr>
          <w:p>
            <w:pPr>
              <w:spacing w:line="360" w:lineRule="auto"/>
              <w:jc w:val="center"/>
              <w:rPr>
                <w:rFonts w:ascii="宋体"/>
                <w:b/>
                <w:sz w:val="28"/>
                <w:szCs w:val="28"/>
              </w:rPr>
            </w:pPr>
            <w:r>
              <w:rPr>
                <w:rFonts w:hint="eastAsia" w:ascii="宋体" w:hAnsi="宋体"/>
                <w:b/>
                <w:sz w:val="28"/>
                <w:szCs w:val="28"/>
              </w:rPr>
              <w:t>单价</w:t>
            </w:r>
          </w:p>
        </w:tc>
        <w:tc>
          <w:tcPr>
            <w:tcW w:w="1066" w:type="dxa"/>
            <w:vAlign w:val="center"/>
          </w:tcPr>
          <w:p>
            <w:pPr>
              <w:spacing w:line="360" w:lineRule="auto"/>
              <w:jc w:val="center"/>
              <w:rPr>
                <w:rFonts w:ascii="宋体"/>
                <w:b/>
                <w:sz w:val="28"/>
                <w:szCs w:val="28"/>
              </w:rPr>
            </w:pPr>
            <w:r>
              <w:rPr>
                <w:rFonts w:hint="eastAsia" w:ascii="宋体" w:hAnsi="宋体"/>
                <w:b/>
                <w:sz w:val="28"/>
                <w:szCs w:val="28"/>
              </w:rPr>
              <w:t>每项</w:t>
            </w:r>
          </w:p>
          <w:p>
            <w:pPr>
              <w:spacing w:line="360" w:lineRule="auto"/>
              <w:jc w:val="center"/>
              <w:rPr>
                <w:rFonts w:ascii="宋体"/>
                <w:b/>
                <w:sz w:val="28"/>
                <w:szCs w:val="28"/>
              </w:rPr>
            </w:pPr>
            <w:r>
              <w:rPr>
                <w:rFonts w:hint="eastAsia" w:ascii="宋体" w:hAnsi="宋体"/>
                <w:b/>
                <w:sz w:val="28"/>
                <w:szCs w:val="28"/>
              </w:rPr>
              <w:t>总价</w:t>
            </w:r>
          </w:p>
        </w:tc>
        <w:tc>
          <w:tcPr>
            <w:tcW w:w="1066" w:type="dxa"/>
          </w:tcPr>
          <w:p>
            <w:pPr>
              <w:spacing w:line="360" w:lineRule="auto"/>
              <w:jc w:val="center"/>
              <w:rPr>
                <w:rFonts w:ascii="宋体"/>
                <w:b/>
                <w:sz w:val="28"/>
                <w:szCs w:val="28"/>
              </w:rPr>
            </w:pPr>
            <w:r>
              <w:rPr>
                <w:rFonts w:hint="eastAsia" w:ascii="宋体" w:hAnsi="宋体"/>
                <w:b/>
                <w:sz w:val="28"/>
                <w:szCs w:val="28"/>
              </w:rPr>
              <w:t>质保</w:t>
            </w:r>
          </w:p>
          <w:p>
            <w:pPr>
              <w:spacing w:line="360" w:lineRule="auto"/>
              <w:jc w:val="center"/>
              <w:rPr>
                <w:rFonts w:ascii="宋体"/>
                <w:b/>
                <w:sz w:val="28"/>
                <w:szCs w:val="28"/>
              </w:rPr>
            </w:pPr>
            <w:r>
              <w:rPr>
                <w:rFonts w:hint="eastAsia" w:ascii="宋体" w:hAnsi="宋体"/>
                <w:b/>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gridSpan w:val="2"/>
            <w:vAlign w:val="center"/>
          </w:tcPr>
          <w:p>
            <w:pPr>
              <w:spacing w:line="360" w:lineRule="auto"/>
              <w:jc w:val="center"/>
              <w:rPr>
                <w:rFonts w:ascii="宋体"/>
                <w:sz w:val="28"/>
                <w:szCs w:val="28"/>
              </w:rPr>
            </w:pPr>
            <w:r>
              <w:rPr>
                <w:rFonts w:hint="eastAsia" w:ascii="宋体" w:hAnsi="宋体"/>
                <w:sz w:val="28"/>
                <w:szCs w:val="28"/>
              </w:rPr>
              <w:t>合计总价</w:t>
            </w:r>
          </w:p>
        </w:tc>
        <w:tc>
          <w:tcPr>
            <w:tcW w:w="6392" w:type="dxa"/>
            <w:gridSpan w:val="6"/>
            <w:vAlign w:val="center"/>
          </w:tcPr>
          <w:p>
            <w:pPr>
              <w:spacing w:line="360" w:lineRule="auto"/>
              <w:rPr>
                <w:rFonts w:ascii="宋体"/>
                <w:sz w:val="28"/>
                <w:szCs w:val="28"/>
                <w:u w:val="single"/>
              </w:rPr>
            </w:pPr>
            <w:r>
              <w:rPr>
                <w:rFonts w:hint="eastAsia" w:ascii="宋体" w:hAnsi="宋体"/>
                <w:sz w:val="28"/>
                <w:szCs w:val="28"/>
              </w:rPr>
              <w:t>大写：小写：元</w:t>
            </w:r>
          </w:p>
        </w:tc>
      </w:tr>
    </w:tbl>
    <w:p>
      <w:pPr>
        <w:spacing w:line="360" w:lineRule="auto"/>
        <w:rPr>
          <w:rFonts w:ascii="宋体"/>
          <w:sz w:val="28"/>
          <w:szCs w:val="28"/>
        </w:rPr>
      </w:pPr>
      <w:r>
        <w:rPr>
          <w:rFonts w:hint="eastAsia" w:ascii="宋体" w:hAnsi="宋体"/>
          <w:sz w:val="28"/>
          <w:szCs w:val="28"/>
        </w:rPr>
        <w:t>（可续页）</w:t>
      </w:r>
    </w:p>
    <w:p>
      <w:pPr>
        <w:spacing w:line="360" w:lineRule="auto"/>
        <w:rPr>
          <w:rFonts w:ascii="宋体"/>
          <w:sz w:val="28"/>
          <w:szCs w:val="28"/>
        </w:rPr>
      </w:pPr>
    </w:p>
    <w:p>
      <w:pPr>
        <w:spacing w:line="360" w:lineRule="auto"/>
        <w:rPr>
          <w:rFonts w:ascii="宋体"/>
          <w:sz w:val="28"/>
          <w:szCs w:val="28"/>
          <w:u w:val="single"/>
        </w:rPr>
      </w:pPr>
      <w:r>
        <w:rPr>
          <w:rFonts w:hint="eastAsia" w:ascii="宋体" w:hAnsi="宋体"/>
          <w:sz w:val="28"/>
          <w:szCs w:val="28"/>
        </w:rPr>
        <w:t>单位盖章：</w:t>
      </w:r>
    </w:p>
    <w:p>
      <w:pPr>
        <w:spacing w:line="360" w:lineRule="auto"/>
        <w:rPr>
          <w:rFonts w:ascii="宋体"/>
          <w:sz w:val="28"/>
          <w:szCs w:val="28"/>
          <w:u w:val="single"/>
        </w:rPr>
      </w:pPr>
      <w:r>
        <w:rPr>
          <w:rFonts w:hint="eastAsia" w:ascii="宋体" w:hAnsi="宋体"/>
          <w:sz w:val="28"/>
          <w:szCs w:val="28"/>
        </w:rPr>
        <w:t>授权代表签字：</w:t>
      </w:r>
    </w:p>
    <w:p>
      <w:pPr>
        <w:spacing w:line="360" w:lineRule="auto"/>
        <w:rPr>
          <w:rFonts w:ascii="宋体"/>
          <w:sz w:val="28"/>
          <w:szCs w:val="28"/>
        </w:rPr>
      </w:pPr>
    </w:p>
    <w:p>
      <w:pPr>
        <w:spacing w:line="360" w:lineRule="auto"/>
        <w:rPr>
          <w:rFonts w:ascii="宋体"/>
          <w:sz w:val="28"/>
          <w:szCs w:val="28"/>
        </w:rPr>
      </w:pPr>
      <w:r>
        <w:rPr>
          <w:rFonts w:hint="eastAsia" w:ascii="宋体" w:hAnsi="宋体"/>
          <w:sz w:val="28"/>
          <w:szCs w:val="28"/>
        </w:rPr>
        <w:t>年月日</w:t>
      </w:r>
    </w:p>
    <w:p>
      <w:pPr>
        <w:jc w:val="left"/>
        <w:rPr>
          <w:b/>
          <w:sz w:val="28"/>
          <w:szCs w:val="28"/>
        </w:rPr>
      </w:pPr>
    </w:p>
    <w:bookmarkEnd w:id="10"/>
    <w:bookmarkEnd w:id="11"/>
    <w:p>
      <w:pPr>
        <w:jc w:val="left"/>
        <w:rPr>
          <w:b/>
          <w:sz w:val="28"/>
          <w:szCs w:val="28"/>
        </w:rPr>
      </w:pPr>
      <w:r>
        <w:rPr>
          <w:rFonts w:hint="eastAsia"/>
          <w:b/>
          <w:sz w:val="28"/>
          <w:szCs w:val="28"/>
        </w:rPr>
        <w:t>附件</w:t>
      </w:r>
      <w:r>
        <w:rPr>
          <w:b/>
          <w:sz w:val="28"/>
          <w:szCs w:val="28"/>
        </w:rPr>
        <w:t>4</w:t>
      </w:r>
      <w:r>
        <w:rPr>
          <w:rFonts w:hint="eastAsia"/>
          <w:b/>
          <w:sz w:val="28"/>
          <w:szCs w:val="28"/>
        </w:rPr>
        <w:t>：服务要求</w:t>
      </w:r>
    </w:p>
    <w:p>
      <w:pPr>
        <w:widowControl/>
        <w:spacing w:line="360" w:lineRule="auto"/>
        <w:ind w:firstLine="480" w:firstLineChars="200"/>
        <w:textAlignment w:val="center"/>
        <w:rPr>
          <w:rFonts w:ascii="宋体" w:hAnsi="宋体"/>
          <w:bCs/>
          <w:sz w:val="24"/>
        </w:rPr>
      </w:pPr>
      <w:r>
        <w:rPr>
          <w:rFonts w:hint="eastAsia" w:ascii="宋体" w:hAnsi="宋体"/>
          <w:bCs/>
          <w:sz w:val="24"/>
        </w:rPr>
        <w:t>1、本项目供货期：合同生效之日起30天内安装调试完成。</w:t>
      </w:r>
    </w:p>
    <w:p>
      <w:pPr>
        <w:widowControl/>
        <w:spacing w:line="360" w:lineRule="auto"/>
        <w:ind w:firstLine="480" w:firstLineChars="200"/>
        <w:textAlignment w:val="center"/>
        <w:rPr>
          <w:rFonts w:ascii="宋体" w:hAnsi="宋体"/>
          <w:bCs/>
          <w:sz w:val="24"/>
        </w:rPr>
      </w:pPr>
      <w:r>
        <w:rPr>
          <w:rFonts w:hint="eastAsia" w:ascii="宋体" w:hAnsi="宋体"/>
          <w:bCs/>
          <w:sz w:val="24"/>
        </w:rPr>
        <w:t>2、售后要求：原厂质保6年。提供原厂质保承诺函，六年原厂上门保修（官网可查询，提供原厂质保函，保修信息最终用户为南京信息工程大学）</w:t>
      </w:r>
    </w:p>
    <w:p>
      <w:pPr>
        <w:widowControl/>
        <w:spacing w:line="360" w:lineRule="auto"/>
        <w:ind w:firstLine="480" w:firstLineChars="200"/>
        <w:textAlignment w:val="center"/>
        <w:rPr>
          <w:rFonts w:ascii="宋体" w:hAnsi="宋体"/>
          <w:bCs/>
          <w:sz w:val="24"/>
        </w:rPr>
      </w:pPr>
      <w:r>
        <w:rPr>
          <w:rFonts w:hint="eastAsia" w:ascii="宋体" w:hAnsi="宋体"/>
          <w:bCs/>
          <w:sz w:val="24"/>
        </w:rPr>
        <w:t>3、其他要求：需为节能产品，提供上门安装服务 。所有机器必须原厂直发南京信息工程大学，中途不得转运。</w:t>
      </w:r>
    </w:p>
    <w:p>
      <w:pPr>
        <w:widowControl/>
        <w:spacing w:line="360" w:lineRule="auto"/>
        <w:ind w:firstLine="480" w:firstLineChars="200"/>
        <w:textAlignment w:val="center"/>
        <w:rPr>
          <w:rFonts w:ascii="宋体" w:hAnsi="宋体"/>
          <w:bCs/>
          <w:sz w:val="24"/>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r>
        <w:rPr>
          <w:rFonts w:hint="eastAsia" w:ascii="宋体" w:hAnsi="宋体" w:cs="仿宋"/>
          <w:b/>
          <w:bCs/>
          <w:sz w:val="28"/>
          <w:szCs w:val="28"/>
        </w:rPr>
        <w:t>附件</w:t>
      </w:r>
      <w:r>
        <w:rPr>
          <w:rFonts w:ascii="宋体" w:hAnsi="宋体" w:cs="仿宋"/>
          <w:b/>
          <w:bCs/>
          <w:sz w:val="28"/>
          <w:szCs w:val="28"/>
        </w:rPr>
        <w:t>5</w:t>
      </w:r>
      <w:r>
        <w:rPr>
          <w:rFonts w:hint="eastAsia" w:ascii="宋体" w:hAnsi="宋体" w:cs="仿宋"/>
          <w:b/>
          <w:bCs/>
          <w:sz w:val="28"/>
          <w:szCs w:val="28"/>
        </w:rPr>
        <w:t>：评标办法</w:t>
      </w:r>
    </w:p>
    <w:p>
      <w:pPr>
        <w:spacing w:line="360" w:lineRule="auto"/>
        <w:ind w:firstLine="480" w:firstLineChars="200"/>
        <w:rPr>
          <w:rFonts w:ascii="宋体" w:hAnsi="宋体"/>
          <w:sz w:val="24"/>
        </w:rPr>
      </w:pPr>
      <w:r>
        <w:rPr>
          <w:rFonts w:hint="eastAsia" w:ascii="宋体" w:hAnsi="宋体"/>
          <w:sz w:val="24"/>
        </w:rPr>
        <w:t>本项目采用综合评分法，总分为：</w:t>
      </w:r>
      <w:r>
        <w:rPr>
          <w:rFonts w:ascii="宋体" w:hAnsi="宋体"/>
          <w:sz w:val="24"/>
        </w:rPr>
        <w:t>100</w:t>
      </w:r>
      <w:r>
        <w:rPr>
          <w:rFonts w:hint="eastAsia" w:ascii="宋体" w:hAnsi="宋体"/>
          <w:sz w:val="24"/>
        </w:rPr>
        <w:t>分。</w:t>
      </w:r>
    </w:p>
    <w:p>
      <w:pPr>
        <w:pStyle w:val="2"/>
        <w:ind w:left="1470" w:right="1470"/>
      </w:pPr>
    </w:p>
    <w:tbl>
      <w:tblPr>
        <w:tblStyle w:val="15"/>
        <w:tblW w:w="88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1704" w:type="dxa"/>
          </w:tcPr>
          <w:p>
            <w:pPr>
              <w:kinsoku w:val="0"/>
              <w:overflowPunct w:val="0"/>
              <w:spacing w:before="88" w:after="120"/>
              <w:rPr>
                <w:rFonts w:ascii="宋体" w:cs="宋体"/>
                <w:szCs w:val="21"/>
              </w:rPr>
            </w:pPr>
            <w:r>
              <w:rPr>
                <w:rFonts w:hint="eastAsia" w:ascii="宋体" w:hAnsi="宋体" w:cs="宋体"/>
                <w:szCs w:val="21"/>
              </w:rPr>
              <w:t>序号</w:t>
            </w:r>
          </w:p>
        </w:tc>
        <w:tc>
          <w:tcPr>
            <w:tcW w:w="1276" w:type="dxa"/>
          </w:tcPr>
          <w:p>
            <w:pPr>
              <w:kinsoku w:val="0"/>
              <w:overflowPunct w:val="0"/>
              <w:spacing w:before="88" w:after="120"/>
              <w:jc w:val="center"/>
              <w:rPr>
                <w:rFonts w:ascii="宋体" w:cs="宋体"/>
                <w:szCs w:val="21"/>
              </w:rPr>
            </w:pPr>
            <w:r>
              <w:rPr>
                <w:rFonts w:hint="eastAsia" w:ascii="宋体" w:hAnsi="宋体" w:cs="宋体"/>
                <w:szCs w:val="21"/>
              </w:rPr>
              <w:t>评审因素</w:t>
            </w:r>
          </w:p>
        </w:tc>
        <w:tc>
          <w:tcPr>
            <w:tcW w:w="5103" w:type="dxa"/>
          </w:tcPr>
          <w:p>
            <w:pPr>
              <w:kinsoku w:val="0"/>
              <w:overflowPunct w:val="0"/>
              <w:spacing w:before="88" w:after="120"/>
              <w:ind w:right="34" w:rightChars="16"/>
              <w:jc w:val="center"/>
              <w:rPr>
                <w:rFonts w:ascii="宋体" w:cs="宋体"/>
                <w:szCs w:val="21"/>
              </w:rPr>
            </w:pPr>
            <w:r>
              <w:rPr>
                <w:rFonts w:hint="eastAsia" w:ascii="宋体" w:hAnsi="宋体" w:cs="宋体"/>
                <w:szCs w:val="21"/>
              </w:rPr>
              <w:t>评分细节</w:t>
            </w:r>
          </w:p>
        </w:tc>
        <w:tc>
          <w:tcPr>
            <w:tcW w:w="766" w:type="dxa"/>
          </w:tcPr>
          <w:p>
            <w:pPr>
              <w:kinsoku w:val="0"/>
              <w:overflowPunct w:val="0"/>
              <w:spacing w:before="88" w:after="120"/>
              <w:ind w:left="172"/>
              <w:rPr>
                <w:rFonts w:ascii="宋体" w:cs="宋体"/>
                <w:szCs w:val="21"/>
              </w:rPr>
            </w:pPr>
            <w:r>
              <w:rPr>
                <w:rFonts w:hint="eastAsia" w:ascii="宋体" w:hAnsi="宋体" w:cs="宋体"/>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8849" w:type="dxa"/>
            <w:gridSpan w:val="4"/>
          </w:tcPr>
          <w:p>
            <w:pPr>
              <w:spacing w:line="360" w:lineRule="exact"/>
              <w:rPr>
                <w:rFonts w:ascii="宋体" w:cs="宋体"/>
                <w:szCs w:val="21"/>
              </w:rPr>
            </w:pPr>
            <w:r>
              <w:rPr>
                <w:rFonts w:ascii="宋体" w:hAnsi="宋体" w:cs="宋体"/>
                <w:kern w:val="0"/>
                <w:szCs w:val="21"/>
              </w:rPr>
              <w:t>1</w:t>
            </w:r>
            <w:r>
              <w:rPr>
                <w:rFonts w:hint="eastAsia" w:ascii="宋体" w:hAnsi="宋体" w:cs="宋体"/>
                <w:kern w:val="0"/>
                <w:szCs w:val="21"/>
              </w:rPr>
              <w:t>、价格部分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704" w:type="dxa"/>
            <w:vAlign w:val="center"/>
          </w:tcPr>
          <w:p>
            <w:pPr>
              <w:kinsoku w:val="0"/>
              <w:overflowPunct w:val="0"/>
              <w:spacing w:after="120" w:line="360" w:lineRule="exact"/>
              <w:jc w:val="center"/>
              <w:rPr>
                <w:rFonts w:ascii="宋体" w:cs="宋体"/>
                <w:szCs w:val="21"/>
              </w:rPr>
            </w:pPr>
            <w:r>
              <w:rPr>
                <w:rFonts w:ascii="宋体" w:hAnsi="宋体" w:cs="宋体"/>
                <w:szCs w:val="21"/>
              </w:rPr>
              <w:t>1.1</w:t>
            </w:r>
          </w:p>
        </w:tc>
        <w:tc>
          <w:tcPr>
            <w:tcW w:w="1276" w:type="dxa"/>
            <w:vAlign w:val="center"/>
          </w:tcPr>
          <w:p>
            <w:pPr>
              <w:kinsoku w:val="0"/>
              <w:overflowPunct w:val="0"/>
              <w:spacing w:after="120" w:line="360" w:lineRule="exact"/>
              <w:ind w:right="155"/>
              <w:jc w:val="center"/>
              <w:rPr>
                <w:rFonts w:ascii="宋体" w:cs="宋体"/>
                <w:szCs w:val="21"/>
              </w:rPr>
            </w:pPr>
            <w:r>
              <w:rPr>
                <w:rFonts w:hint="eastAsia" w:ascii="宋体" w:hAnsi="宋体" w:cs="宋体"/>
                <w:szCs w:val="21"/>
              </w:rPr>
              <w:t>价格分</w:t>
            </w:r>
          </w:p>
        </w:tc>
        <w:tc>
          <w:tcPr>
            <w:tcW w:w="5103" w:type="dxa"/>
          </w:tcPr>
          <w:p>
            <w:pPr>
              <w:spacing w:line="360" w:lineRule="exact"/>
              <w:rPr>
                <w:rFonts w:ascii="宋体" w:cs="宋体"/>
                <w:bCs/>
                <w:kern w:val="0"/>
                <w:szCs w:val="21"/>
              </w:rPr>
            </w:pPr>
            <w:r>
              <w:rPr>
                <w:rFonts w:hint="eastAsia" w:ascii="宋体" w:hAnsi="宋体" w:cs="宋体"/>
                <w:bCs/>
                <w:kern w:val="0"/>
                <w:szCs w:val="21"/>
              </w:rPr>
              <w:t>以通过资格审查、实质性响应招标文件要求且报价最低的投标报价为评标基准价（须未超过采购预算或最高限价），其价格分为满分</w:t>
            </w:r>
            <w:r>
              <w:rPr>
                <w:rFonts w:ascii="宋体" w:hAnsi="宋体" w:cs="宋体"/>
                <w:bCs/>
                <w:kern w:val="0"/>
                <w:szCs w:val="21"/>
              </w:rPr>
              <w:t>30</w:t>
            </w:r>
            <w:r>
              <w:rPr>
                <w:rFonts w:hint="eastAsia" w:ascii="宋体" w:hAnsi="宋体" w:cs="宋体"/>
                <w:bCs/>
                <w:kern w:val="0"/>
                <w:szCs w:val="21"/>
              </w:rPr>
              <w:t>分。其他投标人的价格分统一按照下列公式计算：投标报价得分</w:t>
            </w:r>
            <w:r>
              <w:rPr>
                <w:rFonts w:ascii="宋体" w:hAnsi="宋体" w:cs="宋体"/>
                <w:bCs/>
                <w:kern w:val="0"/>
                <w:szCs w:val="21"/>
              </w:rPr>
              <w:t>=</w:t>
            </w:r>
            <w:r>
              <w:rPr>
                <w:rFonts w:hint="eastAsia" w:ascii="宋体" w:hAnsi="宋体" w:cs="宋体"/>
                <w:bCs/>
                <w:kern w:val="0"/>
                <w:szCs w:val="21"/>
              </w:rPr>
              <w:t>（评标基准价</w:t>
            </w:r>
            <w:r>
              <w:rPr>
                <w:rFonts w:ascii="宋体" w:hAnsi="宋体" w:cs="宋体"/>
                <w:bCs/>
                <w:kern w:val="0"/>
                <w:szCs w:val="21"/>
              </w:rPr>
              <w:t>/</w:t>
            </w:r>
            <w:r>
              <w:rPr>
                <w:rFonts w:hint="eastAsia" w:ascii="宋体" w:hAnsi="宋体" w:cs="宋体"/>
                <w:bCs/>
                <w:kern w:val="0"/>
                <w:szCs w:val="21"/>
              </w:rPr>
              <w:t>投标报价）</w:t>
            </w:r>
            <w:r>
              <w:rPr>
                <w:rFonts w:ascii="宋体" w:hAnsi="宋体" w:cs="宋体"/>
                <w:bCs/>
                <w:kern w:val="0"/>
                <w:szCs w:val="21"/>
              </w:rPr>
              <w:t>*</w:t>
            </w:r>
            <w:r>
              <w:rPr>
                <w:rFonts w:hint="eastAsia" w:ascii="宋体" w:hAnsi="宋体" w:cs="宋体"/>
                <w:bCs/>
                <w:kern w:val="0"/>
                <w:szCs w:val="21"/>
              </w:rPr>
              <w:t>价格权值</w:t>
            </w:r>
            <w:r>
              <w:rPr>
                <w:rFonts w:ascii="宋体" w:hAnsi="宋体" w:cs="宋体"/>
                <w:bCs/>
                <w:kern w:val="0"/>
                <w:szCs w:val="21"/>
              </w:rPr>
              <w:t>* 100</w:t>
            </w:r>
            <w:r>
              <w:rPr>
                <w:rFonts w:hint="eastAsia" w:ascii="宋体" w:hAnsi="宋体" w:cs="宋体"/>
                <w:bCs/>
                <w:kern w:val="0"/>
                <w:szCs w:val="21"/>
              </w:rPr>
              <w:t>（价格权值为</w:t>
            </w:r>
            <w:r>
              <w:rPr>
                <w:rFonts w:hint="eastAsia" w:ascii="宋体" w:hAnsi="宋体" w:cs="宋体"/>
                <w:bCs/>
                <w:kern w:val="0"/>
                <w:szCs w:val="21"/>
                <w:lang w:val="en-US" w:eastAsia="zh-CN"/>
              </w:rPr>
              <w:t>3</w:t>
            </w:r>
            <w:r>
              <w:rPr>
                <w:rFonts w:ascii="宋体" w:hAnsi="宋体" w:cs="宋体"/>
                <w:bCs/>
                <w:kern w:val="0"/>
                <w:szCs w:val="21"/>
              </w:rPr>
              <w:t>0%</w:t>
            </w:r>
            <w:r>
              <w:rPr>
                <w:rFonts w:hint="eastAsia" w:ascii="宋体" w:hAnsi="宋体" w:cs="宋体"/>
                <w:bCs/>
                <w:kern w:val="0"/>
                <w:szCs w:val="21"/>
              </w:rPr>
              <w:t>）。</w:t>
            </w:r>
          </w:p>
        </w:tc>
        <w:tc>
          <w:tcPr>
            <w:tcW w:w="766" w:type="dxa"/>
            <w:vAlign w:val="center"/>
          </w:tcPr>
          <w:p>
            <w:pPr>
              <w:spacing w:line="360" w:lineRule="exact"/>
              <w:jc w:val="center"/>
              <w:rPr>
                <w:rFonts w:ascii="宋体" w:cs="宋体"/>
                <w:kern w:val="0"/>
                <w:szCs w:val="21"/>
              </w:rPr>
            </w:pPr>
          </w:p>
          <w:p>
            <w:pPr>
              <w:spacing w:line="360" w:lineRule="exact"/>
              <w:rPr>
                <w:rFonts w:ascii="宋体" w:cs="宋体"/>
                <w:kern w:val="0"/>
                <w:szCs w:val="21"/>
              </w:rPr>
            </w:pPr>
            <w:r>
              <w:rPr>
                <w:rFonts w:ascii="宋体" w:hAnsi="宋体" w:cs="宋体"/>
                <w:kern w:val="0"/>
                <w:szCs w:val="21"/>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849" w:type="dxa"/>
            <w:gridSpan w:val="4"/>
          </w:tcPr>
          <w:p>
            <w:pPr>
              <w:spacing w:line="360" w:lineRule="exact"/>
              <w:rPr>
                <w:rFonts w:ascii="宋体" w:cs="宋体"/>
                <w:kern w:val="0"/>
                <w:szCs w:val="21"/>
              </w:rPr>
            </w:pPr>
            <w:r>
              <w:rPr>
                <w:rFonts w:ascii="宋体" w:hAnsi="宋体" w:cs="宋体"/>
                <w:kern w:val="0"/>
                <w:szCs w:val="21"/>
              </w:rPr>
              <w:t>2</w:t>
            </w:r>
            <w:r>
              <w:rPr>
                <w:rFonts w:hint="eastAsia" w:ascii="宋体" w:hAnsi="宋体" w:cs="宋体"/>
                <w:kern w:val="0"/>
                <w:szCs w:val="21"/>
              </w:rPr>
              <w:t>、技术部分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704" w:type="dxa"/>
          </w:tcPr>
          <w:p>
            <w:pPr>
              <w:spacing w:line="360" w:lineRule="exact"/>
              <w:rPr>
                <w:rFonts w:ascii="宋体" w:cs="宋体"/>
                <w:kern w:val="0"/>
                <w:szCs w:val="21"/>
              </w:rPr>
            </w:pPr>
          </w:p>
          <w:p>
            <w:pPr>
              <w:spacing w:line="360" w:lineRule="exact"/>
              <w:jc w:val="center"/>
              <w:rPr>
                <w:rFonts w:ascii="宋体" w:cs="宋体"/>
                <w:kern w:val="0"/>
                <w:szCs w:val="21"/>
              </w:rPr>
            </w:pPr>
            <w:r>
              <w:rPr>
                <w:rFonts w:ascii="宋体" w:hAnsi="宋体" w:cs="宋体"/>
                <w:kern w:val="0"/>
                <w:szCs w:val="21"/>
              </w:rPr>
              <w:t>2.1</w:t>
            </w:r>
          </w:p>
        </w:tc>
        <w:tc>
          <w:tcPr>
            <w:tcW w:w="1276" w:type="dxa"/>
          </w:tcPr>
          <w:p>
            <w:pPr>
              <w:spacing w:line="360" w:lineRule="exact"/>
              <w:rPr>
                <w:rFonts w:ascii="宋体" w:cs="宋体"/>
                <w:kern w:val="0"/>
                <w:szCs w:val="21"/>
              </w:rPr>
            </w:pPr>
          </w:p>
          <w:p>
            <w:pPr>
              <w:spacing w:line="360" w:lineRule="exact"/>
              <w:jc w:val="center"/>
              <w:rPr>
                <w:rFonts w:ascii="宋体" w:cs="宋体"/>
                <w:kern w:val="0"/>
                <w:szCs w:val="21"/>
              </w:rPr>
            </w:pPr>
            <w:r>
              <w:rPr>
                <w:rFonts w:hint="eastAsia" w:ascii="宋体" w:hAnsi="宋体" w:cs="宋体"/>
                <w:kern w:val="0"/>
                <w:szCs w:val="21"/>
              </w:rPr>
              <w:t>技术参数</w:t>
            </w:r>
          </w:p>
        </w:tc>
        <w:tc>
          <w:tcPr>
            <w:tcW w:w="5103" w:type="dxa"/>
          </w:tcPr>
          <w:p>
            <w:pPr>
              <w:spacing w:line="360" w:lineRule="exact"/>
              <w:rPr>
                <w:rFonts w:ascii="宋体" w:cs="宋体"/>
                <w:kern w:val="0"/>
                <w:szCs w:val="21"/>
              </w:rPr>
            </w:pPr>
            <w:r>
              <w:rPr>
                <w:rFonts w:hint="eastAsia" w:ascii="宋体" w:hAnsi="宋体" w:cs="宋体"/>
                <w:kern w:val="0"/>
                <w:szCs w:val="21"/>
              </w:rPr>
              <w:t>设备技术参数全部满足招标要求的得满分；打★号指标为核心指标项，如有负偏离按无效投标处理；非打★号指标，有一项负偏离扣</w:t>
            </w:r>
            <w:r>
              <w:rPr>
                <w:rFonts w:ascii="宋体" w:hAnsi="宋体" w:cs="宋体"/>
                <w:kern w:val="0"/>
                <w:szCs w:val="21"/>
              </w:rPr>
              <w:t>3</w:t>
            </w:r>
            <w:r>
              <w:rPr>
                <w:rFonts w:hint="eastAsia" w:ascii="宋体" w:hAnsi="宋体" w:cs="宋体"/>
                <w:kern w:val="0"/>
                <w:szCs w:val="21"/>
              </w:rPr>
              <w:t>分，扣完为止。严重负偏离影响设备性能的经半数以上评委认定，本项得零分。</w:t>
            </w:r>
          </w:p>
          <w:p>
            <w:pPr>
              <w:spacing w:line="360" w:lineRule="exact"/>
              <w:rPr>
                <w:rFonts w:ascii="宋体" w:cs="宋体"/>
                <w:kern w:val="0"/>
                <w:szCs w:val="21"/>
              </w:rPr>
            </w:pPr>
            <w:r>
              <w:rPr>
                <w:rFonts w:hint="eastAsia" w:ascii="宋体" w:hAnsi="宋体" w:cs="宋体"/>
                <w:kern w:val="0"/>
                <w:szCs w:val="21"/>
              </w:rPr>
              <w:t>各投标供应商均应如实填写偏离情况，核心指标与重要指标需提供证明其应标参数的证明材料（加盖原厂公章），如未提供证明材料，按照上述偏离扣分标准作相应扣分</w:t>
            </w:r>
            <w:r>
              <w:rPr>
                <w:rFonts w:ascii="宋体" w:cs="宋体"/>
                <w:kern w:val="0"/>
                <w:szCs w:val="21"/>
              </w:rPr>
              <w:t>,</w:t>
            </w:r>
            <w:r>
              <w:rPr>
                <w:rFonts w:hint="eastAsia" w:ascii="宋体" w:hAnsi="宋体" w:cs="宋体"/>
                <w:kern w:val="0"/>
                <w:szCs w:val="21"/>
              </w:rPr>
              <w:t>如虚假应标将追究其相关责任。</w:t>
            </w:r>
          </w:p>
        </w:tc>
        <w:tc>
          <w:tcPr>
            <w:tcW w:w="766" w:type="dxa"/>
            <w:vAlign w:val="center"/>
          </w:tcPr>
          <w:p>
            <w:pPr>
              <w:spacing w:line="360" w:lineRule="exact"/>
              <w:jc w:val="center"/>
              <w:rPr>
                <w:rFonts w:ascii="宋体" w:cs="宋体"/>
                <w:kern w:val="0"/>
                <w:szCs w:val="21"/>
              </w:rPr>
            </w:pPr>
          </w:p>
          <w:p>
            <w:pPr>
              <w:spacing w:line="360" w:lineRule="exact"/>
              <w:jc w:val="center"/>
              <w:rPr>
                <w:rFonts w:ascii="宋体" w:cs="宋体"/>
                <w:kern w:val="0"/>
                <w:szCs w:val="21"/>
              </w:rPr>
            </w:pPr>
            <w:r>
              <w:rPr>
                <w:rFonts w:ascii="宋体" w:hAnsi="宋体" w:cs="宋体"/>
                <w:kern w:val="0"/>
                <w:szCs w:val="21"/>
              </w:rPr>
              <w:t>37.0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7" w:hRule="atLeast"/>
          <w:jc w:val="center"/>
        </w:trPr>
        <w:tc>
          <w:tcPr>
            <w:tcW w:w="1704" w:type="dxa"/>
            <w:vAlign w:val="center"/>
          </w:tcPr>
          <w:p>
            <w:pPr>
              <w:kinsoku w:val="0"/>
              <w:overflowPunct w:val="0"/>
              <w:spacing w:before="1" w:after="120" w:line="360" w:lineRule="exact"/>
              <w:ind w:left="213"/>
              <w:jc w:val="center"/>
              <w:rPr>
                <w:rFonts w:ascii="宋体" w:cs="宋体"/>
                <w:szCs w:val="21"/>
              </w:rPr>
            </w:pPr>
          </w:p>
          <w:p>
            <w:pPr>
              <w:kinsoku w:val="0"/>
              <w:overflowPunct w:val="0"/>
              <w:spacing w:before="1" w:after="120" w:line="360" w:lineRule="exact"/>
              <w:ind w:left="213"/>
              <w:jc w:val="center"/>
              <w:rPr>
                <w:rFonts w:ascii="宋体" w:cs="宋体"/>
                <w:szCs w:val="21"/>
              </w:rPr>
            </w:pPr>
          </w:p>
          <w:p>
            <w:pPr>
              <w:kinsoku w:val="0"/>
              <w:overflowPunct w:val="0"/>
              <w:spacing w:before="1" w:after="120" w:line="360" w:lineRule="exact"/>
              <w:ind w:left="213"/>
              <w:jc w:val="center"/>
              <w:rPr>
                <w:rFonts w:ascii="宋体" w:cs="宋体"/>
                <w:szCs w:val="21"/>
              </w:rPr>
            </w:pPr>
            <w:r>
              <w:rPr>
                <w:rFonts w:ascii="宋体" w:hAnsi="宋体" w:cs="宋体"/>
                <w:szCs w:val="21"/>
              </w:rPr>
              <w:t>2.2</w:t>
            </w:r>
          </w:p>
          <w:p>
            <w:pPr>
              <w:kinsoku w:val="0"/>
              <w:overflowPunct w:val="0"/>
              <w:spacing w:before="88" w:after="120" w:line="360" w:lineRule="exact"/>
              <w:ind w:left="213"/>
              <w:rPr>
                <w:rFonts w:ascii="宋体" w:cs="宋体"/>
                <w:szCs w:val="21"/>
              </w:rPr>
            </w:pPr>
          </w:p>
          <w:p>
            <w:pPr>
              <w:kinsoku w:val="0"/>
              <w:overflowPunct w:val="0"/>
              <w:spacing w:before="88" w:after="120" w:line="360" w:lineRule="exact"/>
              <w:ind w:left="213"/>
              <w:rPr>
                <w:rFonts w:ascii="宋体" w:cs="宋体"/>
                <w:szCs w:val="21"/>
              </w:rPr>
            </w:pPr>
          </w:p>
        </w:tc>
        <w:tc>
          <w:tcPr>
            <w:tcW w:w="1276" w:type="dxa"/>
            <w:vAlign w:val="center"/>
          </w:tcPr>
          <w:p>
            <w:pPr>
              <w:kinsoku w:val="0"/>
              <w:overflowPunct w:val="0"/>
              <w:spacing w:after="120" w:line="360" w:lineRule="exact"/>
              <w:ind w:right="155"/>
              <w:jc w:val="center"/>
              <w:rPr>
                <w:rFonts w:ascii="宋体" w:cs="宋体"/>
                <w:szCs w:val="21"/>
              </w:rPr>
            </w:pPr>
            <w:r>
              <w:rPr>
                <w:rFonts w:hint="eastAsia" w:ascii="宋体" w:hAnsi="宋体" w:cs="宋体"/>
                <w:szCs w:val="21"/>
              </w:rPr>
              <w:t>计算机技术认证</w:t>
            </w:r>
          </w:p>
        </w:tc>
        <w:tc>
          <w:tcPr>
            <w:tcW w:w="5103" w:type="dxa"/>
          </w:tcPr>
          <w:p>
            <w:pPr>
              <w:spacing w:line="360" w:lineRule="exact"/>
              <w:rPr>
                <w:rFonts w:ascii="宋体" w:cs="宋体"/>
                <w:kern w:val="0"/>
                <w:szCs w:val="21"/>
              </w:rPr>
            </w:pPr>
            <w:r>
              <w:rPr>
                <w:rFonts w:ascii="宋体" w:hAnsi="宋体" w:cs="宋体"/>
                <w:kern w:val="0"/>
                <w:szCs w:val="21"/>
              </w:rPr>
              <w:t>1</w:t>
            </w:r>
            <w:r>
              <w:rPr>
                <w:rFonts w:hint="eastAsia" w:ascii="宋体" w:hAnsi="宋体" w:cs="宋体"/>
                <w:kern w:val="0"/>
                <w:szCs w:val="21"/>
              </w:rPr>
              <w:t>、台式计算机产品显示器（</w:t>
            </w:r>
            <w:r>
              <w:rPr>
                <w:rFonts w:ascii="宋体" w:hAnsi="宋体" w:cs="宋体"/>
                <w:kern w:val="0"/>
                <w:szCs w:val="21"/>
              </w:rPr>
              <w:t>3</w:t>
            </w:r>
            <w:r>
              <w:rPr>
                <w:rFonts w:hint="eastAsia" w:ascii="宋体" w:hAnsi="宋体" w:cs="宋体"/>
                <w:kern w:val="0"/>
                <w:szCs w:val="21"/>
              </w:rPr>
              <w:t>分）：显示器符合</w:t>
            </w:r>
            <w:r>
              <w:rPr>
                <w:rFonts w:ascii="宋体" w:hAnsi="宋体" w:cs="宋体"/>
                <w:kern w:val="0"/>
                <w:szCs w:val="21"/>
              </w:rPr>
              <w:t>TCO8.0</w:t>
            </w:r>
            <w:r>
              <w:rPr>
                <w:rFonts w:hint="eastAsia" w:ascii="宋体" w:hAnsi="宋体" w:cs="宋体"/>
                <w:kern w:val="0"/>
                <w:szCs w:val="21"/>
              </w:rPr>
              <w:t>或以上规范、符合能源之星、提供权威机构认证的显示器低蓝光护眼认证证书，上述每符合一项得</w:t>
            </w:r>
            <w:r>
              <w:rPr>
                <w:rFonts w:ascii="宋体" w:hAnsi="宋体" w:cs="宋体"/>
                <w:kern w:val="0"/>
                <w:szCs w:val="21"/>
              </w:rPr>
              <w:t>1</w:t>
            </w:r>
            <w:r>
              <w:rPr>
                <w:rFonts w:hint="eastAsia" w:ascii="宋体" w:hAnsi="宋体" w:cs="宋体"/>
                <w:kern w:val="0"/>
                <w:szCs w:val="21"/>
              </w:rPr>
              <w:t>分。提供证明资料复印件并加盖生产厂家公章；</w:t>
            </w:r>
          </w:p>
          <w:p>
            <w:pPr>
              <w:spacing w:line="360" w:lineRule="exact"/>
              <w:rPr>
                <w:rFonts w:ascii="宋体" w:cs="宋体"/>
                <w:kern w:val="0"/>
                <w:szCs w:val="21"/>
              </w:rPr>
            </w:pPr>
            <w:r>
              <w:rPr>
                <w:rFonts w:ascii="宋体" w:hAnsi="宋体" w:cs="宋体"/>
                <w:kern w:val="0"/>
                <w:szCs w:val="21"/>
              </w:rPr>
              <w:t>2</w:t>
            </w:r>
            <w:r>
              <w:rPr>
                <w:rFonts w:hint="eastAsia" w:ascii="宋体" w:hAnsi="宋体" w:cs="宋体"/>
                <w:kern w:val="0"/>
                <w:szCs w:val="21"/>
              </w:rPr>
              <w:t>、台式计算机产品具备符合国家</w:t>
            </w:r>
            <w:r>
              <w:rPr>
                <w:rFonts w:ascii="宋体" w:hAnsi="宋体" w:cs="宋体"/>
                <w:kern w:val="0"/>
                <w:szCs w:val="21"/>
              </w:rPr>
              <w:t>CNAS</w:t>
            </w:r>
            <w:r>
              <w:rPr>
                <w:rFonts w:hint="eastAsia" w:ascii="宋体" w:hAnsi="宋体" w:cs="宋体"/>
                <w:kern w:val="0"/>
                <w:szCs w:val="21"/>
              </w:rPr>
              <w:t>认证的权威机构出具的平均无故障运行时间证书（</w:t>
            </w:r>
            <w:r>
              <w:rPr>
                <w:rFonts w:ascii="宋体" w:hAnsi="宋体" w:cs="宋体"/>
                <w:kern w:val="0"/>
                <w:szCs w:val="21"/>
              </w:rPr>
              <w:t>MTBF</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分）：大于等于</w:t>
            </w:r>
            <w:r>
              <w:rPr>
                <w:rFonts w:ascii="宋体" w:hAnsi="宋体" w:cs="宋体"/>
                <w:kern w:val="0"/>
                <w:szCs w:val="21"/>
              </w:rPr>
              <w:t>105</w:t>
            </w:r>
            <w:r>
              <w:rPr>
                <w:rFonts w:hint="eastAsia" w:ascii="宋体" w:hAnsi="宋体" w:cs="宋体"/>
                <w:kern w:val="0"/>
                <w:szCs w:val="21"/>
              </w:rPr>
              <w:t>万小时，得</w:t>
            </w:r>
            <w:r>
              <w:rPr>
                <w:rFonts w:ascii="宋体" w:hAnsi="宋体" w:cs="宋体"/>
                <w:kern w:val="0"/>
                <w:szCs w:val="21"/>
              </w:rPr>
              <w:t>3</w:t>
            </w:r>
            <w:r>
              <w:rPr>
                <w:rFonts w:hint="eastAsia" w:ascii="宋体" w:hAnsi="宋体" w:cs="宋体"/>
                <w:kern w:val="0"/>
                <w:szCs w:val="21"/>
              </w:rPr>
              <w:t>分，等于</w:t>
            </w:r>
            <w:r>
              <w:rPr>
                <w:rFonts w:ascii="宋体" w:hAnsi="宋体" w:cs="宋体"/>
                <w:kern w:val="0"/>
                <w:szCs w:val="21"/>
              </w:rPr>
              <w:t>100</w:t>
            </w:r>
            <w:r>
              <w:rPr>
                <w:rFonts w:hint="eastAsia" w:ascii="宋体" w:hAnsi="宋体" w:cs="宋体"/>
                <w:kern w:val="0"/>
                <w:szCs w:val="21"/>
              </w:rPr>
              <w:t>万小时得</w:t>
            </w:r>
            <w:r>
              <w:rPr>
                <w:rFonts w:ascii="宋体" w:hAnsi="宋体" w:cs="宋体"/>
                <w:kern w:val="0"/>
                <w:szCs w:val="21"/>
              </w:rPr>
              <w:t>1</w:t>
            </w:r>
            <w:r>
              <w:rPr>
                <w:rFonts w:hint="eastAsia" w:ascii="宋体" w:hAnsi="宋体" w:cs="宋体"/>
                <w:kern w:val="0"/>
                <w:szCs w:val="21"/>
              </w:rPr>
              <w:t>分，低于</w:t>
            </w:r>
            <w:r>
              <w:rPr>
                <w:rFonts w:ascii="宋体" w:hAnsi="宋体" w:cs="宋体"/>
                <w:kern w:val="0"/>
                <w:szCs w:val="21"/>
              </w:rPr>
              <w:t>100W</w:t>
            </w:r>
            <w:r>
              <w:rPr>
                <w:rFonts w:hint="eastAsia" w:ascii="宋体" w:hAnsi="宋体" w:cs="宋体"/>
                <w:kern w:val="0"/>
                <w:szCs w:val="21"/>
              </w:rPr>
              <w:t>小时不得分。提供证书复印件并加盖生产厂家公章；</w:t>
            </w:r>
          </w:p>
          <w:p>
            <w:pPr>
              <w:spacing w:line="360" w:lineRule="exact"/>
              <w:rPr>
                <w:rFonts w:ascii="宋体" w:cs="宋体"/>
                <w:kern w:val="0"/>
                <w:szCs w:val="21"/>
              </w:rPr>
            </w:pPr>
            <w:r>
              <w:rPr>
                <w:rFonts w:ascii="宋体" w:hAnsi="宋体" w:cs="宋体"/>
                <w:kern w:val="0"/>
                <w:szCs w:val="21"/>
              </w:rPr>
              <w:t>3</w:t>
            </w:r>
            <w:r>
              <w:rPr>
                <w:rFonts w:hint="eastAsia" w:ascii="宋体" w:hAnsi="宋体" w:cs="宋体"/>
                <w:kern w:val="0"/>
                <w:szCs w:val="21"/>
              </w:rPr>
              <w:t>、提供专业检验检测机构出具的有关“噪声测试”合格的检验证书，其中噪声声压级小于</w:t>
            </w:r>
            <w:r>
              <w:rPr>
                <w:rFonts w:ascii="宋体" w:hAnsi="宋体" w:cs="宋体"/>
                <w:kern w:val="0"/>
                <w:szCs w:val="21"/>
              </w:rPr>
              <w:t>10.5dB</w:t>
            </w:r>
            <w:r>
              <w:rPr>
                <w:rFonts w:hint="eastAsia" w:ascii="宋体" w:hAnsi="宋体" w:cs="宋体"/>
                <w:kern w:val="0"/>
                <w:szCs w:val="21"/>
              </w:rPr>
              <w:t>得</w:t>
            </w:r>
            <w:r>
              <w:rPr>
                <w:rFonts w:ascii="宋体" w:hAnsi="宋体" w:cs="宋体"/>
                <w:kern w:val="0"/>
                <w:szCs w:val="21"/>
              </w:rPr>
              <w:t>3</w:t>
            </w:r>
            <w:r>
              <w:rPr>
                <w:rFonts w:hint="eastAsia" w:ascii="宋体" w:hAnsi="宋体" w:cs="宋体"/>
                <w:kern w:val="0"/>
                <w:szCs w:val="21"/>
              </w:rPr>
              <w:t>分，</w:t>
            </w:r>
            <w:r>
              <w:rPr>
                <w:rFonts w:ascii="宋体" w:hAnsi="宋体" w:cs="宋体"/>
                <w:kern w:val="0"/>
                <w:szCs w:val="21"/>
              </w:rPr>
              <w:t>10.5dB-11dB</w:t>
            </w:r>
            <w:r>
              <w:rPr>
                <w:rFonts w:hint="eastAsia" w:ascii="宋体" w:hAnsi="宋体" w:cs="宋体"/>
                <w:kern w:val="0"/>
                <w:szCs w:val="21"/>
              </w:rPr>
              <w:t>得</w:t>
            </w:r>
            <w:r>
              <w:rPr>
                <w:rFonts w:ascii="宋体" w:hAnsi="宋体" w:cs="宋体"/>
                <w:kern w:val="0"/>
                <w:szCs w:val="21"/>
              </w:rPr>
              <w:t>1</w:t>
            </w:r>
            <w:r>
              <w:rPr>
                <w:rFonts w:hint="eastAsia" w:ascii="宋体" w:hAnsi="宋体" w:cs="宋体"/>
                <w:kern w:val="0"/>
                <w:szCs w:val="21"/>
              </w:rPr>
              <w:t>分，</w:t>
            </w:r>
            <w:r>
              <w:rPr>
                <w:rFonts w:ascii="宋体" w:hAnsi="宋体" w:cs="宋体"/>
                <w:kern w:val="0"/>
                <w:szCs w:val="21"/>
              </w:rPr>
              <w:t>11dB</w:t>
            </w:r>
            <w:r>
              <w:rPr>
                <w:rFonts w:hint="eastAsia" w:ascii="宋体" w:hAnsi="宋体" w:cs="宋体"/>
                <w:kern w:val="0"/>
                <w:szCs w:val="21"/>
              </w:rPr>
              <w:t>以上不得分，最高得</w:t>
            </w:r>
            <w:r>
              <w:rPr>
                <w:rFonts w:ascii="宋体" w:hAnsi="宋体" w:cs="宋体"/>
                <w:kern w:val="0"/>
                <w:szCs w:val="21"/>
              </w:rPr>
              <w:t>3</w:t>
            </w:r>
            <w:r>
              <w:rPr>
                <w:rFonts w:hint="eastAsia" w:ascii="宋体" w:hAnsi="宋体" w:cs="宋体"/>
                <w:kern w:val="0"/>
                <w:szCs w:val="21"/>
              </w:rPr>
              <w:t>分。需提供证书复印件并加盖原厂公章。</w:t>
            </w:r>
          </w:p>
          <w:p>
            <w:pPr>
              <w:rPr>
                <w:szCs w:val="21"/>
              </w:rPr>
            </w:pPr>
            <w:r>
              <w:rPr>
                <w:szCs w:val="21"/>
              </w:rPr>
              <w:t xml:space="preserve">4. </w:t>
            </w:r>
            <w:r>
              <w:rPr>
                <w:rFonts w:hint="eastAsia"/>
                <w:szCs w:val="21"/>
              </w:rPr>
              <w:t>针对投标</w:t>
            </w:r>
            <w:r>
              <w:rPr>
                <w:rFonts w:hint="eastAsia" w:ascii="宋体" w:hAnsi="宋体" w:cs="宋体"/>
                <w:kern w:val="0"/>
                <w:szCs w:val="21"/>
              </w:rPr>
              <w:t>台式计算机产品</w:t>
            </w:r>
            <w:r>
              <w:rPr>
                <w:rFonts w:hint="eastAsia"/>
                <w:szCs w:val="21"/>
              </w:rPr>
              <w:t>，具有双防雷、高级防静电和防浪涌国家级检测认证，具有国家电源典型效率认证的得</w:t>
            </w:r>
            <w:r>
              <w:rPr>
                <w:szCs w:val="21"/>
              </w:rPr>
              <w:t>4</w:t>
            </w:r>
            <w:r>
              <w:rPr>
                <w:rFonts w:hint="eastAsia"/>
                <w:szCs w:val="21"/>
              </w:rPr>
              <w:t>分。</w:t>
            </w:r>
            <w:r>
              <w:rPr>
                <w:szCs w:val="21"/>
              </w:rPr>
              <w:t xml:space="preserve"> </w:t>
            </w:r>
          </w:p>
          <w:p>
            <w:pPr>
              <w:widowControl/>
              <w:shd w:val="clear" w:color="auto" w:fill="FFFFFF"/>
              <w:spacing w:line="440" w:lineRule="atLeast"/>
              <w:rPr>
                <w:rFonts w:ascii="宋体" w:cs="宋体"/>
                <w:kern w:val="0"/>
                <w:szCs w:val="21"/>
              </w:rPr>
            </w:pPr>
          </w:p>
        </w:tc>
        <w:tc>
          <w:tcPr>
            <w:tcW w:w="766" w:type="dxa"/>
            <w:vAlign w:val="center"/>
          </w:tcPr>
          <w:p>
            <w:pPr>
              <w:spacing w:line="360" w:lineRule="exact"/>
              <w:jc w:val="center"/>
              <w:rPr>
                <w:rFonts w:ascii="宋体" w:cs="宋体"/>
                <w:kern w:val="0"/>
                <w:szCs w:val="21"/>
              </w:rPr>
            </w:pPr>
          </w:p>
          <w:p>
            <w:pPr>
              <w:spacing w:line="360" w:lineRule="exact"/>
              <w:jc w:val="center"/>
              <w:rPr>
                <w:rFonts w:ascii="宋体" w:cs="宋体"/>
                <w:kern w:val="0"/>
                <w:szCs w:val="21"/>
              </w:rPr>
            </w:pPr>
          </w:p>
          <w:p>
            <w:pPr>
              <w:spacing w:line="360" w:lineRule="exact"/>
              <w:jc w:val="center"/>
              <w:rPr>
                <w:rFonts w:ascii="宋体" w:cs="宋体"/>
                <w:kern w:val="0"/>
                <w:szCs w:val="21"/>
              </w:rPr>
            </w:pPr>
            <w:r>
              <w:rPr>
                <w:rFonts w:ascii="宋体" w:hAnsi="宋体" w:cs="宋体"/>
                <w:kern w:val="0"/>
                <w:szCs w:val="21"/>
              </w:rPr>
              <w:t>13</w:t>
            </w:r>
            <w:r>
              <w:rPr>
                <w:rFonts w:ascii="宋体" w:cs="宋体"/>
                <w:kern w:val="0"/>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8849" w:type="dxa"/>
            <w:gridSpan w:val="4"/>
          </w:tcPr>
          <w:p>
            <w:pPr>
              <w:kinsoku w:val="0"/>
              <w:overflowPunct w:val="0"/>
              <w:spacing w:before="88" w:after="120" w:line="360" w:lineRule="exact"/>
              <w:rPr>
                <w:rFonts w:ascii="宋体" w:cs="宋体"/>
                <w:szCs w:val="21"/>
              </w:rPr>
            </w:pPr>
            <w:r>
              <w:rPr>
                <w:rFonts w:ascii="宋体" w:hAnsi="宋体" w:cs="宋体"/>
                <w:szCs w:val="21"/>
              </w:rPr>
              <w:t>3</w:t>
            </w:r>
            <w:r>
              <w:rPr>
                <w:rFonts w:hint="eastAsia" w:ascii="宋体" w:hAnsi="宋体" w:cs="宋体"/>
                <w:szCs w:val="21"/>
              </w:rPr>
              <w:t>、服务部分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1704" w:type="dxa"/>
            <w:vAlign w:val="center"/>
          </w:tcPr>
          <w:p>
            <w:pPr>
              <w:kinsoku w:val="0"/>
              <w:overflowPunct w:val="0"/>
              <w:spacing w:after="120" w:line="360" w:lineRule="exact"/>
              <w:ind w:left="213"/>
              <w:jc w:val="center"/>
              <w:rPr>
                <w:rFonts w:ascii="宋体" w:cs="宋体"/>
                <w:szCs w:val="21"/>
              </w:rPr>
            </w:pPr>
          </w:p>
          <w:p>
            <w:pPr>
              <w:kinsoku w:val="0"/>
              <w:overflowPunct w:val="0"/>
              <w:spacing w:after="120" w:line="360" w:lineRule="exact"/>
              <w:jc w:val="center"/>
              <w:rPr>
                <w:rFonts w:ascii="宋体" w:cs="宋体"/>
                <w:szCs w:val="21"/>
              </w:rPr>
            </w:pPr>
            <w:r>
              <w:rPr>
                <w:rFonts w:ascii="宋体" w:hAnsi="宋体" w:cs="宋体"/>
                <w:szCs w:val="21"/>
              </w:rPr>
              <w:t>3.2</w:t>
            </w:r>
          </w:p>
          <w:p>
            <w:pPr>
              <w:spacing w:line="360" w:lineRule="exact"/>
              <w:jc w:val="center"/>
              <w:rPr>
                <w:rFonts w:ascii="宋体" w:cs="宋体"/>
                <w:kern w:val="0"/>
                <w:szCs w:val="21"/>
              </w:rPr>
            </w:pPr>
          </w:p>
        </w:tc>
        <w:tc>
          <w:tcPr>
            <w:tcW w:w="1276" w:type="dxa"/>
            <w:vAlign w:val="center"/>
          </w:tcPr>
          <w:p>
            <w:pPr>
              <w:kinsoku w:val="0"/>
              <w:overflowPunct w:val="0"/>
              <w:spacing w:after="120" w:line="360" w:lineRule="exact"/>
              <w:jc w:val="center"/>
              <w:rPr>
                <w:rFonts w:ascii="宋体" w:cs="宋体"/>
                <w:szCs w:val="21"/>
              </w:rPr>
            </w:pPr>
            <w:r>
              <w:rPr>
                <w:rFonts w:hint="eastAsia" w:ascii="宋体" w:hAnsi="宋体" w:cs="宋体"/>
                <w:szCs w:val="21"/>
              </w:rPr>
              <w:t>安装调试方案</w:t>
            </w:r>
          </w:p>
        </w:tc>
        <w:tc>
          <w:tcPr>
            <w:tcW w:w="5103" w:type="dxa"/>
            <w:vAlign w:val="center"/>
          </w:tcPr>
          <w:p>
            <w:pPr>
              <w:kinsoku w:val="0"/>
              <w:overflowPunct w:val="0"/>
              <w:spacing w:before="88" w:after="120" w:line="360" w:lineRule="exact"/>
              <w:ind w:right="245"/>
              <w:jc w:val="left"/>
              <w:rPr>
                <w:rFonts w:ascii="宋体" w:cs="宋体"/>
                <w:szCs w:val="21"/>
              </w:rPr>
            </w:pPr>
            <w:r>
              <w:rPr>
                <w:rFonts w:hint="eastAsia" w:ascii="宋体" w:hAnsi="宋体" w:cs="宋体"/>
                <w:szCs w:val="21"/>
              </w:rPr>
              <w:t>依据供应商提供的本次招标采购设备到校后的安装调试方案的完整性、合理性最优的得</w:t>
            </w:r>
            <w:r>
              <w:rPr>
                <w:rFonts w:ascii="宋体" w:hAnsi="宋体" w:cs="宋体"/>
                <w:szCs w:val="21"/>
              </w:rPr>
              <w:t>5</w:t>
            </w:r>
            <w:r>
              <w:rPr>
                <w:rFonts w:hint="eastAsia" w:ascii="宋体" w:hAnsi="宋体" w:cs="宋体"/>
                <w:szCs w:val="21"/>
              </w:rPr>
              <w:t>分，一般得</w:t>
            </w:r>
            <w:r>
              <w:rPr>
                <w:rFonts w:ascii="宋体" w:hAnsi="宋体" w:cs="宋体"/>
                <w:szCs w:val="21"/>
              </w:rPr>
              <w:t>1</w:t>
            </w:r>
            <w:r>
              <w:rPr>
                <w:rFonts w:hint="eastAsia" w:ascii="宋体" w:hAnsi="宋体" w:cs="宋体"/>
                <w:szCs w:val="21"/>
              </w:rPr>
              <w:t>分，其他不得分。</w:t>
            </w:r>
          </w:p>
        </w:tc>
        <w:tc>
          <w:tcPr>
            <w:tcW w:w="766" w:type="dxa"/>
            <w:vAlign w:val="center"/>
          </w:tcPr>
          <w:p>
            <w:pPr>
              <w:spacing w:line="360" w:lineRule="exact"/>
              <w:jc w:val="center"/>
              <w:rPr>
                <w:rFonts w:ascii="宋体" w:cs="宋体"/>
                <w:kern w:val="0"/>
                <w:szCs w:val="21"/>
              </w:rPr>
            </w:pPr>
          </w:p>
          <w:p>
            <w:pPr>
              <w:spacing w:line="360" w:lineRule="exact"/>
              <w:jc w:val="center"/>
              <w:rPr>
                <w:rFonts w:ascii="宋体" w:cs="宋体"/>
                <w:kern w:val="0"/>
                <w:szCs w:val="21"/>
              </w:rPr>
            </w:pPr>
            <w:r>
              <w:rPr>
                <w:rFonts w:ascii="宋体" w:hAnsi="宋体" w:cs="宋体"/>
                <w:kern w:val="0"/>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1704" w:type="dxa"/>
            <w:vAlign w:val="center"/>
          </w:tcPr>
          <w:p>
            <w:pPr>
              <w:spacing w:line="360" w:lineRule="exact"/>
              <w:jc w:val="center"/>
              <w:rPr>
                <w:rFonts w:ascii="宋体" w:cs="宋体"/>
                <w:kern w:val="0"/>
                <w:szCs w:val="21"/>
              </w:rPr>
            </w:pPr>
          </w:p>
          <w:p>
            <w:pPr>
              <w:spacing w:line="360" w:lineRule="exact"/>
              <w:jc w:val="center"/>
              <w:rPr>
                <w:rFonts w:ascii="宋体" w:cs="宋体"/>
                <w:kern w:val="0"/>
                <w:szCs w:val="21"/>
              </w:rPr>
            </w:pPr>
            <w:r>
              <w:rPr>
                <w:rFonts w:ascii="宋体" w:hAnsi="宋体" w:cs="宋体"/>
                <w:kern w:val="0"/>
                <w:szCs w:val="21"/>
              </w:rPr>
              <w:t>3.3</w:t>
            </w:r>
          </w:p>
        </w:tc>
        <w:tc>
          <w:tcPr>
            <w:tcW w:w="1276" w:type="dxa"/>
            <w:vAlign w:val="center"/>
          </w:tcPr>
          <w:p>
            <w:pPr>
              <w:kinsoku w:val="0"/>
              <w:overflowPunct w:val="0"/>
              <w:spacing w:after="120" w:line="360" w:lineRule="exact"/>
              <w:ind w:left="337"/>
              <w:jc w:val="center"/>
              <w:rPr>
                <w:rFonts w:ascii="宋体" w:cs="宋体"/>
                <w:szCs w:val="21"/>
              </w:rPr>
            </w:pPr>
          </w:p>
          <w:p>
            <w:pPr>
              <w:kinsoku w:val="0"/>
              <w:overflowPunct w:val="0"/>
              <w:spacing w:after="120" w:line="360" w:lineRule="exact"/>
              <w:jc w:val="center"/>
              <w:rPr>
                <w:rFonts w:ascii="宋体" w:cs="宋体"/>
                <w:szCs w:val="21"/>
              </w:rPr>
            </w:pPr>
            <w:r>
              <w:rPr>
                <w:rFonts w:hint="eastAsia" w:ascii="宋体" w:hAnsi="宋体" w:cs="宋体"/>
                <w:szCs w:val="21"/>
              </w:rPr>
              <w:t>售后服务方案</w:t>
            </w:r>
          </w:p>
          <w:p>
            <w:pPr>
              <w:spacing w:line="360" w:lineRule="exact"/>
              <w:jc w:val="center"/>
              <w:rPr>
                <w:rFonts w:ascii="宋体" w:cs="宋体"/>
                <w:kern w:val="0"/>
                <w:szCs w:val="21"/>
              </w:rPr>
            </w:pPr>
          </w:p>
        </w:tc>
        <w:tc>
          <w:tcPr>
            <w:tcW w:w="5103" w:type="dxa"/>
            <w:vAlign w:val="center"/>
          </w:tcPr>
          <w:p>
            <w:pPr>
              <w:kinsoku w:val="0"/>
              <w:overflowPunct w:val="0"/>
              <w:spacing w:before="88" w:after="120" w:line="360" w:lineRule="exact"/>
              <w:jc w:val="left"/>
              <w:rPr>
                <w:rFonts w:ascii="宋体" w:cs="宋体"/>
                <w:szCs w:val="21"/>
              </w:rPr>
            </w:pPr>
            <w:r>
              <w:rPr>
                <w:rFonts w:hint="eastAsia" w:ascii="宋体" w:hAnsi="宋体" w:cs="宋体"/>
                <w:szCs w:val="21"/>
              </w:rPr>
              <w:t>售后服务方案（服务体系、服务内容、故障解决方案、专业技术人员保障及服务电话）最优的得</w:t>
            </w:r>
            <w:r>
              <w:rPr>
                <w:rFonts w:ascii="宋体" w:hAnsi="宋体" w:cs="宋体"/>
                <w:szCs w:val="21"/>
              </w:rPr>
              <w:t>4</w:t>
            </w:r>
            <w:r>
              <w:rPr>
                <w:rFonts w:hint="eastAsia" w:ascii="宋体" w:hAnsi="宋体" w:cs="宋体"/>
                <w:szCs w:val="21"/>
              </w:rPr>
              <w:t>分，一般得</w:t>
            </w:r>
            <w:r>
              <w:rPr>
                <w:rFonts w:ascii="宋体" w:hAnsi="宋体" w:cs="宋体"/>
                <w:szCs w:val="21"/>
              </w:rPr>
              <w:t>1</w:t>
            </w:r>
            <w:r>
              <w:rPr>
                <w:rFonts w:hint="eastAsia" w:ascii="宋体" w:hAnsi="宋体" w:cs="宋体"/>
                <w:szCs w:val="21"/>
              </w:rPr>
              <w:t>分，其他不得分。</w:t>
            </w:r>
          </w:p>
        </w:tc>
        <w:tc>
          <w:tcPr>
            <w:tcW w:w="766" w:type="dxa"/>
            <w:vAlign w:val="center"/>
          </w:tcPr>
          <w:p>
            <w:pPr>
              <w:spacing w:line="360" w:lineRule="exact"/>
              <w:jc w:val="center"/>
              <w:rPr>
                <w:rFonts w:ascii="宋体" w:cs="宋体"/>
                <w:kern w:val="0"/>
                <w:szCs w:val="21"/>
              </w:rPr>
            </w:pPr>
          </w:p>
          <w:p>
            <w:pPr>
              <w:spacing w:line="360" w:lineRule="exact"/>
              <w:jc w:val="center"/>
              <w:rPr>
                <w:rFonts w:ascii="宋体" w:cs="宋体"/>
                <w:kern w:val="0"/>
                <w:szCs w:val="21"/>
              </w:rPr>
            </w:pPr>
            <w:r>
              <w:rPr>
                <w:rFonts w:ascii="宋体" w:hAnsi="宋体" w:cs="宋体"/>
                <w:kern w:val="0"/>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704" w:type="dxa"/>
            <w:vAlign w:val="center"/>
          </w:tcPr>
          <w:p>
            <w:pPr>
              <w:spacing w:line="360" w:lineRule="exact"/>
              <w:jc w:val="center"/>
              <w:rPr>
                <w:rFonts w:ascii="宋体" w:cs="宋体"/>
                <w:kern w:val="0"/>
                <w:szCs w:val="21"/>
              </w:rPr>
            </w:pPr>
            <w:r>
              <w:rPr>
                <w:rFonts w:ascii="宋体" w:hAnsi="宋体" w:cs="宋体"/>
                <w:kern w:val="0"/>
                <w:szCs w:val="21"/>
              </w:rPr>
              <w:t>3.4</w:t>
            </w:r>
          </w:p>
        </w:tc>
        <w:tc>
          <w:tcPr>
            <w:tcW w:w="1276" w:type="dxa"/>
            <w:vAlign w:val="center"/>
          </w:tcPr>
          <w:p>
            <w:pPr>
              <w:kinsoku w:val="0"/>
              <w:overflowPunct w:val="0"/>
              <w:spacing w:after="120" w:line="360" w:lineRule="exact"/>
              <w:jc w:val="center"/>
              <w:rPr>
                <w:rFonts w:ascii="宋体" w:cs="宋体"/>
                <w:szCs w:val="21"/>
              </w:rPr>
            </w:pPr>
            <w:r>
              <w:rPr>
                <w:rFonts w:hint="eastAsia" w:ascii="宋体" w:hAnsi="宋体" w:cs="宋体"/>
                <w:szCs w:val="21"/>
              </w:rPr>
              <w:t>服务能力</w:t>
            </w:r>
          </w:p>
        </w:tc>
        <w:tc>
          <w:tcPr>
            <w:tcW w:w="5103" w:type="dxa"/>
            <w:vAlign w:val="center"/>
          </w:tcPr>
          <w:p>
            <w:pPr>
              <w:kinsoku w:val="0"/>
              <w:overflowPunct w:val="0"/>
              <w:spacing w:before="88" w:after="120" w:line="360" w:lineRule="exact"/>
              <w:jc w:val="left"/>
              <w:rPr>
                <w:rFonts w:ascii="宋体" w:cs="宋体"/>
                <w:szCs w:val="21"/>
              </w:rPr>
            </w:pPr>
            <w:r>
              <w:rPr>
                <w:rFonts w:hint="eastAsia" w:ascii="宋体" w:hAnsi="宋体" w:cs="宋体"/>
                <w:szCs w:val="21"/>
              </w:rPr>
              <w:t>具有完善的售后服务体系</w:t>
            </w:r>
            <w:r>
              <w:rPr>
                <w:rFonts w:ascii="宋体" w:cs="宋体"/>
                <w:szCs w:val="21"/>
              </w:rPr>
              <w:t>,</w:t>
            </w:r>
            <w:r>
              <w:rPr>
                <w:rFonts w:hint="eastAsia" w:ascii="宋体" w:hAnsi="宋体" w:cs="宋体"/>
                <w:szCs w:val="21"/>
              </w:rPr>
              <w:t>供应商承诺其售后服务优于招标文件要求的培训要求和响应时间要求得</w:t>
            </w:r>
            <w:r>
              <w:rPr>
                <w:rFonts w:ascii="宋体" w:hAnsi="宋体" w:cs="宋体"/>
                <w:szCs w:val="21"/>
              </w:rPr>
              <w:t>3</w:t>
            </w:r>
            <w:r>
              <w:rPr>
                <w:rFonts w:hint="eastAsia" w:ascii="宋体" w:hAnsi="宋体" w:cs="宋体"/>
                <w:szCs w:val="21"/>
              </w:rPr>
              <w:t>分。</w:t>
            </w:r>
          </w:p>
        </w:tc>
        <w:tc>
          <w:tcPr>
            <w:tcW w:w="766" w:type="dxa"/>
            <w:vAlign w:val="center"/>
          </w:tcPr>
          <w:p>
            <w:pPr>
              <w:spacing w:line="360" w:lineRule="exact"/>
              <w:jc w:val="center"/>
              <w:rPr>
                <w:rFonts w:ascii="宋体" w:cs="宋体"/>
                <w:kern w:val="0"/>
                <w:szCs w:val="21"/>
              </w:rPr>
            </w:pPr>
            <w:r>
              <w:rPr>
                <w:rFonts w:ascii="宋体" w:hAnsi="宋体" w:cs="宋体"/>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49" w:type="dxa"/>
            <w:gridSpan w:val="4"/>
          </w:tcPr>
          <w:p>
            <w:pPr>
              <w:kinsoku w:val="0"/>
              <w:overflowPunct w:val="0"/>
              <w:spacing w:before="88" w:after="120" w:line="360" w:lineRule="exact"/>
              <w:ind w:left="123"/>
              <w:rPr>
                <w:rFonts w:ascii="宋体" w:cs="宋体"/>
                <w:szCs w:val="21"/>
              </w:rPr>
            </w:pPr>
            <w:r>
              <w:rPr>
                <w:rFonts w:ascii="宋体" w:hAnsi="宋体" w:cs="宋体"/>
                <w:szCs w:val="21"/>
              </w:rPr>
              <w:t>4</w:t>
            </w:r>
            <w:r>
              <w:rPr>
                <w:rFonts w:hint="eastAsia" w:ascii="宋体" w:hAnsi="宋体" w:cs="宋体"/>
                <w:szCs w:val="21"/>
              </w:rPr>
              <w:t>、业绩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6" w:hRule="atLeast"/>
          <w:jc w:val="center"/>
        </w:trPr>
        <w:tc>
          <w:tcPr>
            <w:tcW w:w="1704" w:type="dxa"/>
          </w:tcPr>
          <w:p>
            <w:pPr>
              <w:kinsoku w:val="0"/>
              <w:overflowPunct w:val="0"/>
              <w:spacing w:after="120" w:line="360" w:lineRule="exact"/>
              <w:ind w:left="213"/>
              <w:rPr>
                <w:rFonts w:ascii="宋体" w:cs="宋体"/>
                <w:szCs w:val="21"/>
              </w:rPr>
            </w:pPr>
          </w:p>
          <w:p>
            <w:pPr>
              <w:kinsoku w:val="0"/>
              <w:overflowPunct w:val="0"/>
              <w:spacing w:after="120" w:line="360" w:lineRule="exact"/>
              <w:ind w:left="213"/>
              <w:rPr>
                <w:rFonts w:ascii="宋体" w:cs="宋体"/>
                <w:szCs w:val="21"/>
              </w:rPr>
            </w:pPr>
          </w:p>
          <w:p>
            <w:pPr>
              <w:kinsoku w:val="0"/>
              <w:overflowPunct w:val="0"/>
              <w:spacing w:after="120" w:line="360" w:lineRule="exact"/>
              <w:ind w:left="213"/>
              <w:rPr>
                <w:rFonts w:ascii="宋体" w:cs="宋体"/>
                <w:szCs w:val="21"/>
              </w:rPr>
            </w:pPr>
            <w:r>
              <w:rPr>
                <w:rFonts w:ascii="宋体" w:hAnsi="宋体" w:cs="宋体"/>
                <w:szCs w:val="21"/>
              </w:rPr>
              <w:t>4.1</w:t>
            </w:r>
          </w:p>
        </w:tc>
        <w:tc>
          <w:tcPr>
            <w:tcW w:w="1276" w:type="dxa"/>
          </w:tcPr>
          <w:p>
            <w:pPr>
              <w:kinsoku w:val="0"/>
              <w:overflowPunct w:val="0"/>
              <w:spacing w:after="120" w:line="360" w:lineRule="exact"/>
              <w:ind w:left="155" w:right="155"/>
              <w:jc w:val="center"/>
              <w:rPr>
                <w:rFonts w:ascii="宋体" w:cs="宋体"/>
                <w:szCs w:val="21"/>
              </w:rPr>
            </w:pPr>
          </w:p>
          <w:p>
            <w:pPr>
              <w:kinsoku w:val="0"/>
              <w:overflowPunct w:val="0"/>
              <w:spacing w:after="120" w:line="360" w:lineRule="exact"/>
              <w:ind w:left="155" w:right="155"/>
              <w:jc w:val="center"/>
              <w:rPr>
                <w:rFonts w:ascii="宋体" w:cs="宋体"/>
                <w:szCs w:val="21"/>
              </w:rPr>
            </w:pPr>
          </w:p>
          <w:p>
            <w:pPr>
              <w:kinsoku w:val="0"/>
              <w:overflowPunct w:val="0"/>
              <w:spacing w:after="120" w:line="360" w:lineRule="exact"/>
              <w:ind w:left="155" w:right="155"/>
              <w:jc w:val="center"/>
              <w:rPr>
                <w:rFonts w:ascii="宋体" w:cs="宋体"/>
                <w:szCs w:val="21"/>
              </w:rPr>
            </w:pPr>
            <w:r>
              <w:rPr>
                <w:rFonts w:hint="eastAsia" w:ascii="宋体" w:hAnsi="宋体" w:cs="宋体"/>
                <w:szCs w:val="21"/>
              </w:rPr>
              <w:t>业绩</w:t>
            </w:r>
          </w:p>
          <w:p>
            <w:pPr>
              <w:spacing w:line="360" w:lineRule="exact"/>
              <w:rPr>
                <w:rFonts w:ascii="宋体" w:cs="宋体"/>
                <w:kern w:val="0"/>
                <w:szCs w:val="21"/>
              </w:rPr>
            </w:pPr>
          </w:p>
        </w:tc>
        <w:tc>
          <w:tcPr>
            <w:tcW w:w="5103" w:type="dxa"/>
          </w:tcPr>
          <w:p>
            <w:pPr>
              <w:kinsoku w:val="0"/>
              <w:overflowPunct w:val="0"/>
              <w:spacing w:before="88" w:after="120" w:line="360" w:lineRule="exact"/>
              <w:ind w:right="155"/>
              <w:rPr>
                <w:rFonts w:ascii="宋体" w:cs="宋体"/>
                <w:szCs w:val="21"/>
              </w:rPr>
            </w:pPr>
            <w:r>
              <w:rPr>
                <w:rFonts w:hint="eastAsia" w:ascii="宋体" w:hAnsi="宋体" w:cs="宋体"/>
                <w:szCs w:val="21"/>
              </w:rPr>
              <w:t>依据投标人自</w:t>
            </w:r>
            <w:r>
              <w:rPr>
                <w:rFonts w:ascii="宋体" w:hAnsi="宋体" w:cs="宋体"/>
                <w:szCs w:val="21"/>
              </w:rPr>
              <w:t>2019</w:t>
            </w:r>
            <w:r>
              <w:rPr>
                <w:rFonts w:hint="eastAsia" w:ascii="宋体" w:hAnsi="宋体" w:cs="宋体"/>
                <w:szCs w:val="21"/>
              </w:rPr>
              <w:t>年</w:t>
            </w:r>
            <w:r>
              <w:rPr>
                <w:rFonts w:ascii="宋体" w:hAnsi="宋体" w:cs="宋体"/>
                <w:szCs w:val="21"/>
              </w:rPr>
              <w:t>1</w:t>
            </w:r>
            <w:r>
              <w:rPr>
                <w:rFonts w:hint="eastAsia" w:ascii="宋体" w:hAnsi="宋体" w:cs="宋体"/>
                <w:szCs w:val="21"/>
              </w:rPr>
              <w:t>月</w:t>
            </w:r>
            <w:r>
              <w:rPr>
                <w:rFonts w:ascii="宋体" w:hAnsi="宋体" w:cs="宋体"/>
                <w:szCs w:val="21"/>
              </w:rPr>
              <w:t>1</w:t>
            </w:r>
            <w:r>
              <w:rPr>
                <w:rFonts w:hint="eastAsia" w:ascii="宋体" w:hAnsi="宋体" w:cs="宋体"/>
                <w:szCs w:val="21"/>
              </w:rPr>
              <w:t>日以来完成过同类项目案例，每提供一个得</w:t>
            </w:r>
            <w:r>
              <w:rPr>
                <w:rFonts w:ascii="宋体" w:hAnsi="宋体" w:cs="宋体"/>
                <w:szCs w:val="21"/>
              </w:rPr>
              <w:t>1</w:t>
            </w:r>
            <w:r>
              <w:rPr>
                <w:rFonts w:hint="eastAsia" w:ascii="宋体" w:hAnsi="宋体" w:cs="宋体"/>
                <w:szCs w:val="21"/>
              </w:rPr>
              <w:t>分，最多</w:t>
            </w:r>
            <w:r>
              <w:rPr>
                <w:rFonts w:ascii="宋体" w:hAnsi="宋体" w:cs="宋体"/>
                <w:szCs w:val="21"/>
              </w:rPr>
              <w:t>3</w:t>
            </w:r>
            <w:r>
              <w:rPr>
                <w:rFonts w:hint="eastAsia" w:ascii="宋体" w:hAnsi="宋体" w:cs="宋体"/>
                <w:szCs w:val="21"/>
              </w:rPr>
              <w:t>分。提供有效的合同（时间以合同签订日期为准）及采购清单。（原件备查）</w:t>
            </w:r>
          </w:p>
        </w:tc>
        <w:tc>
          <w:tcPr>
            <w:tcW w:w="766" w:type="dxa"/>
          </w:tcPr>
          <w:p>
            <w:pPr>
              <w:spacing w:line="360" w:lineRule="exact"/>
              <w:rPr>
                <w:rFonts w:ascii="宋体" w:cs="宋体"/>
                <w:kern w:val="0"/>
                <w:szCs w:val="21"/>
              </w:rPr>
            </w:pPr>
          </w:p>
          <w:p>
            <w:pPr>
              <w:spacing w:line="360" w:lineRule="exact"/>
              <w:rPr>
                <w:rFonts w:ascii="宋体" w:cs="宋体"/>
                <w:kern w:val="0"/>
                <w:szCs w:val="21"/>
              </w:rPr>
            </w:pPr>
          </w:p>
          <w:p>
            <w:pPr>
              <w:spacing w:line="360" w:lineRule="exact"/>
              <w:ind w:firstLine="210" w:firstLineChars="100"/>
              <w:rPr>
                <w:rFonts w:ascii="宋体" w:cs="宋体"/>
                <w:kern w:val="0"/>
                <w:szCs w:val="21"/>
              </w:rPr>
            </w:pPr>
            <w:r>
              <w:rPr>
                <w:rFonts w:ascii="宋体" w:hAnsi="宋体" w:cs="宋体"/>
                <w:kern w:val="0"/>
                <w:szCs w:val="21"/>
              </w:rPr>
              <w:t>3</w:t>
            </w:r>
            <w:r>
              <w:rPr>
                <w:rFonts w:ascii="宋体" w:cs="宋体"/>
                <w:kern w:val="0"/>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8849" w:type="dxa"/>
            <w:gridSpan w:val="4"/>
          </w:tcPr>
          <w:p>
            <w:pPr>
              <w:kinsoku w:val="0"/>
              <w:overflowPunct w:val="0"/>
              <w:spacing w:before="88" w:after="120" w:line="360" w:lineRule="exact"/>
              <w:ind w:left="123"/>
              <w:rPr>
                <w:rFonts w:ascii="宋体" w:cs="宋体"/>
                <w:szCs w:val="21"/>
              </w:rPr>
            </w:pPr>
            <w:r>
              <w:rPr>
                <w:rFonts w:ascii="宋体" w:hAnsi="宋体" w:cs="宋体"/>
                <w:szCs w:val="21"/>
              </w:rPr>
              <w:t>5</w:t>
            </w:r>
            <w:r>
              <w:rPr>
                <w:rFonts w:hint="eastAsia" w:ascii="宋体" w:hAnsi="宋体" w:cs="宋体"/>
                <w:szCs w:val="21"/>
              </w:rPr>
              <w:t>、信誉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1704" w:type="dxa"/>
            <w:vAlign w:val="center"/>
          </w:tcPr>
          <w:p>
            <w:pPr>
              <w:kinsoku w:val="0"/>
              <w:overflowPunct w:val="0"/>
              <w:spacing w:before="88" w:after="120" w:line="360" w:lineRule="exact"/>
              <w:ind w:left="213"/>
              <w:jc w:val="center"/>
              <w:rPr>
                <w:rFonts w:ascii="宋体" w:cs="宋体"/>
                <w:szCs w:val="21"/>
              </w:rPr>
            </w:pPr>
            <w:r>
              <w:rPr>
                <w:rFonts w:ascii="宋体" w:hAnsi="宋体" w:cs="宋体"/>
                <w:szCs w:val="21"/>
              </w:rPr>
              <w:t>5.1</w:t>
            </w:r>
          </w:p>
        </w:tc>
        <w:tc>
          <w:tcPr>
            <w:tcW w:w="1276" w:type="dxa"/>
            <w:vAlign w:val="center"/>
          </w:tcPr>
          <w:p>
            <w:pPr>
              <w:kinsoku w:val="0"/>
              <w:overflowPunct w:val="0"/>
              <w:spacing w:before="88" w:after="120" w:line="360" w:lineRule="exact"/>
              <w:jc w:val="center"/>
              <w:rPr>
                <w:rFonts w:ascii="宋体" w:cs="宋体"/>
                <w:szCs w:val="21"/>
              </w:rPr>
            </w:pPr>
            <w:r>
              <w:rPr>
                <w:rFonts w:hint="eastAsia" w:ascii="宋体" w:hAnsi="宋体" w:cs="宋体"/>
                <w:szCs w:val="21"/>
              </w:rPr>
              <w:t>信用等级</w:t>
            </w:r>
          </w:p>
        </w:tc>
        <w:tc>
          <w:tcPr>
            <w:tcW w:w="5103" w:type="dxa"/>
          </w:tcPr>
          <w:p>
            <w:pPr>
              <w:kinsoku w:val="0"/>
              <w:overflowPunct w:val="0"/>
              <w:spacing w:before="88" w:after="120" w:line="360" w:lineRule="exact"/>
              <w:rPr>
                <w:rFonts w:ascii="宋体" w:cs="宋体"/>
                <w:szCs w:val="21"/>
              </w:rPr>
            </w:pPr>
            <w:r>
              <w:rPr>
                <w:rFonts w:hint="eastAsia" w:ascii="宋体" w:hAnsi="宋体" w:cs="宋体"/>
                <w:szCs w:val="21"/>
              </w:rPr>
              <w:t>供应商提供信用评级机构出具的信用评级报告为</w:t>
            </w:r>
            <w:r>
              <w:rPr>
                <w:rFonts w:ascii="宋体" w:hAnsi="宋体" w:cs="宋体"/>
                <w:szCs w:val="21"/>
              </w:rPr>
              <w:t>AAA</w:t>
            </w:r>
            <w:r>
              <w:rPr>
                <w:rFonts w:hint="eastAsia" w:ascii="宋体" w:hAnsi="宋体" w:cs="宋体"/>
                <w:szCs w:val="21"/>
              </w:rPr>
              <w:t>级的得</w:t>
            </w:r>
            <w:r>
              <w:rPr>
                <w:rFonts w:ascii="宋体" w:hAnsi="宋体" w:cs="宋体"/>
                <w:szCs w:val="21"/>
              </w:rPr>
              <w:t>3</w:t>
            </w:r>
            <w:r>
              <w:rPr>
                <w:rFonts w:hint="eastAsia" w:ascii="宋体" w:hAnsi="宋体" w:cs="宋体"/>
                <w:szCs w:val="21"/>
              </w:rPr>
              <w:t>分，提供评级报告复印件加盖单位公章。</w:t>
            </w:r>
          </w:p>
        </w:tc>
        <w:tc>
          <w:tcPr>
            <w:tcW w:w="766" w:type="dxa"/>
          </w:tcPr>
          <w:p>
            <w:pPr>
              <w:spacing w:line="360" w:lineRule="exact"/>
              <w:ind w:firstLine="210" w:firstLineChars="100"/>
              <w:rPr>
                <w:rFonts w:ascii="宋体" w:cs="宋体"/>
                <w:kern w:val="0"/>
                <w:szCs w:val="21"/>
              </w:rPr>
            </w:pPr>
            <w:r>
              <w:rPr>
                <w:rFonts w:ascii="宋体" w:hAnsi="宋体" w:cs="宋体"/>
                <w:kern w:val="0"/>
                <w:szCs w:val="21"/>
              </w:rPr>
              <w:t>3</w:t>
            </w:r>
            <w:r>
              <w:rPr>
                <w:rFonts w:ascii="宋体" w:cs="宋体"/>
                <w:kern w:val="0"/>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8849" w:type="dxa"/>
            <w:gridSpan w:val="4"/>
            <w:vAlign w:val="center"/>
          </w:tcPr>
          <w:p>
            <w:pPr>
              <w:jc w:val="left"/>
              <w:rPr>
                <w:rFonts w:ascii="宋体"/>
                <w:szCs w:val="21"/>
              </w:rPr>
            </w:pPr>
            <w:r>
              <w:rPr>
                <w:rFonts w:ascii="宋体" w:hAnsi="宋体"/>
                <w:szCs w:val="21"/>
              </w:rPr>
              <w:t>6</w:t>
            </w:r>
            <w:r>
              <w:rPr>
                <w:rFonts w:hint="eastAsia" w:ascii="宋体" w:hAnsi="宋体"/>
                <w:szCs w:val="21"/>
              </w:rPr>
              <w:t>、投标文件制作分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704" w:type="dxa"/>
            <w:vAlign w:val="center"/>
          </w:tcPr>
          <w:p>
            <w:pPr>
              <w:jc w:val="center"/>
              <w:rPr>
                <w:rFonts w:ascii="宋体"/>
                <w:szCs w:val="21"/>
              </w:rPr>
            </w:pPr>
            <w:r>
              <w:rPr>
                <w:rFonts w:ascii="宋体" w:hAnsi="宋体"/>
                <w:szCs w:val="21"/>
              </w:rPr>
              <w:t>6.1</w:t>
            </w:r>
          </w:p>
        </w:tc>
        <w:tc>
          <w:tcPr>
            <w:tcW w:w="1276" w:type="dxa"/>
            <w:vAlign w:val="center"/>
          </w:tcPr>
          <w:p>
            <w:pPr>
              <w:jc w:val="center"/>
              <w:rPr>
                <w:rFonts w:ascii="宋体"/>
                <w:szCs w:val="21"/>
              </w:rPr>
            </w:pPr>
            <w:r>
              <w:rPr>
                <w:rFonts w:hint="eastAsia" w:ascii="宋体" w:hAnsi="宋体" w:cs="宋体"/>
                <w:szCs w:val="21"/>
              </w:rPr>
              <w:t>投标文件规范性和完整性</w:t>
            </w:r>
          </w:p>
        </w:tc>
        <w:tc>
          <w:tcPr>
            <w:tcW w:w="5103" w:type="dxa"/>
            <w:vAlign w:val="center"/>
          </w:tcPr>
          <w:p>
            <w:pPr>
              <w:spacing w:line="360" w:lineRule="auto"/>
              <w:rPr>
                <w:rFonts w:ascii="宋体"/>
                <w:szCs w:val="21"/>
              </w:rPr>
            </w:pPr>
            <w:r>
              <w:rPr>
                <w:rFonts w:hint="eastAsia" w:ascii="宋体" w:hAnsi="宋体" w:cs="宋体"/>
                <w:szCs w:val="21"/>
              </w:rPr>
              <w:t>文件内容完备，格式规范，封装整齐，满足招标文件要求得</w:t>
            </w:r>
            <w:r>
              <w:rPr>
                <w:rFonts w:ascii="宋体" w:hAnsi="宋体" w:cs="宋体"/>
                <w:szCs w:val="21"/>
              </w:rPr>
              <w:t>2</w:t>
            </w:r>
            <w:r>
              <w:rPr>
                <w:rFonts w:hint="eastAsia" w:ascii="宋体" w:hAnsi="宋体" w:cs="宋体"/>
                <w:szCs w:val="21"/>
              </w:rPr>
              <w:t>分。没有目录或目录与内文不对应扣</w:t>
            </w:r>
            <w:r>
              <w:rPr>
                <w:rFonts w:ascii="宋体" w:hAnsi="宋体" w:cs="宋体"/>
                <w:szCs w:val="21"/>
              </w:rPr>
              <w:t>1</w:t>
            </w:r>
            <w:r>
              <w:rPr>
                <w:rFonts w:hint="eastAsia" w:ascii="宋体" w:hAnsi="宋体" w:cs="宋体"/>
                <w:szCs w:val="21"/>
              </w:rPr>
              <w:t>分；编排混乱、前后矛盾，评审委员会允许且需要通过询标等程序进行澄清的，扣</w:t>
            </w:r>
            <w:r>
              <w:rPr>
                <w:rFonts w:ascii="宋体" w:hAnsi="宋体" w:cs="宋体"/>
                <w:szCs w:val="21"/>
              </w:rPr>
              <w:t>0.5</w:t>
            </w:r>
            <w:r>
              <w:rPr>
                <w:rFonts w:hint="eastAsia" w:ascii="宋体" w:hAnsi="宋体" w:cs="宋体"/>
                <w:szCs w:val="21"/>
              </w:rPr>
              <w:t>分；字迹模糊难辨扣</w:t>
            </w:r>
            <w:r>
              <w:rPr>
                <w:rFonts w:ascii="宋体" w:hAnsi="宋体" w:cs="宋体"/>
                <w:szCs w:val="21"/>
              </w:rPr>
              <w:t>0.5</w:t>
            </w:r>
            <w:r>
              <w:rPr>
                <w:rFonts w:hint="eastAsia" w:ascii="宋体" w:hAnsi="宋体" w:cs="宋体"/>
                <w:szCs w:val="21"/>
              </w:rPr>
              <w:t>分。</w:t>
            </w:r>
          </w:p>
        </w:tc>
        <w:tc>
          <w:tcPr>
            <w:tcW w:w="766" w:type="dxa"/>
            <w:vAlign w:val="center"/>
          </w:tcPr>
          <w:p>
            <w:pPr>
              <w:jc w:val="center"/>
              <w:rPr>
                <w:rFonts w:ascii="宋体"/>
                <w:szCs w:val="21"/>
              </w:rPr>
            </w:pPr>
            <w:r>
              <w:rPr>
                <w:rFonts w:ascii="宋体" w:hAnsi="宋体"/>
                <w:szCs w:val="21"/>
              </w:rPr>
              <w:t>2</w:t>
            </w:r>
            <w:r>
              <w:rPr>
                <w:rFonts w:hint="eastAsia" w:ascii="宋体" w:hAnsi="宋体"/>
                <w:szCs w:val="21"/>
              </w:rPr>
              <w:t>.0</w:t>
            </w:r>
          </w:p>
        </w:tc>
      </w:tr>
    </w:tbl>
    <w:p>
      <w:pPr>
        <w:spacing w:line="360" w:lineRule="auto"/>
        <w:rPr>
          <w:b/>
          <w:sz w:val="28"/>
          <w:szCs w:val="28"/>
        </w:rPr>
      </w:pPr>
    </w:p>
    <w:p>
      <w:pPr>
        <w:pStyle w:val="2"/>
        <w:ind w:left="1470" w:right="1470"/>
      </w:pPr>
    </w:p>
    <w:p>
      <w:pPr>
        <w:pStyle w:val="2"/>
        <w:ind w:left="1470" w:right="1470"/>
      </w:pPr>
    </w:p>
    <w:p>
      <w:pPr>
        <w:pStyle w:val="2"/>
        <w:ind w:left="1470" w:right="1470"/>
      </w:pPr>
    </w:p>
    <w:p>
      <w:pPr>
        <w:spacing w:line="360" w:lineRule="auto"/>
        <w:rPr>
          <w:b/>
          <w:sz w:val="28"/>
          <w:szCs w:val="28"/>
        </w:rPr>
      </w:pPr>
      <w:r>
        <w:rPr>
          <w:rFonts w:hint="eastAsia"/>
          <w:b/>
          <w:sz w:val="28"/>
          <w:szCs w:val="28"/>
        </w:rPr>
        <w:t>附件</w:t>
      </w:r>
      <w:r>
        <w:rPr>
          <w:b/>
          <w:sz w:val="28"/>
          <w:szCs w:val="28"/>
        </w:rPr>
        <w:t>6</w:t>
      </w:r>
      <w:r>
        <w:rPr>
          <w:rFonts w:hint="eastAsia"/>
          <w:b/>
          <w:sz w:val="28"/>
          <w:szCs w:val="28"/>
        </w:rPr>
        <w:t>：</w:t>
      </w:r>
    </w:p>
    <w:p>
      <w:pPr>
        <w:adjustRightInd w:val="0"/>
        <w:snapToGrid w:val="0"/>
        <w:spacing w:before="156" w:beforeLines="50" w:after="156" w:afterLines="50" w:line="360" w:lineRule="auto"/>
        <w:jc w:val="center"/>
        <w:outlineLvl w:val="0"/>
        <w:rPr>
          <w:rFonts w:ascii="黑体" w:hAnsi="黑体" w:eastAsia="黑体"/>
          <w:b/>
          <w:bCs/>
          <w:sz w:val="34"/>
        </w:rPr>
      </w:pPr>
      <w:r>
        <w:rPr>
          <w:rFonts w:hint="eastAsia" w:ascii="黑体" w:hAnsi="黑体" w:eastAsia="黑体"/>
          <w:b/>
          <w:sz w:val="34"/>
        </w:rPr>
        <w:t>采购合同</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项目名称：</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项目编号：</w:t>
      </w:r>
    </w:p>
    <w:p>
      <w:pPr>
        <w:pStyle w:val="8"/>
        <w:adjustRightInd w:val="0"/>
        <w:snapToGrid w:val="0"/>
        <w:spacing w:before="120" w:after="120" w:line="360" w:lineRule="auto"/>
        <w:ind w:firstLine="658"/>
        <w:rPr>
          <w:rFonts w:hAnsi="宋体"/>
          <w:sz w:val="24"/>
          <w:szCs w:val="24"/>
          <w:u w:val="single"/>
        </w:rPr>
      </w:pPr>
      <w:r>
        <w:rPr>
          <w:rFonts w:hint="eastAsia" w:hAnsi="宋体"/>
          <w:sz w:val="24"/>
          <w:szCs w:val="24"/>
        </w:rPr>
        <w:t>甲方：（买方）</w:t>
      </w:r>
      <w:r>
        <w:rPr>
          <w:rFonts w:hAnsi="宋体"/>
          <w:sz w:val="24"/>
          <w:szCs w:val="24"/>
        </w:rPr>
        <w:t>__________________</w:t>
      </w:r>
    </w:p>
    <w:p>
      <w:pPr>
        <w:pStyle w:val="8"/>
        <w:adjustRightInd w:val="0"/>
        <w:snapToGrid w:val="0"/>
        <w:spacing w:before="120" w:after="120" w:line="360" w:lineRule="auto"/>
        <w:ind w:firstLine="658"/>
        <w:rPr>
          <w:rFonts w:hAnsi="宋体"/>
          <w:sz w:val="24"/>
          <w:szCs w:val="24"/>
        </w:rPr>
      </w:pPr>
      <w:r>
        <w:rPr>
          <w:rFonts w:hint="eastAsia" w:hAnsi="宋体"/>
          <w:sz w:val="24"/>
          <w:szCs w:val="24"/>
        </w:rPr>
        <w:t>乙方：（卖方）</w:t>
      </w:r>
      <w:r>
        <w:rPr>
          <w:rFonts w:hAnsi="宋体"/>
          <w:sz w:val="24"/>
          <w:szCs w:val="24"/>
        </w:rPr>
        <w:t>__________________</w:t>
      </w:r>
    </w:p>
    <w:p>
      <w:pPr>
        <w:pStyle w:val="8"/>
        <w:adjustRightInd w:val="0"/>
        <w:snapToGrid w:val="0"/>
        <w:spacing w:before="120" w:after="120" w:line="360" w:lineRule="auto"/>
        <w:ind w:firstLine="658"/>
        <w:rPr>
          <w:rFonts w:hAnsi="宋体"/>
          <w:b/>
          <w:sz w:val="24"/>
          <w:szCs w:val="24"/>
        </w:rPr>
      </w:pPr>
      <w:r>
        <w:rPr>
          <w:rFonts w:hint="eastAsia" w:hAnsi="宋体"/>
          <w:sz w:val="24"/>
          <w:szCs w:val="24"/>
        </w:rPr>
        <w:t>甲、乙双方根据甲方项目采购谈判的结果，签署本合同。</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一、货物内容</w:t>
      </w:r>
    </w:p>
    <w:tbl>
      <w:tblPr>
        <w:tblStyle w:val="15"/>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rPr>
            </w:pPr>
            <w:r>
              <w:rPr>
                <w:rFonts w:hint="eastAsia" w:ascii="宋体" w:hAnsi="宋体"/>
                <w:b/>
                <w:sz w:val="24"/>
              </w:rPr>
              <w:t>分包号</w:t>
            </w:r>
          </w:p>
        </w:tc>
        <w:tc>
          <w:tcPr>
            <w:tcW w:w="1165" w:type="dxa"/>
            <w:vAlign w:val="center"/>
          </w:tcPr>
          <w:p>
            <w:pPr>
              <w:spacing w:line="360" w:lineRule="auto"/>
              <w:jc w:val="center"/>
              <w:rPr>
                <w:rFonts w:ascii="宋体"/>
                <w:b/>
                <w:sz w:val="24"/>
              </w:rPr>
            </w:pPr>
            <w:r>
              <w:rPr>
                <w:rFonts w:hint="eastAsia" w:ascii="宋体" w:hAnsi="宋体"/>
                <w:b/>
                <w:sz w:val="24"/>
              </w:rPr>
              <w:t>货物</w:t>
            </w:r>
          </w:p>
          <w:p>
            <w:pPr>
              <w:spacing w:line="360" w:lineRule="auto"/>
              <w:jc w:val="center"/>
              <w:rPr>
                <w:rFonts w:ascii="宋体"/>
                <w:b/>
                <w:sz w:val="24"/>
              </w:rPr>
            </w:pPr>
            <w:r>
              <w:rPr>
                <w:rFonts w:hint="eastAsia" w:ascii="宋体" w:hAnsi="宋体"/>
                <w:b/>
                <w:sz w:val="24"/>
              </w:rPr>
              <w:t>名称</w:t>
            </w:r>
          </w:p>
        </w:tc>
        <w:tc>
          <w:tcPr>
            <w:tcW w:w="1115" w:type="dxa"/>
            <w:vAlign w:val="center"/>
          </w:tcPr>
          <w:p>
            <w:pPr>
              <w:spacing w:line="360" w:lineRule="auto"/>
              <w:jc w:val="center"/>
              <w:rPr>
                <w:rFonts w:ascii="宋体"/>
                <w:b/>
                <w:sz w:val="24"/>
              </w:rPr>
            </w:pPr>
            <w:r>
              <w:rPr>
                <w:rFonts w:hint="eastAsia" w:ascii="宋体" w:hAnsi="宋体"/>
                <w:b/>
                <w:sz w:val="24"/>
              </w:rPr>
              <w:t>型号</w:t>
            </w:r>
            <w:r>
              <w:rPr>
                <w:rFonts w:ascii="宋体" w:hAnsi="宋体"/>
                <w:b/>
                <w:sz w:val="24"/>
              </w:rPr>
              <w:t>/</w:t>
            </w:r>
          </w:p>
          <w:p>
            <w:pPr>
              <w:spacing w:line="360" w:lineRule="auto"/>
              <w:jc w:val="center"/>
              <w:rPr>
                <w:rFonts w:ascii="宋体"/>
                <w:b/>
                <w:sz w:val="24"/>
              </w:rPr>
            </w:pPr>
            <w:r>
              <w:rPr>
                <w:rFonts w:hint="eastAsia" w:ascii="宋体" w:hAnsi="宋体"/>
                <w:b/>
                <w:sz w:val="24"/>
              </w:rPr>
              <w:t>规格</w:t>
            </w:r>
          </w:p>
        </w:tc>
        <w:tc>
          <w:tcPr>
            <w:tcW w:w="1160" w:type="dxa"/>
            <w:vAlign w:val="center"/>
          </w:tcPr>
          <w:p>
            <w:pPr>
              <w:spacing w:line="360" w:lineRule="auto"/>
              <w:jc w:val="center"/>
              <w:rPr>
                <w:rFonts w:ascii="宋体"/>
                <w:b/>
                <w:sz w:val="24"/>
              </w:rPr>
            </w:pPr>
            <w:r>
              <w:rPr>
                <w:rFonts w:hint="eastAsia" w:ascii="宋体" w:hAnsi="宋体"/>
                <w:b/>
                <w:sz w:val="24"/>
              </w:rPr>
              <w:t>品牌</w:t>
            </w:r>
            <w:r>
              <w:rPr>
                <w:rFonts w:ascii="宋体" w:hAnsi="宋体"/>
                <w:b/>
                <w:sz w:val="24"/>
              </w:rPr>
              <w:t>/</w:t>
            </w:r>
            <w:r>
              <w:rPr>
                <w:rFonts w:hint="eastAsia" w:ascii="宋体" w:hAnsi="宋体"/>
                <w:b/>
                <w:sz w:val="24"/>
              </w:rPr>
              <w:t>生产厂家</w:t>
            </w:r>
            <w:r>
              <w:rPr>
                <w:rFonts w:ascii="宋体" w:hAnsi="宋体"/>
                <w:b/>
                <w:sz w:val="24"/>
              </w:rPr>
              <w:t>/</w:t>
            </w:r>
            <w:r>
              <w:rPr>
                <w:rFonts w:hint="eastAsia" w:ascii="宋体" w:hAnsi="宋体"/>
                <w:b/>
                <w:sz w:val="24"/>
              </w:rPr>
              <w:t>国别</w:t>
            </w:r>
          </w:p>
        </w:tc>
        <w:tc>
          <w:tcPr>
            <w:tcW w:w="1160" w:type="dxa"/>
            <w:vAlign w:val="center"/>
          </w:tcPr>
          <w:p>
            <w:pPr>
              <w:spacing w:line="360" w:lineRule="auto"/>
              <w:jc w:val="center"/>
              <w:rPr>
                <w:rFonts w:ascii="宋体"/>
                <w:b/>
                <w:sz w:val="24"/>
              </w:rPr>
            </w:pPr>
            <w:r>
              <w:rPr>
                <w:rFonts w:hint="eastAsia" w:ascii="宋体" w:hAnsi="宋体"/>
                <w:b/>
                <w:sz w:val="24"/>
              </w:rPr>
              <w:t>计量</w:t>
            </w:r>
          </w:p>
          <w:p>
            <w:pPr>
              <w:spacing w:line="360" w:lineRule="auto"/>
              <w:jc w:val="center"/>
              <w:rPr>
                <w:rFonts w:ascii="宋体"/>
                <w:b/>
                <w:sz w:val="24"/>
              </w:rPr>
            </w:pPr>
            <w:r>
              <w:rPr>
                <w:rFonts w:hint="eastAsia" w:ascii="宋体" w:hAnsi="宋体"/>
                <w:b/>
                <w:sz w:val="24"/>
              </w:rPr>
              <w:t>单位</w:t>
            </w:r>
          </w:p>
        </w:tc>
        <w:tc>
          <w:tcPr>
            <w:tcW w:w="1160" w:type="dxa"/>
            <w:vAlign w:val="center"/>
          </w:tcPr>
          <w:p>
            <w:pPr>
              <w:spacing w:line="360" w:lineRule="auto"/>
              <w:jc w:val="center"/>
              <w:rPr>
                <w:rFonts w:ascii="宋体"/>
                <w:b/>
                <w:sz w:val="24"/>
              </w:rPr>
            </w:pPr>
            <w:r>
              <w:rPr>
                <w:rFonts w:hint="eastAsia" w:ascii="宋体" w:hAnsi="宋体"/>
                <w:b/>
                <w:sz w:val="24"/>
              </w:rPr>
              <w:t>数量</w:t>
            </w:r>
          </w:p>
        </w:tc>
        <w:tc>
          <w:tcPr>
            <w:tcW w:w="1160" w:type="dxa"/>
            <w:vAlign w:val="center"/>
          </w:tcPr>
          <w:p>
            <w:pPr>
              <w:spacing w:line="360" w:lineRule="auto"/>
              <w:jc w:val="center"/>
              <w:rPr>
                <w:rFonts w:ascii="宋体"/>
                <w:b/>
                <w:sz w:val="24"/>
              </w:rPr>
            </w:pPr>
            <w:r>
              <w:rPr>
                <w:rFonts w:hint="eastAsia" w:ascii="宋体" w:hAnsi="宋体"/>
                <w:b/>
                <w:sz w:val="24"/>
              </w:rPr>
              <w:t>单价</w:t>
            </w:r>
          </w:p>
        </w:tc>
        <w:tc>
          <w:tcPr>
            <w:tcW w:w="1162" w:type="dxa"/>
            <w:vAlign w:val="center"/>
          </w:tcPr>
          <w:p>
            <w:pPr>
              <w:spacing w:line="360" w:lineRule="auto"/>
              <w:jc w:val="center"/>
              <w:rPr>
                <w:rFonts w:ascii="宋体"/>
                <w:b/>
                <w:sz w:val="24"/>
              </w:rPr>
            </w:pPr>
            <w:r>
              <w:rPr>
                <w:rFonts w:hint="eastAsia" w:ascii="宋体" w:hAnsi="宋体"/>
                <w:b/>
                <w:sz w:val="24"/>
              </w:rPr>
              <w:t>每项</w:t>
            </w:r>
          </w:p>
          <w:p>
            <w:pPr>
              <w:spacing w:line="360" w:lineRule="auto"/>
              <w:jc w:val="center"/>
              <w:rPr>
                <w:rFonts w:ascii="宋体"/>
                <w:b/>
                <w:sz w:val="24"/>
              </w:rPr>
            </w:pPr>
            <w:r>
              <w:rPr>
                <w:rFonts w:hint="eastAsia" w:ascii="宋体" w:hAnsi="宋体"/>
                <w:b/>
                <w:sz w:val="24"/>
              </w:rPr>
              <w:t>总价</w:t>
            </w:r>
          </w:p>
        </w:tc>
        <w:tc>
          <w:tcPr>
            <w:tcW w:w="1171" w:type="dxa"/>
            <w:vAlign w:val="center"/>
          </w:tcPr>
          <w:p>
            <w:pPr>
              <w:spacing w:line="360" w:lineRule="auto"/>
              <w:jc w:val="center"/>
              <w:rPr>
                <w:rFonts w:ascii="宋体"/>
                <w:b/>
                <w:sz w:val="24"/>
              </w:rPr>
            </w:pPr>
            <w:r>
              <w:rPr>
                <w:rFonts w:hint="eastAsia" w:ascii="宋体" w:hAnsi="宋体"/>
                <w:b/>
                <w:sz w:val="24"/>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rPr>
            </w:pPr>
            <w:r>
              <w:rPr>
                <w:rFonts w:hint="eastAsia" w:ascii="宋体" w:hAnsi="宋体"/>
                <w:sz w:val="24"/>
              </w:rPr>
              <w:t>合计总价</w:t>
            </w:r>
          </w:p>
        </w:tc>
        <w:tc>
          <w:tcPr>
            <w:tcW w:w="8088" w:type="dxa"/>
            <w:gridSpan w:val="7"/>
            <w:vAlign w:val="center"/>
          </w:tcPr>
          <w:p>
            <w:pPr>
              <w:spacing w:line="360" w:lineRule="auto"/>
              <w:rPr>
                <w:rFonts w:ascii="宋体"/>
                <w:sz w:val="24"/>
                <w:u w:val="single"/>
              </w:rPr>
            </w:pPr>
            <w:r>
              <w:rPr>
                <w:rFonts w:hint="eastAsia" w:ascii="宋体" w:hAnsi="宋体"/>
                <w:sz w:val="24"/>
              </w:rPr>
              <w:t>大写：      小写：      元</w:t>
            </w:r>
          </w:p>
        </w:tc>
      </w:tr>
    </w:tbl>
    <w:p>
      <w:pPr>
        <w:pStyle w:val="8"/>
        <w:adjustRightInd w:val="0"/>
        <w:snapToGrid w:val="0"/>
        <w:spacing w:before="120" w:after="120" w:line="360" w:lineRule="auto"/>
        <w:ind w:firstLine="660"/>
        <w:rPr>
          <w:rFonts w:hAnsi="宋体"/>
          <w:b/>
          <w:sz w:val="24"/>
          <w:szCs w:val="24"/>
        </w:rPr>
      </w:pPr>
      <w:r>
        <w:rPr>
          <w:rFonts w:hint="eastAsia" w:hAnsi="宋体"/>
          <w:b/>
          <w:sz w:val="24"/>
          <w:szCs w:val="24"/>
        </w:rPr>
        <w:t>二、合同金额</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2.1 </w:t>
      </w:r>
      <w:r>
        <w:rPr>
          <w:rFonts w:hint="eastAsia" w:hAnsi="宋体"/>
          <w:sz w:val="24"/>
          <w:szCs w:val="24"/>
        </w:rPr>
        <w:t>本合同金额为（大写）：</w:t>
      </w:r>
      <w:r>
        <w:rPr>
          <w:rFonts w:hAnsi="宋体"/>
          <w:sz w:val="24"/>
          <w:szCs w:val="24"/>
        </w:rPr>
        <w:t>________________________</w:t>
      </w:r>
      <w:r>
        <w:rPr>
          <w:rFonts w:hint="eastAsia" w:hAnsi="宋体"/>
          <w:sz w:val="24"/>
          <w:szCs w:val="24"/>
        </w:rPr>
        <w:t>元人民币。</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三、技术资料</w:t>
      </w:r>
    </w:p>
    <w:p>
      <w:pPr>
        <w:pStyle w:val="8"/>
        <w:adjustRightInd w:val="0"/>
        <w:snapToGrid w:val="0"/>
        <w:spacing w:before="120" w:after="120" w:line="360" w:lineRule="auto"/>
        <w:ind w:left="48" w:firstLine="658"/>
        <w:rPr>
          <w:rFonts w:hAnsi="宋体"/>
          <w:sz w:val="24"/>
          <w:szCs w:val="24"/>
        </w:rPr>
      </w:pPr>
      <w:r>
        <w:rPr>
          <w:rFonts w:hAnsi="宋体"/>
          <w:sz w:val="24"/>
          <w:szCs w:val="24"/>
        </w:rPr>
        <w:t>3.1</w:t>
      </w:r>
      <w:r>
        <w:rPr>
          <w:rFonts w:hint="eastAsia" w:hAnsi="宋体"/>
          <w:sz w:val="24"/>
          <w:szCs w:val="24"/>
        </w:rPr>
        <w:t>乙方应按采购文件规定的时间向甲方提供使用货物的有关技术资料。</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3.2 </w:t>
      </w:r>
      <w:r>
        <w:rPr>
          <w:rFonts w:hint="eastAsia" w:hAnsi="宋体"/>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adjustRightInd w:val="0"/>
        <w:snapToGrid w:val="0"/>
        <w:spacing w:before="120" w:after="120" w:line="360" w:lineRule="auto"/>
        <w:ind w:left="50" w:firstLine="660"/>
        <w:rPr>
          <w:rFonts w:hAnsi="宋体"/>
          <w:b/>
          <w:sz w:val="24"/>
          <w:szCs w:val="24"/>
        </w:rPr>
      </w:pPr>
      <w:r>
        <w:rPr>
          <w:rFonts w:hint="eastAsia" w:hAnsi="宋体"/>
          <w:b/>
          <w:sz w:val="24"/>
          <w:szCs w:val="24"/>
        </w:rPr>
        <w:t>四、知识产权</w:t>
      </w:r>
    </w:p>
    <w:p>
      <w:pPr>
        <w:pStyle w:val="8"/>
        <w:adjustRightInd w:val="0"/>
        <w:snapToGrid w:val="0"/>
        <w:spacing w:before="120" w:after="120" w:line="360" w:lineRule="auto"/>
        <w:ind w:left="48" w:firstLine="658"/>
        <w:rPr>
          <w:rFonts w:hAnsi="宋体"/>
          <w:sz w:val="24"/>
          <w:szCs w:val="24"/>
        </w:rPr>
      </w:pPr>
      <w:r>
        <w:rPr>
          <w:rFonts w:hAnsi="宋体"/>
          <w:sz w:val="24"/>
          <w:szCs w:val="24"/>
        </w:rPr>
        <w:t>4.1</w:t>
      </w:r>
      <w:r>
        <w:rPr>
          <w:rFonts w:hint="eastAsia" w:hAnsi="宋体"/>
          <w:sz w:val="24"/>
          <w:szCs w:val="24"/>
        </w:rPr>
        <w:t>乙方应保证甲方在使用、接受本合同货物和服务或其任何一部分时不受第三方提出侵犯其专利权、版权、商标权和工业设计权等知识产权的起诉。一旦出现侵权，由乙方负全部责任。</w:t>
      </w:r>
    </w:p>
    <w:p>
      <w:pPr>
        <w:pStyle w:val="8"/>
        <w:adjustRightInd w:val="0"/>
        <w:snapToGrid w:val="0"/>
        <w:spacing w:before="120" w:after="120" w:line="360" w:lineRule="auto"/>
        <w:ind w:firstLine="660"/>
        <w:rPr>
          <w:rFonts w:hAnsi="宋体"/>
          <w:sz w:val="24"/>
          <w:szCs w:val="24"/>
          <w:u w:val="single"/>
        </w:rPr>
      </w:pPr>
      <w:r>
        <w:rPr>
          <w:rFonts w:hint="eastAsia" w:hAnsi="宋体"/>
          <w:b/>
          <w:sz w:val="24"/>
          <w:szCs w:val="24"/>
        </w:rPr>
        <w:t>五、产权担保</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5.1 </w:t>
      </w:r>
      <w:r>
        <w:rPr>
          <w:rFonts w:hint="eastAsia" w:hAnsi="宋体"/>
          <w:sz w:val="24"/>
          <w:szCs w:val="24"/>
        </w:rPr>
        <w:t>乙方保证所交付的货物的所有权完全属于乙方且无任何抵押、查封等产权瑕疵。</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六、履约保证金</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6.1 </w:t>
      </w:r>
      <w:r>
        <w:rPr>
          <w:rFonts w:hint="eastAsia" w:hAnsi="宋体"/>
          <w:sz w:val="24"/>
          <w:szCs w:val="24"/>
        </w:rPr>
        <w:t>乙方交纳人民币</w:t>
      </w:r>
      <w:r>
        <w:rPr>
          <w:rFonts w:hAnsi="宋体"/>
          <w:sz w:val="24"/>
          <w:szCs w:val="24"/>
        </w:rPr>
        <w:t>_____</w:t>
      </w:r>
      <w:r>
        <w:rPr>
          <w:rFonts w:hint="eastAsia" w:hAnsi="宋体"/>
          <w:sz w:val="24"/>
          <w:szCs w:val="24"/>
        </w:rPr>
        <w:t>元作为本合同的履约保证金。</w:t>
      </w:r>
    </w:p>
    <w:p>
      <w:pPr>
        <w:adjustRightInd w:val="0"/>
        <w:snapToGrid w:val="0"/>
        <w:spacing w:before="156" w:beforeLines="50" w:after="156" w:afterLines="50" w:line="360" w:lineRule="auto"/>
        <w:ind w:firstLine="480"/>
        <w:rPr>
          <w:rFonts w:ascii="宋体" w:cs="Courier New"/>
          <w:b/>
          <w:sz w:val="24"/>
        </w:rPr>
      </w:pPr>
      <w:r>
        <w:rPr>
          <w:rFonts w:hint="eastAsia" w:ascii="宋体" w:hAnsi="宋体" w:cs="Courier New"/>
          <w:b/>
          <w:sz w:val="24"/>
        </w:rPr>
        <w:t>七</w:t>
      </w:r>
      <w:r>
        <w:rPr>
          <w:rFonts w:ascii="宋体" w:cs="Courier New"/>
          <w:b/>
          <w:sz w:val="24"/>
        </w:rPr>
        <w:t>.</w:t>
      </w:r>
      <w:r>
        <w:rPr>
          <w:rFonts w:hint="eastAsia" w:ascii="宋体" w:hAnsi="宋体" w:cs="Courier New"/>
          <w:b/>
          <w:sz w:val="24"/>
        </w:rPr>
        <w:t>转包或分包</w:t>
      </w:r>
    </w:p>
    <w:p>
      <w:pPr>
        <w:pStyle w:val="8"/>
        <w:adjustRightInd w:val="0"/>
        <w:snapToGrid w:val="0"/>
        <w:spacing w:before="120" w:after="120" w:line="360" w:lineRule="auto"/>
        <w:ind w:left="48" w:firstLine="658"/>
        <w:rPr>
          <w:rFonts w:hAnsi="宋体"/>
          <w:sz w:val="24"/>
          <w:szCs w:val="24"/>
        </w:rPr>
      </w:pPr>
      <w:r>
        <w:rPr>
          <w:rFonts w:hAnsi="宋体"/>
          <w:sz w:val="24"/>
          <w:szCs w:val="24"/>
        </w:rPr>
        <w:t>7.1</w:t>
      </w:r>
      <w:r>
        <w:rPr>
          <w:rFonts w:hint="eastAsia" w:hAnsi="宋体"/>
          <w:sz w:val="24"/>
          <w:szCs w:val="24"/>
        </w:rPr>
        <w:t>本合同范围的货物，应由乙方直接供应，不得转让他人供应；</w:t>
      </w:r>
    </w:p>
    <w:p>
      <w:pPr>
        <w:pStyle w:val="8"/>
        <w:adjustRightInd w:val="0"/>
        <w:snapToGrid w:val="0"/>
        <w:spacing w:before="120" w:after="120" w:line="360" w:lineRule="auto"/>
        <w:ind w:left="48" w:firstLine="658"/>
        <w:rPr>
          <w:rFonts w:hAnsi="宋体"/>
          <w:sz w:val="24"/>
          <w:szCs w:val="24"/>
        </w:rPr>
      </w:pPr>
      <w:r>
        <w:rPr>
          <w:rFonts w:hAnsi="宋体"/>
          <w:sz w:val="24"/>
          <w:szCs w:val="24"/>
        </w:rPr>
        <w:t>7.2</w:t>
      </w:r>
      <w:r>
        <w:rPr>
          <w:rFonts w:hint="eastAsia" w:hAnsi="宋体"/>
          <w:sz w:val="24"/>
          <w:szCs w:val="24"/>
        </w:rPr>
        <w:t>除非得到甲方的书面同意，乙方不得部分分包给他人供应。</w:t>
      </w:r>
    </w:p>
    <w:p>
      <w:pPr>
        <w:pStyle w:val="8"/>
        <w:adjustRightInd w:val="0"/>
        <w:snapToGrid w:val="0"/>
        <w:spacing w:before="120" w:after="120" w:line="360" w:lineRule="auto"/>
        <w:ind w:left="48" w:firstLine="658"/>
        <w:rPr>
          <w:rFonts w:hAnsi="宋体"/>
          <w:sz w:val="24"/>
          <w:szCs w:val="24"/>
        </w:rPr>
      </w:pPr>
      <w:r>
        <w:rPr>
          <w:rFonts w:hAnsi="宋体"/>
          <w:sz w:val="24"/>
          <w:szCs w:val="24"/>
        </w:rPr>
        <w:t>7.3</w:t>
      </w:r>
      <w:r>
        <w:rPr>
          <w:rFonts w:hint="eastAsia" w:hAnsi="宋体"/>
          <w:sz w:val="24"/>
          <w:szCs w:val="24"/>
        </w:rPr>
        <w:t>如有转让和未经甲方同意的分包行为，甲方有权给予终止合同。</w:t>
      </w:r>
    </w:p>
    <w:p>
      <w:pPr>
        <w:pStyle w:val="8"/>
        <w:adjustRightInd w:val="0"/>
        <w:snapToGrid w:val="0"/>
        <w:spacing w:before="120" w:after="120" w:line="360" w:lineRule="auto"/>
        <w:ind w:firstLine="660"/>
        <w:rPr>
          <w:rFonts w:hAnsi="宋体"/>
          <w:sz w:val="24"/>
          <w:szCs w:val="24"/>
        </w:rPr>
      </w:pPr>
      <w:r>
        <w:rPr>
          <w:rFonts w:hint="eastAsia" w:hAnsi="宋体"/>
          <w:b/>
          <w:sz w:val="24"/>
          <w:szCs w:val="24"/>
        </w:rPr>
        <w:t>八、质保期</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8.1 </w:t>
      </w:r>
      <w:r>
        <w:rPr>
          <w:rFonts w:hint="eastAsia" w:hAnsi="宋体"/>
          <w:sz w:val="24"/>
          <w:szCs w:val="24"/>
        </w:rPr>
        <w:t>质保期1年。（自交货验收合格之日起计）</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九、交货期、交货方式及交货地点</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9.1 </w:t>
      </w:r>
      <w:r>
        <w:rPr>
          <w:rFonts w:hint="eastAsia" w:hAnsi="宋体"/>
          <w:sz w:val="24"/>
          <w:szCs w:val="24"/>
        </w:rPr>
        <w:t>交货期：</w:t>
      </w:r>
      <w:r>
        <w:rPr>
          <w:rFonts w:hAnsi="宋体"/>
          <w:sz w:val="24"/>
          <w:szCs w:val="24"/>
        </w:rPr>
        <w:t>_________</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9.2 </w:t>
      </w:r>
      <w:r>
        <w:rPr>
          <w:rFonts w:hint="eastAsia" w:hAnsi="宋体"/>
          <w:sz w:val="24"/>
          <w:szCs w:val="24"/>
        </w:rPr>
        <w:t>交货方式：</w:t>
      </w:r>
      <w:r>
        <w:rPr>
          <w:rFonts w:hAnsi="宋体"/>
          <w:sz w:val="24"/>
          <w:szCs w:val="24"/>
        </w:rPr>
        <w:t>_________</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9.3 </w:t>
      </w:r>
      <w:r>
        <w:rPr>
          <w:rFonts w:hint="eastAsia" w:hAnsi="宋体"/>
          <w:sz w:val="24"/>
          <w:szCs w:val="24"/>
        </w:rPr>
        <w:t>交货地点：用户单位地点或用户指定地点。</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十、货款支付</w:t>
      </w:r>
    </w:p>
    <w:p>
      <w:pPr>
        <w:pStyle w:val="8"/>
        <w:adjustRightInd w:val="0"/>
        <w:snapToGrid w:val="0"/>
        <w:spacing w:before="120" w:after="120" w:line="360" w:lineRule="auto"/>
        <w:ind w:left="48" w:firstLine="658"/>
        <w:rPr>
          <w:rFonts w:hAnsi="宋体"/>
          <w:sz w:val="24"/>
          <w:szCs w:val="24"/>
        </w:rPr>
      </w:pPr>
      <w:r>
        <w:rPr>
          <w:rFonts w:hAnsi="宋体"/>
          <w:sz w:val="24"/>
          <w:szCs w:val="24"/>
        </w:rPr>
        <w:t>10.1</w:t>
      </w:r>
      <w:r>
        <w:rPr>
          <w:rFonts w:hint="eastAsia" w:hAnsi="宋体"/>
          <w:sz w:val="24"/>
          <w:szCs w:val="24"/>
        </w:rPr>
        <w:t>付款方式：针对国内供应货物，</w:t>
      </w:r>
      <w:r>
        <w:rPr>
          <w:rFonts w:hAnsi="宋体"/>
          <w:sz w:val="24"/>
          <w:szCs w:val="24"/>
        </w:rPr>
        <w:t>中标单位所供设备（或软件、服务）进场安装调试或服务工作完毕，经验收、检测合格后，提供全额税务发票，凭最终签字和盖章的验收合格报告，支付至合同价的95%，余5%作质保金</w:t>
      </w:r>
      <w:r>
        <w:rPr>
          <w:rFonts w:hint="eastAsia" w:hAnsi="宋体"/>
          <w:sz w:val="24"/>
          <w:szCs w:val="24"/>
        </w:rPr>
        <w:t>，质保期满后</w:t>
      </w:r>
      <w:r>
        <w:rPr>
          <w:rFonts w:hAnsi="宋体"/>
          <w:sz w:val="24"/>
          <w:szCs w:val="24"/>
        </w:rPr>
        <w:t>并经有关单位确认无质量问题后，一次性支付完毕。具体内容以最终签署的合同约定为准。</w:t>
      </w:r>
    </w:p>
    <w:p>
      <w:pPr>
        <w:pStyle w:val="8"/>
        <w:adjustRightInd w:val="0"/>
        <w:snapToGrid w:val="0"/>
        <w:spacing w:before="120" w:after="120" w:line="360" w:lineRule="auto"/>
        <w:ind w:left="1" w:firstLine="658"/>
        <w:rPr>
          <w:rFonts w:hAnsi="宋体"/>
          <w:sz w:val="24"/>
          <w:szCs w:val="24"/>
        </w:rPr>
      </w:pPr>
      <w:r>
        <w:rPr>
          <w:rFonts w:hAnsi="宋体"/>
          <w:sz w:val="24"/>
          <w:szCs w:val="24"/>
        </w:rPr>
        <w:t>针对国外供应货物（进口货物），由外贸公司开具全额发票，外贸合同中采用100%信用证，90%见单即付，10%凭最终用户方签字和盖章的验收报告支付。</w:t>
      </w:r>
    </w:p>
    <w:p>
      <w:pPr>
        <w:ind w:firstLine="482" w:firstLineChars="200"/>
        <w:rPr>
          <w:rFonts w:ascii="宋体"/>
          <w:b/>
          <w:sz w:val="24"/>
        </w:rPr>
      </w:pPr>
      <w:r>
        <w:rPr>
          <w:rFonts w:hint="eastAsia" w:ascii="宋体" w:hAnsi="宋体"/>
          <w:b/>
          <w:sz w:val="24"/>
        </w:rPr>
        <w:t>十一、税</w:t>
      </w:r>
    </w:p>
    <w:p>
      <w:pPr>
        <w:pStyle w:val="8"/>
        <w:adjustRightInd w:val="0"/>
        <w:snapToGrid w:val="0"/>
        <w:spacing w:before="120" w:after="120" w:line="360" w:lineRule="auto"/>
        <w:ind w:left="48" w:firstLine="658"/>
        <w:rPr>
          <w:rFonts w:hAnsi="宋体"/>
          <w:sz w:val="24"/>
          <w:szCs w:val="24"/>
        </w:rPr>
      </w:pPr>
      <w:r>
        <w:rPr>
          <w:rFonts w:hAnsi="宋体"/>
          <w:sz w:val="24"/>
          <w:szCs w:val="24"/>
        </w:rPr>
        <w:t>11.1</w:t>
      </w:r>
      <w:r>
        <w:rPr>
          <w:rFonts w:hint="eastAsia" w:hAnsi="宋体"/>
          <w:sz w:val="24"/>
          <w:szCs w:val="24"/>
        </w:rPr>
        <w:t>发票要求：针对国内供货的货物，乙方开具合同全额“增值税专用发票”。</w:t>
      </w:r>
    </w:p>
    <w:p>
      <w:pPr>
        <w:pStyle w:val="8"/>
        <w:adjustRightInd w:val="0"/>
        <w:snapToGrid w:val="0"/>
        <w:spacing w:before="120" w:after="120" w:line="360" w:lineRule="auto"/>
        <w:ind w:left="48" w:firstLine="658"/>
        <w:rPr>
          <w:rFonts w:hAnsi="宋体"/>
          <w:sz w:val="24"/>
          <w:szCs w:val="24"/>
        </w:rPr>
      </w:pPr>
      <w:r>
        <w:rPr>
          <w:rFonts w:hAnsi="宋体"/>
          <w:sz w:val="24"/>
          <w:szCs w:val="24"/>
        </w:rPr>
        <w:t>11.2</w:t>
      </w:r>
      <w:r>
        <w:rPr>
          <w:rFonts w:hint="eastAsia" w:hAnsi="宋体"/>
          <w:sz w:val="24"/>
          <w:szCs w:val="24"/>
        </w:rPr>
        <w:t>本合同执行中相关的一切税费均由乙方负担。</w:t>
      </w:r>
    </w:p>
    <w:p>
      <w:pPr>
        <w:pStyle w:val="8"/>
        <w:adjustRightInd w:val="0"/>
        <w:snapToGrid w:val="0"/>
        <w:spacing w:before="120" w:after="120" w:line="360" w:lineRule="auto"/>
        <w:ind w:left="1" w:firstLine="660"/>
        <w:rPr>
          <w:rFonts w:hAnsi="宋体"/>
          <w:sz w:val="24"/>
          <w:szCs w:val="24"/>
        </w:rPr>
      </w:pPr>
      <w:r>
        <w:rPr>
          <w:rFonts w:hint="eastAsia" w:hAnsi="宋体"/>
          <w:b/>
          <w:sz w:val="24"/>
          <w:szCs w:val="24"/>
        </w:rPr>
        <w:t>十二、质量保证及售后服务</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12.1 </w:t>
      </w:r>
      <w:r>
        <w:rPr>
          <w:rFonts w:hint="eastAsia" w:hAnsi="宋体"/>
          <w:sz w:val="24"/>
          <w:szCs w:val="24"/>
        </w:rPr>
        <w:t>乙方应按采购文件规定的货物性能、技术要求、质量标准向甲方提供未经使用的全新产品。</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12.2 </w:t>
      </w:r>
      <w:r>
        <w:rPr>
          <w:rFonts w:hint="eastAsia" w:hAnsi="宋体"/>
          <w:sz w:val="24"/>
          <w:szCs w:val="24"/>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rPr>
      </w:pPr>
      <w:r>
        <w:rPr>
          <w:rFonts w:hint="eastAsia"/>
          <w:sz w:val="24"/>
        </w:rPr>
        <w:t>（</w:t>
      </w:r>
      <w:r>
        <w:rPr>
          <w:sz w:val="24"/>
        </w:rPr>
        <w:t>1</w:t>
      </w:r>
      <w:r>
        <w:rPr>
          <w:rFonts w:hint="eastAsia"/>
          <w:sz w:val="24"/>
        </w:rPr>
        <w:t>）更换：由乙方承担所发生的全部费用。</w:t>
      </w:r>
    </w:p>
    <w:p>
      <w:pPr>
        <w:adjustRightInd w:val="0"/>
        <w:snapToGrid w:val="0"/>
        <w:spacing w:line="360" w:lineRule="auto"/>
        <w:ind w:firstLine="360" w:firstLineChars="150"/>
        <w:rPr>
          <w:sz w:val="24"/>
        </w:rPr>
      </w:pPr>
      <w:r>
        <w:rPr>
          <w:rFonts w:hint="eastAsia"/>
          <w:sz w:val="24"/>
        </w:rPr>
        <w:t>（</w:t>
      </w:r>
      <w:r>
        <w:rPr>
          <w:sz w:val="24"/>
        </w:rPr>
        <w:t>2</w:t>
      </w:r>
      <w:r>
        <w:rPr>
          <w:rFonts w:hint="eastAsia"/>
          <w:sz w:val="24"/>
        </w:rPr>
        <w:t>）贬值处理：由甲乙双方合议定价。</w:t>
      </w:r>
    </w:p>
    <w:p>
      <w:pPr>
        <w:adjustRightInd w:val="0"/>
        <w:snapToGrid w:val="0"/>
        <w:spacing w:line="360" w:lineRule="auto"/>
        <w:ind w:firstLine="360" w:firstLineChars="150"/>
        <w:rPr>
          <w:sz w:val="24"/>
        </w:rPr>
      </w:pPr>
      <w:r>
        <w:rPr>
          <w:rFonts w:hint="eastAsia"/>
          <w:sz w:val="24"/>
        </w:rPr>
        <w:t>（</w:t>
      </w:r>
      <w:r>
        <w:rPr>
          <w:sz w:val="24"/>
        </w:rPr>
        <w:t>3</w:t>
      </w:r>
      <w:r>
        <w:rPr>
          <w:rFonts w:hint="eastAsia"/>
          <w:sz w:val="24"/>
        </w:rPr>
        <w:t>）退货处理：乙方应退还甲方支付的合同款，同时应承担该货物的直接费用（运输、保险、检验、货款利息及银行手续费等）。</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12.3 </w:t>
      </w:r>
      <w:r>
        <w:rPr>
          <w:rFonts w:hint="eastAsia" w:hAnsi="宋体"/>
          <w:sz w:val="24"/>
          <w:szCs w:val="24"/>
        </w:rPr>
        <w:t>如在使用过程中发生质量问题，乙方在接到甲方通知后在小时内到达甲方现场。</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12.4 </w:t>
      </w:r>
      <w:r>
        <w:rPr>
          <w:rFonts w:hint="eastAsia" w:hAnsi="宋体"/>
          <w:sz w:val="24"/>
          <w:szCs w:val="24"/>
        </w:rPr>
        <w:t>在质保期内，乙方应对货物出现的质量及安全问题负责处理解决并承担一切费用。</w:t>
      </w:r>
    </w:p>
    <w:p>
      <w:pPr>
        <w:pStyle w:val="8"/>
        <w:adjustRightInd w:val="0"/>
        <w:snapToGrid w:val="0"/>
        <w:spacing w:before="120" w:after="120" w:line="360" w:lineRule="auto"/>
        <w:ind w:left="1" w:firstLine="566"/>
        <w:rPr>
          <w:rFonts w:hAnsi="宋体"/>
          <w:sz w:val="24"/>
          <w:szCs w:val="24"/>
        </w:rPr>
      </w:pPr>
      <w:r>
        <w:rPr>
          <w:rFonts w:hAnsi="宋体"/>
          <w:sz w:val="24"/>
          <w:szCs w:val="24"/>
        </w:rPr>
        <w:t>12.5</w:t>
      </w:r>
      <w:r>
        <w:rPr>
          <w:rFonts w:hint="eastAsia" w:hAnsi="宋体"/>
          <w:sz w:val="24"/>
          <w:szCs w:val="24"/>
        </w:rPr>
        <w:t>上述的货物免费保修期为</w:t>
      </w:r>
      <w:r>
        <w:rPr>
          <w:rFonts w:hAnsi="宋体"/>
          <w:sz w:val="24"/>
          <w:szCs w:val="24"/>
        </w:rPr>
        <w:t>________</w:t>
      </w:r>
      <w:r>
        <w:rPr>
          <w:rFonts w:hint="eastAsia" w:hAnsi="宋体"/>
          <w:sz w:val="24"/>
          <w:szCs w:val="24"/>
        </w:rPr>
        <w:t>年，因人为因素出现的故障不在免费保修范围内。超过保修期的机器设备，终生维修，维修时只收部件成本费。</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十三、调试和验收</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13.1 </w:t>
      </w:r>
      <w:r>
        <w:rPr>
          <w:rFonts w:hint="eastAsia" w:hAnsi="宋体"/>
          <w:sz w:val="24"/>
          <w:szCs w:val="24"/>
        </w:rPr>
        <w:t>甲方对乙方提交的货物依据采购文件上的技术规格要求和国家有关质量标准进行现场初步验收，外观、说明书符合采购文件技术要求的，给予签收，初步验收不合格的不予签收。</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13.2 </w:t>
      </w:r>
      <w:r>
        <w:rPr>
          <w:rFonts w:hint="eastAsia" w:hAnsi="宋体"/>
          <w:sz w:val="24"/>
          <w:szCs w:val="24"/>
        </w:rPr>
        <w:t>乙方交货前应对产品作出全面检查和对验收文件进行整理，并列出清单，作为甲方收货验收和使用的技术条件依据，检验的结果应随货物交甲方。</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13.3 </w:t>
      </w:r>
      <w:r>
        <w:rPr>
          <w:rFonts w:hint="eastAsia" w:hAnsi="宋体"/>
          <w:sz w:val="24"/>
          <w:szCs w:val="24"/>
        </w:rPr>
        <w:t>甲方对乙方提供的货物在使用前进行调试时，乙方需负责安装并培训甲方的使用操作人员，并协助甲方一起调试，直到符合技术要求，甲方才做最终验收。</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13.4 </w:t>
      </w:r>
      <w:r>
        <w:rPr>
          <w:rFonts w:hint="eastAsia" w:hAnsi="宋体"/>
          <w:sz w:val="24"/>
          <w:szCs w:val="24"/>
        </w:rPr>
        <w:t>对技术复杂的货物，甲方可请国家认可的专业检测机构参与初步验收及最终验收，并由其出具质量检测报告。</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13.5 </w:t>
      </w:r>
      <w:r>
        <w:rPr>
          <w:rFonts w:hint="eastAsia" w:hAnsi="宋体"/>
          <w:sz w:val="24"/>
          <w:szCs w:val="24"/>
        </w:rPr>
        <w:t>验收时乙方必须在现场，验收完毕后作出验收结果报告，验收报告须经甲方最终用户签字和部门盖章。</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十四、货物包装、发运及运输</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14.1 </w:t>
      </w:r>
      <w:r>
        <w:rPr>
          <w:rFonts w:hint="eastAsia" w:hAnsi="宋体"/>
          <w:sz w:val="24"/>
          <w:szCs w:val="24"/>
        </w:rPr>
        <w:t>乙方应在货物发运前对其进行满足运输距离、防潮、防震、防锈和防破损装卸等要求包装，以保证货物安全运达甲方指定地点。</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14.2 </w:t>
      </w:r>
      <w:r>
        <w:rPr>
          <w:rFonts w:hint="eastAsia" w:hAnsi="宋体"/>
          <w:sz w:val="24"/>
          <w:szCs w:val="24"/>
        </w:rPr>
        <w:t>使用说明书、质量检验证明书、随配附件和工具以及清单一并附于货物内。</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14.3 </w:t>
      </w:r>
      <w:r>
        <w:rPr>
          <w:rFonts w:hint="eastAsia" w:hAnsi="宋体"/>
          <w:sz w:val="24"/>
          <w:szCs w:val="24"/>
        </w:rPr>
        <w:t>乙方在货物发运手续办理完毕后</w:t>
      </w:r>
      <w:r>
        <w:rPr>
          <w:rFonts w:hAnsi="宋体"/>
          <w:sz w:val="24"/>
          <w:szCs w:val="24"/>
        </w:rPr>
        <w:t>24</w:t>
      </w:r>
      <w:r>
        <w:rPr>
          <w:rFonts w:hint="eastAsia" w:hAnsi="宋体"/>
          <w:sz w:val="24"/>
          <w:szCs w:val="24"/>
        </w:rPr>
        <w:t>小时内或货到甲方</w:t>
      </w:r>
      <w:r>
        <w:rPr>
          <w:rFonts w:hAnsi="宋体"/>
          <w:sz w:val="24"/>
          <w:szCs w:val="24"/>
        </w:rPr>
        <w:t>48</w:t>
      </w:r>
      <w:r>
        <w:rPr>
          <w:rFonts w:hint="eastAsia" w:hAnsi="宋体"/>
          <w:sz w:val="24"/>
          <w:szCs w:val="24"/>
        </w:rPr>
        <w:t>小时前通知甲方，以准备接货。</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14.4 </w:t>
      </w:r>
      <w:r>
        <w:rPr>
          <w:rFonts w:hint="eastAsia" w:hAnsi="宋体"/>
          <w:sz w:val="24"/>
          <w:szCs w:val="24"/>
        </w:rPr>
        <w:t>货物在交付甲方前发生的风险均由乙方负责。</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14.5 </w:t>
      </w:r>
      <w:r>
        <w:rPr>
          <w:rFonts w:hint="eastAsia" w:hAnsi="宋体"/>
          <w:sz w:val="24"/>
          <w:szCs w:val="24"/>
        </w:rPr>
        <w:t>货物在规定的交付期限内由乙方送达甲方指定的地点视为交付，乙方同时需通知甲方货物已送达。</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十五、违约责任</w:t>
      </w:r>
    </w:p>
    <w:p>
      <w:pPr>
        <w:pStyle w:val="8"/>
        <w:adjustRightInd w:val="0"/>
        <w:snapToGrid w:val="0"/>
        <w:spacing w:before="120" w:after="120" w:line="360" w:lineRule="auto"/>
        <w:ind w:left="1" w:firstLine="658"/>
        <w:rPr>
          <w:rFonts w:hAnsi="宋体"/>
          <w:sz w:val="24"/>
          <w:szCs w:val="24"/>
        </w:rPr>
      </w:pPr>
      <w:r>
        <w:rPr>
          <w:rFonts w:hAnsi="宋体"/>
          <w:sz w:val="24"/>
          <w:szCs w:val="24"/>
        </w:rPr>
        <w:t>15.1</w:t>
      </w:r>
      <w:r>
        <w:rPr>
          <w:rFonts w:hint="eastAsia" w:hAnsi="宋体"/>
          <w:sz w:val="24"/>
          <w:szCs w:val="24"/>
        </w:rPr>
        <w:t>乙方逾期交付货物的，乙方应按逾期交货总额每日千分之六向甲方支付违约金，由甲方从待付货款中扣除。逾期超过约定日期</w:t>
      </w:r>
      <w:r>
        <w:rPr>
          <w:rFonts w:hAnsi="宋体"/>
          <w:sz w:val="24"/>
          <w:szCs w:val="24"/>
        </w:rPr>
        <w:t>10</w:t>
      </w:r>
      <w:r>
        <w:rPr>
          <w:rFonts w:hint="eastAsia" w:hAnsi="宋体"/>
          <w:sz w:val="24"/>
          <w:szCs w:val="24"/>
        </w:rPr>
        <w:t>个工作日不能交货的，甲方可解除本合同。乙方因逾期交货或因其他违约行为导致甲方解除合同的，乙方应向甲方支付合同总值</w:t>
      </w:r>
      <w:r>
        <w:rPr>
          <w:rFonts w:hAnsi="宋体"/>
          <w:sz w:val="24"/>
          <w:szCs w:val="24"/>
        </w:rPr>
        <w:t>5%</w:t>
      </w:r>
      <w:r>
        <w:rPr>
          <w:rFonts w:hint="eastAsia" w:hAnsi="宋体"/>
          <w:sz w:val="24"/>
          <w:szCs w:val="24"/>
        </w:rPr>
        <w:t>的违约金，如造成甲方损失超过违约金的，超出部分由乙方继续承担赔偿责任。</w:t>
      </w:r>
    </w:p>
    <w:p>
      <w:pPr>
        <w:pStyle w:val="8"/>
        <w:adjustRightInd w:val="0"/>
        <w:snapToGrid w:val="0"/>
        <w:spacing w:before="120" w:after="120" w:line="360" w:lineRule="auto"/>
        <w:ind w:firstLine="658"/>
        <w:rPr>
          <w:rFonts w:hAnsi="宋体"/>
          <w:sz w:val="24"/>
          <w:szCs w:val="24"/>
        </w:rPr>
      </w:pPr>
      <w:r>
        <w:rPr>
          <w:rFonts w:hAnsi="宋体"/>
          <w:sz w:val="24"/>
          <w:szCs w:val="24"/>
        </w:rPr>
        <w:t>15.2</w:t>
      </w:r>
      <w:r>
        <w:rPr>
          <w:rFonts w:hint="eastAsia" w:hAnsi="宋体"/>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十六、廉政条款</w:t>
      </w:r>
    </w:p>
    <w:p>
      <w:pPr>
        <w:pStyle w:val="8"/>
        <w:adjustRightInd w:val="0"/>
        <w:snapToGrid w:val="0"/>
        <w:spacing w:before="120" w:after="120" w:line="360" w:lineRule="auto"/>
        <w:ind w:left="1" w:firstLine="658"/>
        <w:rPr>
          <w:rFonts w:hAnsi="宋体"/>
          <w:sz w:val="24"/>
          <w:szCs w:val="24"/>
        </w:rPr>
      </w:pPr>
      <w:r>
        <w:rPr>
          <w:rFonts w:hAnsi="宋体"/>
          <w:sz w:val="24"/>
          <w:szCs w:val="24"/>
        </w:rPr>
        <w:t>16.1</w:t>
      </w:r>
      <w:r>
        <w:rPr>
          <w:rFonts w:hint="eastAsia" w:hAnsi="宋体"/>
          <w:sz w:val="24"/>
          <w:szCs w:val="24"/>
        </w:rPr>
        <w:t>乙方必须支持甲方的廉政建设，不得向甲方相关人员提供金钱和物质上的好处，一经发现处以合同金额</w:t>
      </w:r>
      <w:r>
        <w:rPr>
          <w:rFonts w:hAnsi="宋体"/>
          <w:sz w:val="24"/>
          <w:szCs w:val="24"/>
        </w:rPr>
        <w:t>20%</w:t>
      </w:r>
      <w:r>
        <w:rPr>
          <w:rFonts w:hint="eastAsia" w:hAnsi="宋体"/>
          <w:sz w:val="24"/>
          <w:szCs w:val="24"/>
        </w:rPr>
        <w:t>的罚款。</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十七、不可抗力事件处理</w:t>
      </w:r>
    </w:p>
    <w:p>
      <w:pPr>
        <w:pStyle w:val="8"/>
        <w:adjustRightInd w:val="0"/>
        <w:snapToGrid w:val="0"/>
        <w:spacing w:before="120" w:after="120" w:line="360" w:lineRule="auto"/>
        <w:ind w:left="1" w:firstLine="658"/>
        <w:rPr>
          <w:rFonts w:hAnsi="宋体"/>
          <w:sz w:val="24"/>
          <w:szCs w:val="24"/>
        </w:rPr>
      </w:pPr>
      <w:r>
        <w:rPr>
          <w:rFonts w:hAnsi="宋体"/>
          <w:sz w:val="24"/>
          <w:szCs w:val="24"/>
        </w:rPr>
        <w:t xml:space="preserve">17.1 </w:t>
      </w:r>
      <w:r>
        <w:rPr>
          <w:rFonts w:hint="eastAsia" w:hAnsi="宋体"/>
          <w:sz w:val="24"/>
          <w:szCs w:val="24"/>
        </w:rPr>
        <w:t>在合同有效期内，任何一方因不可抗力事件导致不能履行合同，则合同履行期可延长，其延长期与不可抗力影响期相同。</w:t>
      </w:r>
    </w:p>
    <w:p>
      <w:pPr>
        <w:pStyle w:val="8"/>
        <w:adjustRightInd w:val="0"/>
        <w:snapToGrid w:val="0"/>
        <w:spacing w:before="120" w:after="120" w:line="360" w:lineRule="auto"/>
        <w:ind w:firstLine="658"/>
        <w:rPr>
          <w:rFonts w:hAnsi="宋体"/>
          <w:sz w:val="24"/>
          <w:szCs w:val="24"/>
        </w:rPr>
      </w:pPr>
      <w:r>
        <w:rPr>
          <w:rFonts w:hAnsi="宋体"/>
          <w:sz w:val="24"/>
          <w:szCs w:val="24"/>
        </w:rPr>
        <w:t xml:space="preserve">17.2 </w:t>
      </w:r>
      <w:r>
        <w:rPr>
          <w:rFonts w:hint="eastAsia" w:hAnsi="宋体"/>
          <w:sz w:val="24"/>
          <w:szCs w:val="24"/>
        </w:rPr>
        <w:t>不可抗力事件发生后，应立即通知对方，并寄送有关权威机构出具的证明。</w:t>
      </w:r>
    </w:p>
    <w:p>
      <w:pPr>
        <w:pStyle w:val="8"/>
        <w:adjustRightInd w:val="0"/>
        <w:snapToGrid w:val="0"/>
        <w:spacing w:before="120" w:after="120" w:line="360" w:lineRule="auto"/>
        <w:ind w:firstLine="658"/>
        <w:rPr>
          <w:rFonts w:hAnsi="宋体"/>
          <w:sz w:val="24"/>
          <w:szCs w:val="24"/>
        </w:rPr>
      </w:pPr>
      <w:r>
        <w:rPr>
          <w:rFonts w:hAnsi="宋体"/>
          <w:sz w:val="24"/>
          <w:szCs w:val="24"/>
        </w:rPr>
        <w:t xml:space="preserve">17.3 </w:t>
      </w:r>
      <w:r>
        <w:rPr>
          <w:rFonts w:hint="eastAsia" w:hAnsi="宋体"/>
          <w:sz w:val="24"/>
          <w:szCs w:val="24"/>
        </w:rPr>
        <w:t>不可抗力事件延续</w:t>
      </w:r>
      <w:r>
        <w:rPr>
          <w:rFonts w:hAnsi="宋体"/>
          <w:sz w:val="24"/>
          <w:szCs w:val="24"/>
        </w:rPr>
        <w:t>30</w:t>
      </w:r>
      <w:r>
        <w:rPr>
          <w:rFonts w:hint="eastAsia" w:hAnsi="宋体"/>
          <w:sz w:val="24"/>
          <w:szCs w:val="24"/>
        </w:rPr>
        <w:t>天以上，双方应通过友好协商，确定是否继续履行合同。</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十八、诉讼</w:t>
      </w:r>
    </w:p>
    <w:p>
      <w:pPr>
        <w:pStyle w:val="8"/>
        <w:adjustRightInd w:val="0"/>
        <w:snapToGrid w:val="0"/>
        <w:spacing w:before="120" w:after="120" w:line="360" w:lineRule="auto"/>
        <w:ind w:left="1" w:firstLine="658"/>
        <w:rPr>
          <w:rFonts w:hAnsi="宋体"/>
          <w:sz w:val="24"/>
          <w:szCs w:val="24"/>
        </w:rPr>
      </w:pPr>
      <w:r>
        <w:rPr>
          <w:rFonts w:hAnsi="宋体"/>
          <w:sz w:val="24"/>
          <w:szCs w:val="24"/>
        </w:rPr>
        <w:t xml:space="preserve">18.1 </w:t>
      </w:r>
      <w:r>
        <w:rPr>
          <w:rFonts w:hint="eastAsia" w:hAnsi="宋体"/>
          <w:sz w:val="24"/>
          <w:szCs w:val="24"/>
        </w:rPr>
        <w:t>双方在执行合同中所发生的一切争议，应通过协商解决。如协商不成，可向合同签订地法院起诉，合同签订地在此约定为南京市。</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十九、合同生效及其它</w:t>
      </w:r>
    </w:p>
    <w:p>
      <w:pPr>
        <w:pStyle w:val="8"/>
        <w:adjustRightInd w:val="0"/>
        <w:snapToGrid w:val="0"/>
        <w:spacing w:before="120" w:after="120" w:line="360" w:lineRule="auto"/>
        <w:ind w:firstLine="658"/>
        <w:rPr>
          <w:rFonts w:hAnsi="宋体"/>
          <w:sz w:val="24"/>
          <w:szCs w:val="24"/>
        </w:rPr>
      </w:pPr>
      <w:r>
        <w:rPr>
          <w:rFonts w:hAnsi="宋体"/>
          <w:sz w:val="24"/>
          <w:szCs w:val="24"/>
        </w:rPr>
        <w:t xml:space="preserve">19.1 </w:t>
      </w:r>
      <w:r>
        <w:rPr>
          <w:rFonts w:hint="eastAsia" w:hAnsi="宋体"/>
          <w:sz w:val="24"/>
          <w:szCs w:val="24"/>
        </w:rPr>
        <w:t>合同经双方法定代表人或授权委托代表人签字并加盖单位公章后生效。</w:t>
      </w:r>
    </w:p>
    <w:p>
      <w:pPr>
        <w:pStyle w:val="8"/>
        <w:adjustRightInd w:val="0"/>
        <w:snapToGrid w:val="0"/>
        <w:spacing w:before="120" w:after="120" w:line="360" w:lineRule="auto"/>
        <w:ind w:firstLine="658"/>
        <w:rPr>
          <w:rFonts w:hAnsi="宋体"/>
          <w:sz w:val="24"/>
          <w:szCs w:val="24"/>
        </w:rPr>
      </w:pPr>
      <w:r>
        <w:rPr>
          <w:rFonts w:hAnsi="宋体"/>
          <w:sz w:val="24"/>
          <w:szCs w:val="24"/>
        </w:rPr>
        <w:t>19.2</w:t>
      </w:r>
      <w:r>
        <w:rPr>
          <w:rFonts w:hint="eastAsia" w:hAnsi="宋体"/>
          <w:sz w:val="24"/>
          <w:szCs w:val="24"/>
        </w:rPr>
        <w:t>本合同未尽事宜，遵照《合同法》有关条文执行。</w:t>
      </w:r>
    </w:p>
    <w:p>
      <w:pPr>
        <w:pStyle w:val="8"/>
        <w:adjustRightInd w:val="0"/>
        <w:snapToGrid w:val="0"/>
        <w:spacing w:before="120" w:after="120" w:line="360" w:lineRule="auto"/>
        <w:ind w:left="1" w:firstLine="658"/>
        <w:rPr>
          <w:rFonts w:hAnsi="宋体"/>
          <w:sz w:val="24"/>
          <w:szCs w:val="24"/>
        </w:rPr>
      </w:pPr>
      <w:r>
        <w:rPr>
          <w:rFonts w:hAnsi="宋体"/>
          <w:sz w:val="24"/>
          <w:szCs w:val="24"/>
        </w:rPr>
        <w:t xml:space="preserve">19.3 </w:t>
      </w:r>
      <w:r>
        <w:rPr>
          <w:rFonts w:hint="eastAsia" w:hAnsi="宋体"/>
          <w:sz w:val="24"/>
          <w:szCs w:val="24"/>
        </w:rPr>
        <w:t>本合同正本一式四份，具有同等法律效力，甲方、乙方各执两份。</w:t>
      </w:r>
    </w:p>
    <w:p>
      <w:pPr>
        <w:pStyle w:val="8"/>
        <w:adjustRightInd w:val="0"/>
        <w:snapToGrid w:val="0"/>
        <w:spacing w:before="120" w:after="120" w:line="360" w:lineRule="auto"/>
        <w:ind w:left="420" w:leftChars="200" w:firstLine="240" w:firstLineChars="100"/>
        <w:rPr>
          <w:rFonts w:hAnsi="宋体"/>
          <w:sz w:val="24"/>
          <w:szCs w:val="24"/>
        </w:rPr>
      </w:pPr>
      <w:r>
        <w:rPr>
          <w:rFonts w:hint="eastAsia" w:hAnsi="宋体"/>
          <w:sz w:val="24"/>
          <w:szCs w:val="24"/>
        </w:rPr>
        <w:t>甲方：乙方：</w:t>
      </w:r>
    </w:p>
    <w:p>
      <w:pPr>
        <w:pStyle w:val="8"/>
        <w:adjustRightInd w:val="0"/>
        <w:snapToGrid w:val="0"/>
        <w:spacing w:before="120" w:after="120" w:line="360" w:lineRule="auto"/>
        <w:ind w:firstLine="658"/>
        <w:rPr>
          <w:rFonts w:hAnsi="宋体"/>
          <w:sz w:val="24"/>
          <w:szCs w:val="24"/>
        </w:rPr>
      </w:pPr>
      <w:r>
        <w:rPr>
          <w:rFonts w:hint="eastAsia" w:hAnsi="宋体"/>
          <w:sz w:val="24"/>
          <w:szCs w:val="24"/>
        </w:rPr>
        <w:t>地址：地址：</w:t>
      </w:r>
    </w:p>
    <w:p>
      <w:pPr>
        <w:pStyle w:val="8"/>
        <w:adjustRightInd w:val="0"/>
        <w:snapToGrid w:val="0"/>
        <w:spacing w:before="120" w:after="120" w:line="360" w:lineRule="auto"/>
        <w:ind w:firstLine="658"/>
        <w:rPr>
          <w:rFonts w:hAnsi="宋体"/>
          <w:sz w:val="24"/>
          <w:szCs w:val="24"/>
        </w:rPr>
      </w:pPr>
      <w:r>
        <w:rPr>
          <w:rFonts w:hint="eastAsia" w:hAnsi="宋体"/>
          <w:sz w:val="24"/>
          <w:szCs w:val="24"/>
        </w:rPr>
        <w:t>法定代表人或授权代表：</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项目负责人</w:t>
      </w:r>
      <w:r>
        <w:rPr>
          <w:rFonts w:hAnsi="宋体"/>
          <w:sz w:val="24"/>
          <w:szCs w:val="24"/>
        </w:rPr>
        <w:t xml:space="preserve">:                              </w:t>
      </w:r>
      <w:r>
        <w:rPr>
          <w:rFonts w:hint="eastAsia" w:hAnsi="宋体"/>
          <w:sz w:val="24"/>
          <w:szCs w:val="24"/>
        </w:rPr>
        <w:t>法定代表人或授权代表：</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项目联系人</w:t>
      </w:r>
      <w:r>
        <w:rPr>
          <w:rFonts w:hAnsi="宋体"/>
          <w:sz w:val="24"/>
          <w:szCs w:val="24"/>
        </w:rPr>
        <w:t>:</w:t>
      </w:r>
    </w:p>
    <w:p>
      <w:pPr>
        <w:pStyle w:val="8"/>
        <w:adjustRightInd w:val="0"/>
        <w:snapToGrid w:val="0"/>
        <w:spacing w:before="120" w:after="120" w:line="360" w:lineRule="auto"/>
        <w:ind w:firstLine="658"/>
        <w:rPr>
          <w:rFonts w:hAnsi="宋体"/>
          <w:sz w:val="24"/>
          <w:szCs w:val="24"/>
        </w:rPr>
      </w:pPr>
      <w:r>
        <w:rPr>
          <w:rFonts w:hint="eastAsia" w:hAnsi="宋体"/>
          <w:sz w:val="24"/>
          <w:szCs w:val="24"/>
        </w:rPr>
        <w:t>联系电话：联系电话：</w:t>
      </w:r>
    </w:p>
    <w:p>
      <w:pPr>
        <w:pStyle w:val="8"/>
        <w:adjustRightInd w:val="0"/>
        <w:snapToGrid w:val="0"/>
        <w:spacing w:before="120" w:after="120" w:line="360" w:lineRule="auto"/>
        <w:ind w:firstLine="767"/>
        <w:rPr>
          <w:rFonts w:cs="仿宋"/>
          <w:sz w:val="24"/>
        </w:rPr>
      </w:pPr>
      <w:r>
        <w:rPr>
          <w:rFonts w:hint="eastAsia"/>
          <w:sz w:val="28"/>
          <w:szCs w:val="28"/>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b/>
      </w:rPr>
      <w:fldChar w:fldCharType="begin"/>
    </w:r>
    <w:r>
      <w:rPr>
        <w:b/>
      </w:rPr>
      <w:instrText xml:space="preserve">PAGE  \* Arabic  \* MERGEFORMAT</w:instrText>
    </w:r>
    <w:r>
      <w:rPr>
        <w:b/>
      </w:rPr>
      <w:fldChar w:fldCharType="separate"/>
    </w:r>
    <w:r>
      <w:rPr>
        <w:b/>
        <w:lang w:val="zh-CN"/>
      </w:rPr>
      <w:t>13</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23</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cs="宋体"/>
        <w:b/>
        <w:bCs/>
        <w:kern w:val="0"/>
        <w:sz w:val="15"/>
        <w:szCs w:val="15"/>
      </w:rPr>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F42"/>
    <w:rsid w:val="0009140A"/>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62D8"/>
    <w:rsid w:val="000E794A"/>
    <w:rsid w:val="000E7B1F"/>
    <w:rsid w:val="000E7E73"/>
    <w:rsid w:val="000F07E6"/>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1FB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5622"/>
    <w:rsid w:val="00507394"/>
    <w:rsid w:val="00507451"/>
    <w:rsid w:val="0051169E"/>
    <w:rsid w:val="005119C9"/>
    <w:rsid w:val="00511A0E"/>
    <w:rsid w:val="005143CD"/>
    <w:rsid w:val="00514476"/>
    <w:rsid w:val="00514BA0"/>
    <w:rsid w:val="0051635A"/>
    <w:rsid w:val="00517953"/>
    <w:rsid w:val="00520E29"/>
    <w:rsid w:val="0052262E"/>
    <w:rsid w:val="00522BF5"/>
    <w:rsid w:val="00522C1C"/>
    <w:rsid w:val="00523679"/>
    <w:rsid w:val="0053025C"/>
    <w:rsid w:val="00531000"/>
    <w:rsid w:val="0053114F"/>
    <w:rsid w:val="00533F15"/>
    <w:rsid w:val="00537018"/>
    <w:rsid w:val="00540A3F"/>
    <w:rsid w:val="00541B97"/>
    <w:rsid w:val="00544BF1"/>
    <w:rsid w:val="00545F0F"/>
    <w:rsid w:val="00546198"/>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723F"/>
    <w:rsid w:val="009B2876"/>
    <w:rsid w:val="009B3202"/>
    <w:rsid w:val="009B4732"/>
    <w:rsid w:val="009B5355"/>
    <w:rsid w:val="009B5A13"/>
    <w:rsid w:val="009B5D2C"/>
    <w:rsid w:val="009B5E85"/>
    <w:rsid w:val="009B7C1E"/>
    <w:rsid w:val="009B7FB8"/>
    <w:rsid w:val="009C018C"/>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4C2B"/>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FA"/>
    <w:rsid w:val="00B9722B"/>
    <w:rsid w:val="00B972CE"/>
    <w:rsid w:val="00BA0166"/>
    <w:rsid w:val="00BA1570"/>
    <w:rsid w:val="00BA2BDC"/>
    <w:rsid w:val="00BA3F55"/>
    <w:rsid w:val="00BA4270"/>
    <w:rsid w:val="00BA508D"/>
    <w:rsid w:val="00BA524D"/>
    <w:rsid w:val="00BB0F3A"/>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074B"/>
    <w:rsid w:val="00E617B0"/>
    <w:rsid w:val="00E6205C"/>
    <w:rsid w:val="00E6252B"/>
    <w:rsid w:val="00E64653"/>
    <w:rsid w:val="00E65BBF"/>
    <w:rsid w:val="00E65EDF"/>
    <w:rsid w:val="00E66246"/>
    <w:rsid w:val="00E66729"/>
    <w:rsid w:val="00E67A36"/>
    <w:rsid w:val="00E71A92"/>
    <w:rsid w:val="00E71C71"/>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1ED4"/>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367"/>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1C99"/>
    <w:rsid w:val="00FE2591"/>
    <w:rsid w:val="00FE2F3E"/>
    <w:rsid w:val="00FE307B"/>
    <w:rsid w:val="00FE353A"/>
    <w:rsid w:val="00FE4EBA"/>
    <w:rsid w:val="00FE53A8"/>
    <w:rsid w:val="00FE55B9"/>
    <w:rsid w:val="00FE5B68"/>
    <w:rsid w:val="00FE5C60"/>
    <w:rsid w:val="00FE7480"/>
    <w:rsid w:val="00FF0C63"/>
    <w:rsid w:val="00FF0EC6"/>
    <w:rsid w:val="00FF1DAB"/>
    <w:rsid w:val="00FF394A"/>
    <w:rsid w:val="00FF3DF8"/>
    <w:rsid w:val="036231EB"/>
    <w:rsid w:val="05B517B2"/>
    <w:rsid w:val="06B15EB0"/>
    <w:rsid w:val="08410B14"/>
    <w:rsid w:val="0A7D6568"/>
    <w:rsid w:val="0C4861BD"/>
    <w:rsid w:val="0CBF09A0"/>
    <w:rsid w:val="0EFA57AA"/>
    <w:rsid w:val="10F05838"/>
    <w:rsid w:val="117903B3"/>
    <w:rsid w:val="12162C3B"/>
    <w:rsid w:val="130F1D58"/>
    <w:rsid w:val="14896182"/>
    <w:rsid w:val="155010AB"/>
    <w:rsid w:val="19324D65"/>
    <w:rsid w:val="1AC933E0"/>
    <w:rsid w:val="1C4A137C"/>
    <w:rsid w:val="1C86389A"/>
    <w:rsid w:val="1D21745D"/>
    <w:rsid w:val="1F62681D"/>
    <w:rsid w:val="243943F8"/>
    <w:rsid w:val="24E05430"/>
    <w:rsid w:val="27AD7C03"/>
    <w:rsid w:val="2B4352B3"/>
    <w:rsid w:val="2C7439DC"/>
    <w:rsid w:val="2CE81BAF"/>
    <w:rsid w:val="2D7E07E9"/>
    <w:rsid w:val="3172033E"/>
    <w:rsid w:val="3227588C"/>
    <w:rsid w:val="326E53A7"/>
    <w:rsid w:val="33D53C16"/>
    <w:rsid w:val="351529A9"/>
    <w:rsid w:val="360A24B6"/>
    <w:rsid w:val="37984904"/>
    <w:rsid w:val="37FB5AE8"/>
    <w:rsid w:val="38F33167"/>
    <w:rsid w:val="39171745"/>
    <w:rsid w:val="3C70366C"/>
    <w:rsid w:val="3C8E6F2D"/>
    <w:rsid w:val="3C951D72"/>
    <w:rsid w:val="3DC03AA6"/>
    <w:rsid w:val="42643A73"/>
    <w:rsid w:val="42AA1012"/>
    <w:rsid w:val="44DC7F4B"/>
    <w:rsid w:val="466E7C1B"/>
    <w:rsid w:val="46AA377D"/>
    <w:rsid w:val="46D451CF"/>
    <w:rsid w:val="498F73EC"/>
    <w:rsid w:val="4A4B48E3"/>
    <w:rsid w:val="4C047EC4"/>
    <w:rsid w:val="4D5D4DD2"/>
    <w:rsid w:val="4FD3334B"/>
    <w:rsid w:val="505F461B"/>
    <w:rsid w:val="53BB7D6D"/>
    <w:rsid w:val="54B6223B"/>
    <w:rsid w:val="54B81ECB"/>
    <w:rsid w:val="54E15A0F"/>
    <w:rsid w:val="552F4969"/>
    <w:rsid w:val="58D95E59"/>
    <w:rsid w:val="5C0F2072"/>
    <w:rsid w:val="5C690DD7"/>
    <w:rsid w:val="5D182C22"/>
    <w:rsid w:val="5D8E2354"/>
    <w:rsid w:val="5E6C25B6"/>
    <w:rsid w:val="60201104"/>
    <w:rsid w:val="6233128F"/>
    <w:rsid w:val="63D7368B"/>
    <w:rsid w:val="69E27B06"/>
    <w:rsid w:val="6AB76CFB"/>
    <w:rsid w:val="6B360F8C"/>
    <w:rsid w:val="6BC1702A"/>
    <w:rsid w:val="6DE86594"/>
    <w:rsid w:val="6EBC6F95"/>
    <w:rsid w:val="75BE6EB5"/>
    <w:rsid w:val="76270CF4"/>
    <w:rsid w:val="7668316D"/>
    <w:rsid w:val="76CD5912"/>
    <w:rsid w:val="77102367"/>
    <w:rsid w:val="78E84D5C"/>
    <w:rsid w:val="79190309"/>
    <w:rsid w:val="7AE40810"/>
    <w:rsid w:val="7BBB6C68"/>
    <w:rsid w:val="7C05437F"/>
    <w:rsid w:val="7C574749"/>
    <w:rsid w:val="7C8E2CF6"/>
    <w:rsid w:val="7CD015B7"/>
    <w:rsid w:val="7EEF6C2A"/>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9"/>
    <w:pPr>
      <w:keepNext/>
      <w:keepLines/>
      <w:spacing w:before="340" w:after="330" w:line="578" w:lineRule="auto"/>
      <w:outlineLvl w:val="0"/>
    </w:pPr>
    <w:rPr>
      <w:b/>
      <w:kern w:val="44"/>
      <w:sz w:val="44"/>
      <w:szCs w:val="20"/>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4">
    <w:name w:val="annotation text"/>
    <w:basedOn w:val="1"/>
    <w:link w:val="23"/>
    <w:qFormat/>
    <w:uiPriority w:val="99"/>
    <w:pPr>
      <w:jc w:val="left"/>
    </w:pPr>
    <w:rPr>
      <w:sz w:val="24"/>
      <w:szCs w:val="20"/>
    </w:rPr>
  </w:style>
  <w:style w:type="paragraph" w:styleId="5">
    <w:name w:val="Body Text"/>
    <w:basedOn w:val="1"/>
    <w:link w:val="42"/>
    <w:unhideWhenUsed/>
    <w:qFormat/>
    <w:locked/>
    <w:uiPriority w:val="99"/>
    <w:pPr>
      <w:spacing w:after="120"/>
    </w:pPr>
  </w:style>
  <w:style w:type="paragraph" w:styleId="6">
    <w:name w:val="Body Text Indent"/>
    <w:basedOn w:val="1"/>
    <w:link w:val="24"/>
    <w:qFormat/>
    <w:uiPriority w:val="99"/>
    <w:pPr>
      <w:ind w:firstLine="575" w:firstLineChars="274"/>
    </w:pPr>
    <w:rPr>
      <w:rFonts w:ascii="等线" w:eastAsia="等线"/>
      <w:sz w:val="22"/>
      <w:szCs w:val="20"/>
    </w:rPr>
  </w:style>
  <w:style w:type="paragraph" w:styleId="7">
    <w:name w:val="index 4"/>
    <w:basedOn w:val="1"/>
    <w:next w:val="1"/>
    <w:qFormat/>
    <w:uiPriority w:val="99"/>
    <w:pPr>
      <w:ind w:left="600" w:leftChars="600"/>
    </w:pPr>
    <w:rPr>
      <w:rFonts w:ascii="Verdana" w:hAnsi="Verdana"/>
    </w:rPr>
  </w:style>
  <w:style w:type="paragraph" w:styleId="8">
    <w:name w:val="Plain Text"/>
    <w:basedOn w:val="1"/>
    <w:link w:val="25"/>
    <w:qFormat/>
    <w:uiPriority w:val="0"/>
    <w:rPr>
      <w:rFonts w:ascii="宋体" w:hAnsi="Courier New"/>
      <w:szCs w:val="20"/>
    </w:rPr>
  </w:style>
  <w:style w:type="paragraph" w:styleId="9">
    <w:name w:val="Date"/>
    <w:basedOn w:val="1"/>
    <w:next w:val="1"/>
    <w:link w:val="26"/>
    <w:qFormat/>
    <w:uiPriority w:val="99"/>
    <w:pPr>
      <w:ind w:left="100" w:leftChars="2500"/>
    </w:pPr>
    <w:rPr>
      <w:sz w:val="24"/>
      <w:szCs w:val="20"/>
    </w:rPr>
  </w:style>
  <w:style w:type="paragraph" w:styleId="10">
    <w:name w:val="Balloon Text"/>
    <w:basedOn w:val="1"/>
    <w:link w:val="27"/>
    <w:semiHidden/>
    <w:qFormat/>
    <w:uiPriority w:val="99"/>
    <w:rPr>
      <w:kern w:val="0"/>
      <w:sz w:val="2"/>
      <w:szCs w:val="20"/>
    </w:rPr>
  </w:style>
  <w:style w:type="paragraph" w:styleId="11">
    <w:name w:val="footer"/>
    <w:basedOn w:val="1"/>
    <w:link w:val="28"/>
    <w:qFormat/>
    <w:uiPriority w:val="99"/>
    <w:pPr>
      <w:tabs>
        <w:tab w:val="center" w:pos="4153"/>
        <w:tab w:val="right" w:pos="8306"/>
      </w:tabs>
      <w:snapToGrid w:val="0"/>
      <w:jc w:val="left"/>
    </w:pPr>
    <w:rPr>
      <w:kern w:val="0"/>
      <w:sz w:val="18"/>
      <w:szCs w:val="18"/>
    </w:rPr>
  </w:style>
  <w:style w:type="paragraph" w:styleId="12">
    <w:name w:val="header"/>
    <w:basedOn w:val="1"/>
    <w:link w:val="29"/>
    <w:qFormat/>
    <w:uiPriority w:val="99"/>
    <w:pPr>
      <w:pBdr>
        <w:bottom w:val="single" w:color="auto" w:sz="6" w:space="1"/>
      </w:pBdr>
      <w:tabs>
        <w:tab w:val="center" w:pos="4153"/>
        <w:tab w:val="right" w:pos="8306"/>
      </w:tabs>
      <w:snapToGrid w:val="0"/>
      <w:jc w:val="center"/>
    </w:pPr>
    <w:rPr>
      <w:sz w:val="18"/>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4"/>
    <w:next w:val="4"/>
    <w:link w:val="30"/>
    <w:qFormat/>
    <w:uiPriority w:val="99"/>
    <w:rPr>
      <w:b/>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99"/>
    <w:rPr>
      <w:rFonts w:cs="Times New Roman"/>
      <w:color w:val="0563C1"/>
      <w:u w:val="single"/>
    </w:rPr>
  </w:style>
  <w:style w:type="character" w:styleId="19">
    <w:name w:val="annotation reference"/>
    <w:basedOn w:val="17"/>
    <w:qFormat/>
    <w:uiPriority w:val="99"/>
    <w:rPr>
      <w:rFonts w:cs="Times New Roman"/>
      <w:sz w:val="21"/>
    </w:rPr>
  </w:style>
  <w:style w:type="paragraph" w:customStyle="1" w:styleId="20">
    <w:name w:val="标题 5（有编号）（绿盟科技）"/>
    <w:basedOn w:val="1"/>
    <w:next w:val="2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2">
    <w:name w:val="标题 1 Char"/>
    <w:link w:val="3"/>
    <w:qFormat/>
    <w:locked/>
    <w:uiPriority w:val="99"/>
    <w:rPr>
      <w:rFonts w:cs="Times New Roman"/>
      <w:b/>
      <w:kern w:val="44"/>
      <w:sz w:val="44"/>
    </w:rPr>
  </w:style>
  <w:style w:type="character" w:customStyle="1" w:styleId="23">
    <w:name w:val="批注文字 Char"/>
    <w:link w:val="4"/>
    <w:qFormat/>
    <w:locked/>
    <w:uiPriority w:val="99"/>
    <w:rPr>
      <w:rFonts w:cs="Times New Roman"/>
      <w:kern w:val="2"/>
      <w:sz w:val="24"/>
    </w:rPr>
  </w:style>
  <w:style w:type="character" w:customStyle="1" w:styleId="24">
    <w:name w:val="正文文本缩进 Char"/>
    <w:link w:val="6"/>
    <w:qFormat/>
    <w:locked/>
    <w:uiPriority w:val="99"/>
    <w:rPr>
      <w:rFonts w:ascii="等线" w:eastAsia="等线" w:cs="Times New Roman"/>
      <w:kern w:val="2"/>
      <w:sz w:val="22"/>
    </w:rPr>
  </w:style>
  <w:style w:type="character" w:customStyle="1" w:styleId="25">
    <w:name w:val="纯文本 Char"/>
    <w:link w:val="8"/>
    <w:qFormat/>
    <w:locked/>
    <w:uiPriority w:val="0"/>
    <w:rPr>
      <w:rFonts w:ascii="宋体" w:hAnsi="Courier New" w:cs="Times New Roman"/>
      <w:kern w:val="2"/>
      <w:sz w:val="21"/>
    </w:rPr>
  </w:style>
  <w:style w:type="character" w:customStyle="1" w:styleId="26">
    <w:name w:val="日期 Char"/>
    <w:link w:val="9"/>
    <w:qFormat/>
    <w:locked/>
    <w:uiPriority w:val="99"/>
    <w:rPr>
      <w:rFonts w:cs="Times New Roman"/>
      <w:kern w:val="2"/>
      <w:sz w:val="24"/>
    </w:rPr>
  </w:style>
  <w:style w:type="character" w:customStyle="1" w:styleId="27">
    <w:name w:val="批注框文本 Char"/>
    <w:link w:val="10"/>
    <w:semiHidden/>
    <w:qFormat/>
    <w:locked/>
    <w:uiPriority w:val="99"/>
    <w:rPr>
      <w:rFonts w:cs="Times New Roman"/>
      <w:sz w:val="2"/>
    </w:rPr>
  </w:style>
  <w:style w:type="character" w:customStyle="1" w:styleId="28">
    <w:name w:val="页脚 Char"/>
    <w:link w:val="11"/>
    <w:semiHidden/>
    <w:qFormat/>
    <w:locked/>
    <w:uiPriority w:val="99"/>
    <w:rPr>
      <w:rFonts w:cs="Times New Roman"/>
      <w:sz w:val="18"/>
      <w:szCs w:val="18"/>
    </w:rPr>
  </w:style>
  <w:style w:type="character" w:customStyle="1" w:styleId="29">
    <w:name w:val="页眉 Char"/>
    <w:link w:val="12"/>
    <w:qFormat/>
    <w:locked/>
    <w:uiPriority w:val="99"/>
    <w:rPr>
      <w:rFonts w:cs="Times New Roman"/>
      <w:kern w:val="2"/>
      <w:sz w:val="18"/>
    </w:rPr>
  </w:style>
  <w:style w:type="character" w:customStyle="1" w:styleId="30">
    <w:name w:val="批注主题 Char"/>
    <w:link w:val="14"/>
    <w:qFormat/>
    <w:locked/>
    <w:uiPriority w:val="99"/>
    <w:rPr>
      <w:rFonts w:cs="Times New Roman"/>
      <w:b/>
      <w:kern w:val="2"/>
      <w:sz w:val="24"/>
    </w:rPr>
  </w:style>
  <w:style w:type="paragraph" w:customStyle="1" w:styleId="31">
    <w:name w:val="Char"/>
    <w:basedOn w:val="1"/>
    <w:qFormat/>
    <w:uiPriority w:val="99"/>
    <w:pPr>
      <w:tabs>
        <w:tab w:val="left" w:pos="360"/>
      </w:tabs>
    </w:pPr>
    <w:rPr>
      <w:sz w:val="24"/>
    </w:rPr>
  </w:style>
  <w:style w:type="character" w:customStyle="1" w:styleId="32">
    <w:name w:val="列出段落 Char"/>
    <w:link w:val="33"/>
    <w:qFormat/>
    <w:locked/>
    <w:uiPriority w:val="0"/>
  </w:style>
  <w:style w:type="paragraph" w:styleId="33">
    <w:name w:val="List Paragraph"/>
    <w:basedOn w:val="1"/>
    <w:link w:val="32"/>
    <w:qFormat/>
    <w:uiPriority w:val="34"/>
    <w:pPr>
      <w:widowControl/>
      <w:ind w:firstLine="420" w:firstLineChars="200"/>
      <w:jc w:val="left"/>
    </w:pPr>
    <w:rPr>
      <w:kern w:val="0"/>
      <w:sz w:val="20"/>
      <w:szCs w:val="20"/>
    </w:rPr>
  </w:style>
  <w:style w:type="table" w:customStyle="1" w:styleId="34">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laceholder Text"/>
    <w:semiHidden/>
    <w:qFormat/>
    <w:uiPriority w:val="99"/>
    <w:rPr>
      <w:rFonts w:cs="Times New Roman"/>
      <w:color w:val="808080"/>
    </w:rPr>
  </w:style>
  <w:style w:type="paragraph" w:customStyle="1" w:styleId="36">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7">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8">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列出段落2"/>
    <w:basedOn w:val="1"/>
    <w:qFormat/>
    <w:uiPriority w:val="99"/>
    <w:pPr>
      <w:ind w:firstLine="420" w:firstLineChars="200"/>
    </w:pPr>
    <w:rPr>
      <w:rFonts w:ascii="Calibri" w:hAnsi="Calibri"/>
      <w:szCs w:val="22"/>
    </w:rPr>
  </w:style>
  <w:style w:type="character" w:customStyle="1" w:styleId="40">
    <w:name w:val="标题 2 Char Char Char"/>
    <w:qFormat/>
    <w:uiPriority w:val="99"/>
    <w:rPr>
      <w:rFonts w:ascii="Arial" w:hAnsi="Arial" w:eastAsia="黑体"/>
      <w:b/>
      <w:kern w:val="2"/>
      <w:sz w:val="32"/>
      <w:lang w:val="en-US" w:eastAsia="zh-CN"/>
    </w:rPr>
  </w:style>
  <w:style w:type="paragraph" w:customStyle="1" w:styleId="4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2">
    <w:name w:val="正文文本 Char"/>
    <w:link w:val="5"/>
    <w:qFormat/>
    <w:uiPriority w:val="99"/>
    <w:rPr>
      <w:kern w:val="2"/>
      <w:sz w:val="21"/>
      <w:szCs w:val="24"/>
    </w:rPr>
  </w:style>
  <w:style w:type="paragraph" w:customStyle="1" w:styleId="43">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4">
    <w:name w:val="正文2"/>
    <w:basedOn w:val="1"/>
    <w:qFormat/>
    <w:uiPriority w:val="0"/>
    <w:pPr>
      <w:spacing w:before="156" w:line="360" w:lineRule="auto"/>
      <w:ind w:firstLine="510" w:firstLineChars="200"/>
    </w:pPr>
    <w:rPr>
      <w:sz w:val="24"/>
    </w:rPr>
  </w:style>
  <w:style w:type="paragraph" w:customStyle="1" w:styleId="45">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6">
    <w:name w:val="A9"/>
    <w:qFormat/>
    <w:uiPriority w:val="0"/>
    <w:rPr>
      <w:rFonts w:cs="PSFEIH+StoneSans"/>
      <w:color w:val="262424"/>
      <w:sz w:val="20"/>
      <w:szCs w:val="20"/>
    </w:rPr>
  </w:style>
  <w:style w:type="paragraph" w:customStyle="1" w:styleId="47">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632F73-4010-4D16-970A-9C7E3BB5EFA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2004</Words>
  <Characters>11429</Characters>
  <Lines>95</Lines>
  <Paragraphs>26</Paragraphs>
  <TotalTime>14</TotalTime>
  <ScaleCrop>false</ScaleCrop>
  <LinksUpToDate>false</LinksUpToDate>
  <CharactersWithSpaces>13407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2020-06-15T05:41:00Z</dcterms:created>
  <dc:creator>微软用户</dc:creator>
  <cp:lastModifiedBy>nxdlu</cp:lastModifiedBy>
  <cp:lastPrinted>2019-11-22T01:53:00Z</cp:lastPrinted>
  <dcterms:modified xsi:type="dcterms:W3CDTF">2020-06-15T07:44:29Z</dcterms:modified>
  <dc:title>淮海工学院A8-10号楼学生宿舍家具招标书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