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highlight w:val="none"/>
        </w:rPr>
      </w:pPr>
      <w:bookmarkStart w:id="0" w:name="OLE_LINK1"/>
      <w:bookmarkStart w:id="1" w:name="OLE_LINK2"/>
      <w:r>
        <w:rPr>
          <w:b/>
          <w:sz w:val="44"/>
          <w:szCs w:val="44"/>
          <w:highlight w:val="none"/>
        </w:rPr>
        <w:t>南京信息工程大学</w:t>
      </w:r>
      <w:bookmarkEnd w:id="0"/>
      <w:bookmarkEnd w:id="1"/>
      <w:r>
        <w:rPr>
          <w:rFonts w:hint="eastAsia"/>
          <w:b/>
          <w:sz w:val="44"/>
          <w:szCs w:val="44"/>
          <w:highlight w:val="none"/>
        </w:rPr>
        <w:t>202</w:t>
      </w:r>
      <w:r>
        <w:rPr>
          <w:rFonts w:hint="eastAsia"/>
          <w:b/>
          <w:sz w:val="44"/>
          <w:szCs w:val="44"/>
          <w:highlight w:val="none"/>
          <w:lang w:val="en-US" w:eastAsia="zh-CN"/>
        </w:rPr>
        <w:t>3年</w:t>
      </w:r>
      <w:r>
        <w:rPr>
          <w:rFonts w:hint="eastAsia"/>
          <w:b/>
          <w:sz w:val="44"/>
          <w:szCs w:val="44"/>
          <w:highlight w:val="none"/>
        </w:rPr>
        <w:t>国际课程视频制作</w:t>
      </w:r>
    </w:p>
    <w:p>
      <w:pPr>
        <w:jc w:val="center"/>
        <w:rPr>
          <w:b/>
          <w:sz w:val="44"/>
          <w:szCs w:val="44"/>
          <w:highlight w:val="none"/>
        </w:rPr>
      </w:pPr>
      <w:r>
        <w:rPr>
          <w:rFonts w:hint="eastAsia"/>
          <w:b/>
          <w:sz w:val="44"/>
          <w:szCs w:val="44"/>
          <w:highlight w:val="none"/>
        </w:rPr>
        <w:t>服务</w:t>
      </w:r>
      <w:r>
        <w:rPr>
          <w:rFonts w:hint="eastAsia" w:ascii="宋体" w:hAnsi="宋体"/>
          <w:b/>
          <w:sz w:val="44"/>
          <w:szCs w:val="44"/>
          <w:highlight w:val="none"/>
        </w:rPr>
        <w:t>采购</w:t>
      </w:r>
      <w:r>
        <w:rPr>
          <w:rFonts w:hint="eastAsia"/>
          <w:b/>
          <w:sz w:val="44"/>
          <w:szCs w:val="44"/>
          <w:highlight w:val="none"/>
        </w:rPr>
        <w:t>项目</w:t>
      </w:r>
      <w:r>
        <w:rPr>
          <w:b/>
          <w:sz w:val="44"/>
          <w:szCs w:val="44"/>
          <w:highlight w:val="none"/>
        </w:rPr>
        <w:t>招标文件</w:t>
      </w:r>
    </w:p>
    <w:p>
      <w:pPr>
        <w:pStyle w:val="8"/>
        <w:ind w:left="1470" w:right="1470"/>
        <w:rPr>
          <w:highlight w:val="none"/>
        </w:rPr>
      </w:pPr>
    </w:p>
    <w:p>
      <w:pP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cs="仿宋"/>
          <w:sz w:val="28"/>
          <w:szCs w:val="28"/>
          <w:highlight w:val="none"/>
          <w:u w:val="single"/>
        </w:rPr>
        <w:t xml:space="preserve">  JZCG-2023-00043   </w:t>
      </w:r>
      <w:r>
        <w:rPr>
          <w:rFonts w:hint="eastAsia" w:ascii="宋体" w:hAnsi="宋体" w:cs="仿宋"/>
          <w:sz w:val="28"/>
          <w:szCs w:val="28"/>
          <w:highlight w:val="none"/>
        </w:rPr>
        <w:t>）</w:t>
      </w:r>
    </w:p>
    <w:p>
      <w:pPr>
        <w:adjustRightInd w:val="0"/>
        <w:snapToGrid w:val="0"/>
        <w:spacing w:line="360" w:lineRule="auto"/>
        <w:jc w:val="center"/>
        <w:rPr>
          <w:rFonts w:ascii="宋体" w:cs="仿宋"/>
          <w:sz w:val="28"/>
          <w:szCs w:val="28"/>
          <w:highlight w:val="none"/>
        </w:rPr>
      </w:pPr>
    </w:p>
    <w:p>
      <w:pPr>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w:t>
      </w:r>
      <w:r>
        <w:rPr>
          <w:rFonts w:hint="eastAsia" w:ascii="宋体" w:hAnsi="宋体" w:cs="仿宋"/>
          <w:sz w:val="28"/>
          <w:szCs w:val="28"/>
          <w:highlight w:val="none"/>
          <w:u w:val="single"/>
          <w:lang w:val="en-US" w:eastAsia="zh-CN"/>
        </w:rPr>
        <w:t>3</w:t>
      </w:r>
      <w:r>
        <w:rPr>
          <w:rFonts w:hint="eastAsia" w:ascii="宋体" w:hAnsi="宋体" w:cs="仿宋"/>
          <w:sz w:val="28"/>
          <w:szCs w:val="28"/>
          <w:highlight w:val="none"/>
          <w:u w:val="single"/>
        </w:rPr>
        <w:t>年0</w:t>
      </w:r>
      <w:r>
        <w:rPr>
          <w:rFonts w:hint="eastAsia" w:ascii="宋体" w:hAnsi="宋体" w:cs="仿宋"/>
          <w:sz w:val="28"/>
          <w:szCs w:val="28"/>
          <w:highlight w:val="none"/>
          <w:u w:val="single"/>
          <w:lang w:val="en-US" w:eastAsia="zh-CN"/>
        </w:rPr>
        <w:t>6</w:t>
      </w:r>
      <w:r>
        <w:rPr>
          <w:rFonts w:hint="eastAsia" w:ascii="宋体" w:hAnsi="宋体" w:cs="仿宋"/>
          <w:sz w:val="28"/>
          <w:szCs w:val="28"/>
          <w:highlight w:val="none"/>
          <w:u w:val="single"/>
        </w:rPr>
        <w:t>月0</w:t>
      </w:r>
      <w:r>
        <w:rPr>
          <w:rFonts w:hint="eastAsia" w:ascii="宋体" w:hAnsi="宋体" w:cs="仿宋"/>
          <w:sz w:val="28"/>
          <w:szCs w:val="28"/>
          <w:highlight w:val="none"/>
          <w:u w:val="single"/>
          <w:lang w:val="en-US" w:eastAsia="zh-CN"/>
        </w:rPr>
        <w:t>6</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1</w:t>
      </w:r>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jc w:val="center"/>
        <w:rPr>
          <w:b/>
          <w:sz w:val="28"/>
          <w:szCs w:val="28"/>
          <w:highlight w:val="none"/>
        </w:rPr>
      </w:pPr>
    </w:p>
    <w:p>
      <w:pP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rPr>
        <w:t>国际合作与交流处</w:t>
      </w:r>
      <w:r>
        <w:rPr>
          <w:rFonts w:ascii="宋体" w:hAnsi="宋体"/>
          <w:sz w:val="28"/>
          <w:szCs w:val="28"/>
          <w:highlight w:val="none"/>
        </w:rPr>
        <w:t>委托，就</w:t>
      </w:r>
      <w:r>
        <w:rPr>
          <w:rFonts w:hint="eastAsia" w:ascii="宋体" w:hAnsi="宋体"/>
          <w:sz w:val="28"/>
          <w:szCs w:val="28"/>
          <w:highlight w:val="none"/>
        </w:rPr>
        <w:t>南京信息工程大学202</w:t>
      </w:r>
      <w:r>
        <w:rPr>
          <w:rFonts w:hint="eastAsia" w:ascii="宋体" w:hAnsi="宋体"/>
          <w:sz w:val="28"/>
          <w:szCs w:val="28"/>
          <w:highlight w:val="none"/>
          <w:lang w:val="en-US" w:eastAsia="zh-CN"/>
        </w:rPr>
        <w:t>3</w:t>
      </w:r>
      <w:r>
        <w:rPr>
          <w:rFonts w:hint="eastAsia" w:ascii="宋体" w:hAnsi="宋体"/>
          <w:sz w:val="28"/>
          <w:szCs w:val="28"/>
          <w:highlight w:val="none"/>
        </w:rPr>
        <w:t>年国际课程视频制作服务项目</w:t>
      </w:r>
      <w:r>
        <w:rPr>
          <w:rFonts w:ascii="宋体" w:hAnsi="宋体"/>
          <w:sz w:val="28"/>
          <w:szCs w:val="28"/>
          <w:highlight w:val="none"/>
        </w:rPr>
        <w:t>进行公开招标，欢迎符合条件的供应商报名投标，现将有关情况说明如下：</w:t>
      </w:r>
    </w:p>
    <w:p>
      <w:pPr>
        <w:spacing w:line="360" w:lineRule="auto"/>
        <w:ind w:firstLine="480" w:firstLineChars="200"/>
        <w:rPr>
          <w:sz w:val="24"/>
          <w:highlight w:val="none"/>
        </w:rPr>
      </w:pPr>
    </w:p>
    <w:p>
      <w:pPr>
        <w:pStyle w:val="34"/>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34"/>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w:t>
      </w:r>
      <w:r>
        <w:rPr>
          <w:rFonts w:hint="eastAsia" w:ascii="宋体" w:hAnsi="宋体"/>
          <w:sz w:val="28"/>
          <w:szCs w:val="28"/>
          <w:highlight w:val="none"/>
        </w:rPr>
        <w:t>202</w:t>
      </w:r>
      <w:r>
        <w:rPr>
          <w:rFonts w:hint="eastAsia" w:ascii="宋体" w:hAnsi="宋体"/>
          <w:sz w:val="28"/>
          <w:szCs w:val="28"/>
          <w:highlight w:val="none"/>
          <w:lang w:val="en-US" w:eastAsia="zh-CN"/>
        </w:rPr>
        <w:t>3</w:t>
      </w:r>
      <w:r>
        <w:rPr>
          <w:rFonts w:hint="eastAsia" w:ascii="宋体" w:hAnsi="宋体"/>
          <w:sz w:val="28"/>
          <w:szCs w:val="28"/>
          <w:highlight w:val="none"/>
        </w:rPr>
        <w:t>年国际课程视频制作服务采购项目</w:t>
      </w:r>
      <w:r>
        <w:rPr>
          <w:rFonts w:ascii="宋体" w:hAnsi="宋体"/>
          <w:kern w:val="2"/>
          <w:sz w:val="28"/>
          <w:szCs w:val="28"/>
          <w:highlight w:val="none"/>
        </w:rPr>
        <w:t>。</w:t>
      </w:r>
    </w:p>
    <w:p>
      <w:pPr>
        <w:spacing w:line="300" w:lineRule="auto"/>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pacing w:line="360" w:lineRule="auto"/>
        <w:ind w:firstLine="570"/>
        <w:jc w:val="left"/>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21"/>
          <w:b/>
          <w:color w:val="auto"/>
          <w:sz w:val="24"/>
          <w:highlight w:val="none"/>
        </w:rPr>
        <w:t>https://bulletin.nuist.edu.cn/779/lis</w:t>
      </w:r>
      <w:r>
        <w:rPr>
          <w:rStyle w:val="21"/>
          <w:color w:val="auto"/>
          <w:sz w:val="24"/>
          <w:highlight w:val="none"/>
        </w:rPr>
        <w:t>t.htm</w:t>
      </w:r>
      <w:r>
        <w:rPr>
          <w:rStyle w:val="21"/>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pacing w:line="360" w:lineRule="auto"/>
        <w:ind w:firstLine="570"/>
        <w:jc w:val="left"/>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napToGrid w:val="0"/>
        <w:spacing w:line="360" w:lineRule="auto"/>
        <w:ind w:firstLine="540" w:firstLineChars="192"/>
        <w:rPr>
          <w:rFonts w:ascii="宋体" w:hAnsi="宋体"/>
          <w:b/>
          <w:kern w:val="0"/>
          <w:sz w:val="28"/>
          <w:szCs w:val="28"/>
          <w:highlight w:val="none"/>
        </w:rPr>
      </w:pPr>
      <w:r>
        <w:rPr>
          <w:rFonts w:hint="eastAsia" w:ascii="宋体" w:hAnsi="宋体"/>
          <w:b/>
          <w:kern w:val="0"/>
          <w:sz w:val="28"/>
          <w:szCs w:val="28"/>
          <w:highlight w:val="none"/>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9.本项目不接受联合体投标。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 xml:space="preserve">六、本项目预算价为 </w:t>
      </w:r>
      <w:r>
        <w:rPr>
          <w:rFonts w:hint="eastAsia" w:ascii="宋体" w:hAnsi="宋体" w:cs="宋体"/>
          <w:sz w:val="28"/>
          <w:szCs w:val="28"/>
          <w:highlight w:val="none"/>
          <w:lang w:val="en-US" w:eastAsia="zh-CN"/>
        </w:rPr>
        <w:t>29.90</w:t>
      </w:r>
      <w:r>
        <w:rPr>
          <w:rFonts w:hint="eastAsia" w:ascii="宋体" w:hAnsi="宋体" w:cs="宋体"/>
          <w:sz w:val="28"/>
          <w:szCs w:val="28"/>
          <w:highlight w:val="none"/>
        </w:rPr>
        <w:t>万元，本项目只接受人民币报价。</w:t>
      </w:r>
    </w:p>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kern w:val="0"/>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rPr>
        <w:t>“JZCG-2023-00043资料费”</w:t>
      </w:r>
      <w:r>
        <w:rPr>
          <w:rFonts w:hint="eastAsia" w:ascii="宋体" w:hAnsi="宋体" w:cs="宋体"/>
          <w:sz w:val="28"/>
          <w:szCs w:val="28"/>
          <w:highlight w:val="none"/>
        </w:rPr>
        <w:t>字样的；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个工作日内，中标单位须及时缴纳中标价的10%作为履约保证金并前来我校领取《中标通知书》（一式二份）。服务完成，验收合格后无息返还履约保证金。</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rPr>
          <w:highlight w:val="none"/>
        </w:rPr>
      </w:pPr>
      <w:r>
        <w:rPr>
          <w:rFonts w:hint="eastAsia" w:ascii="宋体" w:hAnsi="宋体" w:cs="宋体"/>
          <w:sz w:val="28"/>
          <w:szCs w:val="28"/>
          <w:highlight w:val="none"/>
        </w:rPr>
        <w:t>（3）附件6合同仅为参考样本，最终以通过我校审核后签署的合同为准。</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内供应货物，签订合同后，20日内预付合同金额的30%，全部货物交货并最终验收合格后，凭验收凭证和货物验收合格等文件20内支付至合同金额的100%，质保期满后，经有关单位确认无质量问题后，一次性无息付清所有保证金。具体内容以最终签署的合同约定为准。</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针对国外供应货物（进口货物），由外贸公司开具全额发票，外贸合同中采用100%信用证，90%见单即付，10%凭最终用户方签字和盖章的验收报告支付。</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rPr>
        <w:t>“JZCG-2023-00043资料费”</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我校提供电子普通发票，招标办定期到财务结算中心对账（时间约半个月）。请投标单位在报名时确保提供联系人手机号及邮箱状态正常，以便接收电子发票信息。</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5</w:t>
      </w:r>
      <w:r>
        <w:rPr>
          <w:rFonts w:ascii="宋体" w:hAnsi="宋体" w:cs="宋体"/>
          <w:sz w:val="28"/>
          <w:szCs w:val="28"/>
          <w:highlight w:val="none"/>
        </w:rPr>
        <w:t>.</w:t>
      </w:r>
      <w:r>
        <w:rPr>
          <w:rFonts w:hint="eastAsia" w:ascii="宋体" w:hAnsi="宋体" w:cs="宋体"/>
          <w:sz w:val="28"/>
          <w:szCs w:val="28"/>
          <w:highlight w:val="none"/>
        </w:rPr>
        <w:t>投标保证金：无。</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为降低投标人的投标成本，本着相互理解和相互信任的原则，努力构建诚信社会，本项目投标时各单位无须缴纳投标保证金。</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履约保证金：中标价10%。</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后，仅中标单位需缴纳履约保证金。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由项目归口管理部门（或使用部门）负责人审批同意后，财务处财务结算中心（财务处二楼201室）办理退还。</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验收：按学校验收规定执行，项目合同是验收的主要依据。</w:t>
      </w:r>
    </w:p>
    <w:p>
      <w:pPr>
        <w:widowControl/>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质保：参照附件4服务要求</w:t>
      </w:r>
    </w:p>
    <w:p>
      <w:pP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报名时间：招标信息发布后5个工作日。</w:t>
      </w:r>
    </w:p>
    <w:p>
      <w:pP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kern w:val="0"/>
          <w:sz w:val="28"/>
          <w:szCs w:val="28"/>
          <w:highlight w:val="none"/>
        </w:rPr>
        <w:t>。</w:t>
      </w:r>
    </w:p>
    <w:p>
      <w:pP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）投标人如有疑问，请在</w:t>
      </w:r>
      <w:r>
        <w:rPr>
          <w:rFonts w:ascii="宋体" w:hAnsi="宋体"/>
          <w:b/>
          <w:sz w:val="28"/>
          <w:szCs w:val="28"/>
          <w:highlight w:val="none"/>
          <w:u w:val="single"/>
        </w:rPr>
        <w:t>202</w:t>
      </w:r>
      <w:r>
        <w:rPr>
          <w:rFonts w:hint="eastAsia" w:ascii="宋体" w:hAnsi="宋体"/>
          <w:b/>
          <w:sz w:val="28"/>
          <w:szCs w:val="28"/>
          <w:highlight w:val="none"/>
          <w:u w:val="single"/>
          <w:lang w:val="en-US" w:eastAsia="zh-CN"/>
        </w:rPr>
        <w:t>3</w:t>
      </w:r>
      <w:r>
        <w:rPr>
          <w:rFonts w:hint="eastAsia" w:ascii="宋体" w:hAnsi="宋体"/>
          <w:b/>
          <w:sz w:val="28"/>
          <w:szCs w:val="28"/>
          <w:highlight w:val="none"/>
          <w:u w:val="single"/>
        </w:rPr>
        <w:t>年0</w:t>
      </w:r>
      <w:r>
        <w:rPr>
          <w:rFonts w:hint="eastAsia" w:ascii="宋体" w:hAnsi="宋体"/>
          <w:b/>
          <w:sz w:val="28"/>
          <w:szCs w:val="28"/>
          <w:highlight w:val="none"/>
          <w:u w:val="single"/>
          <w:lang w:val="en-US" w:eastAsia="zh-CN"/>
        </w:rPr>
        <w:t>6</w:t>
      </w:r>
      <w:r>
        <w:rPr>
          <w:rFonts w:hint="eastAsia" w:ascii="宋体" w:hAnsi="宋体"/>
          <w:b/>
          <w:sz w:val="28"/>
          <w:szCs w:val="28"/>
          <w:highlight w:val="none"/>
          <w:u w:val="single"/>
        </w:rPr>
        <w:t>月1</w:t>
      </w:r>
      <w:r>
        <w:rPr>
          <w:rFonts w:hint="eastAsia" w:ascii="宋体" w:hAnsi="宋体"/>
          <w:b/>
          <w:sz w:val="28"/>
          <w:szCs w:val="28"/>
          <w:highlight w:val="none"/>
          <w:u w:val="single"/>
          <w:lang w:val="en-US" w:eastAsia="zh-CN"/>
        </w:rPr>
        <w:t>3</w:t>
      </w:r>
      <w:r>
        <w:rPr>
          <w:rFonts w:hint="eastAsia" w:ascii="宋体" w:hAnsi="宋体"/>
          <w:b/>
          <w:sz w:val="28"/>
          <w:szCs w:val="28"/>
          <w:highlight w:val="none"/>
          <w:u w:val="single"/>
        </w:rPr>
        <w:t>日</w:t>
      </w:r>
      <w:r>
        <w:rPr>
          <w:rFonts w:ascii="宋体" w:hAnsi="宋体"/>
          <w:b/>
          <w:sz w:val="28"/>
          <w:szCs w:val="28"/>
          <w:highlight w:val="none"/>
          <w:u w:val="single"/>
        </w:rPr>
        <w:t>11</w:t>
      </w:r>
      <w:r>
        <w:rPr>
          <w:rFonts w:hint="eastAsia" w:ascii="宋体" w:hAnsi="宋体"/>
          <w:b/>
          <w:sz w:val="28"/>
          <w:szCs w:val="28"/>
          <w:highlight w:val="none"/>
          <w:u w:val="single"/>
        </w:rPr>
        <w:t>：</w:t>
      </w:r>
      <w:r>
        <w:rPr>
          <w:rFonts w:ascii="宋体" w:hAnsi="宋体"/>
          <w:b/>
          <w:sz w:val="28"/>
          <w:szCs w:val="28"/>
          <w:highlight w:val="none"/>
          <w:u w:val="single"/>
        </w:rPr>
        <w:t>3</w:t>
      </w:r>
      <w:r>
        <w:rPr>
          <w:highlight w:val="none"/>
        </w:rPr>
        <w:fldChar w:fldCharType="begin"/>
      </w:r>
      <w:r>
        <w:rPr>
          <w:highlight w:val="none"/>
        </w:rPr>
        <w:instrText xml:space="preserve"> HYPERLINK "mailto:0前将问题以word格式发至2483567991@qq.com" </w:instrText>
      </w:r>
      <w:r>
        <w:rPr>
          <w:highlight w:val="none"/>
        </w:rPr>
        <w:fldChar w:fldCharType="separate"/>
      </w:r>
      <w:r>
        <w:rPr>
          <w:rStyle w:val="21"/>
          <w:rFonts w:ascii="宋体"/>
          <w:b/>
          <w:sz w:val="28"/>
          <w:szCs w:val="28"/>
          <w:highlight w:val="none"/>
        </w:rPr>
        <w:t>0</w:t>
      </w:r>
      <w:r>
        <w:rPr>
          <w:rStyle w:val="21"/>
          <w:rFonts w:hint="eastAsia" w:ascii="宋体" w:hAnsi="宋体"/>
          <w:sz w:val="28"/>
          <w:szCs w:val="28"/>
          <w:highlight w:val="none"/>
        </w:rPr>
        <w:t>前将问题以</w:t>
      </w:r>
      <w:r>
        <w:rPr>
          <w:rStyle w:val="21"/>
          <w:rFonts w:ascii="宋体" w:hAnsi="宋体"/>
          <w:sz w:val="28"/>
          <w:szCs w:val="28"/>
          <w:highlight w:val="none"/>
        </w:rPr>
        <w:t>word</w:t>
      </w:r>
      <w:r>
        <w:rPr>
          <w:rStyle w:val="21"/>
          <w:rFonts w:hint="eastAsia" w:ascii="宋体" w:hAnsi="宋体"/>
          <w:sz w:val="28"/>
          <w:szCs w:val="28"/>
          <w:highlight w:val="none"/>
        </w:rPr>
        <w:t>格式发至</w:t>
      </w:r>
      <w:r>
        <w:rPr>
          <w:rStyle w:val="21"/>
          <w:rFonts w:ascii="宋体" w:hAnsi="宋体"/>
          <w:sz w:val="28"/>
          <w:szCs w:val="28"/>
          <w:highlight w:val="none"/>
        </w:rPr>
        <w:t>2483567991@qq.com</w:t>
      </w:r>
      <w:r>
        <w:rPr>
          <w:rStyle w:val="21"/>
          <w:rFonts w:ascii="宋体" w:hAnsi="宋体"/>
          <w:sz w:val="28"/>
          <w:szCs w:val="28"/>
          <w:highlight w:val="none"/>
        </w:rPr>
        <w:fldChar w:fldCharType="end"/>
      </w:r>
      <w:r>
        <w:rPr>
          <w:rFonts w:hint="eastAsia" w:ascii="宋体" w:hAnsi="宋体"/>
          <w:sz w:val="28"/>
          <w:szCs w:val="28"/>
          <w:highlight w:val="none"/>
        </w:rPr>
        <w:t>。</w:t>
      </w:r>
    </w:p>
    <w:p>
      <w:pP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（1）投标文件送达方式：（以下两种方式任选其一）</w:t>
      </w:r>
    </w:p>
    <w:p>
      <w:pPr>
        <w:pStyle w:val="2"/>
        <w:spacing w:line="360" w:lineRule="auto"/>
        <w:ind w:firstLine="560"/>
        <w:rPr>
          <w:rFonts w:hint="eastAsia" w:ascii="宋体" w:hAnsi="宋体"/>
          <w:sz w:val="28"/>
          <w:szCs w:val="28"/>
          <w:highlight w:val="none"/>
        </w:rPr>
      </w:pPr>
      <w:r>
        <w:rPr>
          <w:rFonts w:hint="eastAsia" w:ascii="宋体" w:hAnsi="宋体"/>
          <w:b/>
          <w:sz w:val="28"/>
          <w:szCs w:val="28"/>
          <w:highlight w:val="none"/>
        </w:rPr>
        <w:t>（一）</w:t>
      </w:r>
      <w:r>
        <w:rPr>
          <w:rFonts w:hint="eastAsia" w:ascii="宋体" w:hAnsi="宋体"/>
          <w:sz w:val="28"/>
          <w:szCs w:val="28"/>
          <w:highlight w:val="none"/>
        </w:rPr>
        <w:t>入校提交方式：</w:t>
      </w:r>
      <w:r>
        <w:rPr>
          <w:rFonts w:hint="eastAsia" w:ascii="宋体" w:hAnsi="宋体"/>
          <w:b/>
          <w:bCs/>
          <w:sz w:val="28"/>
          <w:szCs w:val="28"/>
          <w:highlight w:val="none"/>
        </w:rPr>
        <w:t>本项目可接收专人派送的投标文件</w:t>
      </w:r>
      <w:r>
        <w:rPr>
          <w:rFonts w:hint="eastAsia" w:ascii="宋体" w:hAnsi="宋体"/>
          <w:sz w:val="28"/>
          <w:szCs w:val="28"/>
          <w:highlight w:val="none"/>
        </w:rPr>
        <w:t>，请各投标人自行安排人员，务必于接收截止时间前将投标文件送达我校，截止时间后，采购人不受理任何投标文件。（若后期有调整，会将调整信息发送到各投标单位报名邮箱，请各投标单位在投标前密切关注报名邮箱）</w:t>
      </w:r>
    </w:p>
    <w:p>
      <w:pPr>
        <w:keepNext w:val="0"/>
        <w:keepLines w:val="0"/>
        <w:widowControl/>
        <w:suppressLineNumbers w:val="0"/>
        <w:spacing w:before="75" w:beforeAutospacing="0" w:after="75" w:afterAutospacing="0"/>
        <w:ind w:left="0" w:right="0" w:firstLine="555"/>
        <w:jc w:val="left"/>
        <w:rPr>
          <w:rFonts w:hint="eastAsia" w:ascii="宋体" w:hAnsi="宋体"/>
          <w:sz w:val="28"/>
          <w:szCs w:val="28"/>
          <w:highlight w:val="none"/>
        </w:rPr>
      </w:pPr>
      <w:r>
        <w:rPr>
          <w:rFonts w:hint="eastAsia" w:ascii="宋体" w:hAnsi="宋体" w:eastAsia="宋体" w:cs="Times New Roman"/>
          <w:i w:val="0"/>
          <w:iCs w:val="0"/>
          <w:caps w:val="0"/>
          <w:color w:val="auto"/>
          <w:spacing w:val="0"/>
          <w:kern w:val="2"/>
          <w:sz w:val="28"/>
          <w:szCs w:val="28"/>
          <w:highlight w:val="none"/>
          <w:lang w:val="en-US" w:eastAsia="zh-CN" w:bidi="ar-SA"/>
        </w:rPr>
        <w:t>投标文件接收时间：2023年0</w:t>
      </w:r>
      <w:r>
        <w:rPr>
          <w:rFonts w:hint="eastAsia" w:ascii="宋体" w:hAnsi="宋体" w:cs="Times New Roman"/>
          <w:i w:val="0"/>
          <w:iCs w:val="0"/>
          <w:caps w:val="0"/>
          <w:color w:val="auto"/>
          <w:spacing w:val="0"/>
          <w:kern w:val="2"/>
          <w:sz w:val="28"/>
          <w:szCs w:val="28"/>
          <w:highlight w:val="none"/>
          <w:lang w:val="en-US" w:eastAsia="zh-CN" w:bidi="ar-SA"/>
        </w:rPr>
        <w:t>6</w:t>
      </w:r>
      <w:r>
        <w:rPr>
          <w:rFonts w:hint="eastAsia" w:ascii="宋体" w:hAnsi="宋体" w:eastAsia="宋体" w:cs="Times New Roman"/>
          <w:i w:val="0"/>
          <w:iCs w:val="0"/>
          <w:caps w:val="0"/>
          <w:color w:val="auto"/>
          <w:spacing w:val="0"/>
          <w:kern w:val="2"/>
          <w:sz w:val="28"/>
          <w:szCs w:val="28"/>
          <w:highlight w:val="none"/>
          <w:lang w:val="en-US" w:eastAsia="zh-CN" w:bidi="ar-SA"/>
        </w:rPr>
        <w:t>月2</w:t>
      </w:r>
      <w:r>
        <w:rPr>
          <w:rFonts w:hint="eastAsia" w:ascii="宋体" w:hAnsi="宋体" w:cs="Times New Roman"/>
          <w:i w:val="0"/>
          <w:iCs w:val="0"/>
          <w:caps w:val="0"/>
          <w:color w:val="auto"/>
          <w:spacing w:val="0"/>
          <w:kern w:val="2"/>
          <w:sz w:val="28"/>
          <w:szCs w:val="28"/>
          <w:highlight w:val="none"/>
          <w:lang w:val="en-US" w:eastAsia="zh-CN" w:bidi="ar-SA"/>
        </w:rPr>
        <w:t>7</w:t>
      </w:r>
      <w:r>
        <w:rPr>
          <w:rFonts w:hint="eastAsia" w:ascii="宋体" w:hAnsi="宋体" w:eastAsia="宋体" w:cs="Times New Roman"/>
          <w:i w:val="0"/>
          <w:iCs w:val="0"/>
          <w:caps w:val="0"/>
          <w:color w:val="auto"/>
          <w:spacing w:val="0"/>
          <w:kern w:val="2"/>
          <w:sz w:val="28"/>
          <w:szCs w:val="28"/>
          <w:highlight w:val="none"/>
          <w:lang w:val="en-US" w:eastAsia="zh-CN" w:bidi="ar-SA"/>
        </w:rPr>
        <w:t>日13:</w:t>
      </w:r>
      <w:r>
        <w:rPr>
          <w:rFonts w:hint="eastAsia" w:ascii="宋体" w:hAnsi="宋体" w:cs="Times New Roman"/>
          <w:i w:val="0"/>
          <w:iCs w:val="0"/>
          <w:caps w:val="0"/>
          <w:color w:val="auto"/>
          <w:spacing w:val="0"/>
          <w:kern w:val="2"/>
          <w:sz w:val="28"/>
          <w:szCs w:val="28"/>
          <w:highlight w:val="none"/>
          <w:lang w:val="en-US" w:eastAsia="zh-CN" w:bidi="ar-SA"/>
        </w:rPr>
        <w:t>45</w:t>
      </w:r>
      <w:r>
        <w:rPr>
          <w:rFonts w:hint="eastAsia" w:ascii="宋体" w:hAnsi="宋体" w:eastAsia="宋体" w:cs="Times New Roman"/>
          <w:i w:val="0"/>
          <w:iCs w:val="0"/>
          <w:caps w:val="0"/>
          <w:color w:val="auto"/>
          <w:spacing w:val="0"/>
          <w:kern w:val="2"/>
          <w:sz w:val="28"/>
          <w:szCs w:val="28"/>
          <w:highlight w:val="none"/>
          <w:lang w:val="en-US" w:eastAsia="zh-CN" w:bidi="ar-SA"/>
        </w:rPr>
        <w:t>—14:00（北京时间）；</w:t>
      </w:r>
    </w:p>
    <w:p>
      <w:pPr>
        <w:widowControl/>
        <w:shd w:val="clear" w:color="auto" w:fill="FFFFFF"/>
        <w:spacing w:before="75" w:after="75" w:line="360" w:lineRule="auto"/>
        <w:ind w:firstLine="555"/>
        <w:jc w:val="left"/>
        <w:rPr>
          <w:rFonts w:ascii="宋体" w:hAnsi="宋体"/>
          <w:b/>
          <w:bCs/>
          <w:sz w:val="28"/>
          <w:szCs w:val="28"/>
          <w:highlight w:val="none"/>
        </w:rPr>
      </w:pPr>
      <w:r>
        <w:rPr>
          <w:rFonts w:hint="eastAsia" w:ascii="宋体" w:hAnsi="宋体" w:cs="宋体"/>
          <w:b/>
          <w:bCs/>
          <w:color w:val="000000"/>
          <w:sz w:val="28"/>
          <w:szCs w:val="28"/>
          <w:highlight w:val="none"/>
          <w:shd w:val="clear" w:color="auto" w:fill="FFFFFF"/>
        </w:rPr>
        <w:t>由于校园管理，《法定代表人授权书》指定的授权代表携带身份证进校（即最多一人），进校人员至少提前一天扫描以下二维码进行入校申请。</w:t>
      </w:r>
      <w:r>
        <w:rPr>
          <w:rFonts w:hint="eastAsia" w:ascii="宋体" w:hAnsi="宋体"/>
          <w:b/>
          <w:bCs/>
          <w:sz w:val="28"/>
          <w:szCs w:val="28"/>
          <w:highlight w:val="none"/>
        </w:rPr>
        <w:t>若因未申请，不能准时送达，后果自负。</w:t>
      </w:r>
    </w:p>
    <w:p>
      <w:pPr>
        <w:widowControl/>
        <w:shd w:val="clear" w:color="auto" w:fill="FFFFFF"/>
        <w:spacing w:before="75" w:after="75" w:line="360" w:lineRule="auto"/>
        <w:ind w:firstLine="1019" w:firstLineChars="364"/>
        <w:jc w:val="left"/>
        <w:rPr>
          <w:rFonts w:ascii="宋体" w:hAnsi="宋体"/>
          <w:sz w:val="28"/>
          <w:szCs w:val="28"/>
          <w:highlight w:val="none"/>
        </w:rPr>
      </w:pPr>
      <w:r>
        <w:rPr>
          <w:rFonts w:hint="eastAsia" w:ascii="宋体" w:hAnsi="宋体"/>
          <w:sz w:val="28"/>
          <w:szCs w:val="28"/>
          <w:highlight w:val="none"/>
        </w:rPr>
        <w:t>校内联系人信息：姓名：刘玉环；工号：</w:t>
      </w:r>
      <w:r>
        <w:rPr>
          <w:rFonts w:ascii="宋体" w:hAnsi="宋体"/>
          <w:sz w:val="28"/>
          <w:szCs w:val="28"/>
          <w:highlight w:val="none"/>
        </w:rPr>
        <w:t>850170</w:t>
      </w:r>
      <w:r>
        <w:rPr>
          <w:rFonts w:hint="eastAsia" w:ascii="宋体" w:hAnsi="宋体"/>
          <w:sz w:val="28"/>
          <w:szCs w:val="28"/>
          <w:highlight w:val="none"/>
        </w:rPr>
        <w:t>。</w:t>
      </w:r>
    </w:p>
    <w:p>
      <w:pPr>
        <w:pStyle w:val="2"/>
        <w:spacing w:line="360" w:lineRule="auto"/>
        <w:ind w:firstLine="480"/>
        <w:jc w:val="center"/>
        <w:rPr>
          <w:rFonts w:ascii="宋体" w:cs="宋体"/>
          <w:sz w:val="24"/>
          <w:highlight w:val="none"/>
        </w:rPr>
      </w:pPr>
      <w:r>
        <w:rPr>
          <w:rFonts w:ascii="宋体" w:cs="宋体"/>
          <w:sz w:val="24"/>
          <w:highlight w:val="none"/>
        </w:rPr>
        <w:drawing>
          <wp:inline distT="0" distB="0" distL="0" distR="0">
            <wp:extent cx="2112010" cy="1963420"/>
            <wp:effectExtent l="0" t="0" r="2540" b="1778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8802" cy="1970036"/>
                    </a:xfrm>
                    <a:prstGeom prst="rect">
                      <a:avLst/>
                    </a:prstGeom>
                    <a:noFill/>
                    <a:ln>
                      <a:noFill/>
                    </a:ln>
                  </pic:spPr>
                </pic:pic>
              </a:graphicData>
            </a:graphic>
          </wp:inline>
        </w:drawing>
      </w:r>
    </w:p>
    <w:p>
      <w:pPr>
        <w:pStyle w:val="2"/>
        <w:spacing w:line="360" w:lineRule="auto"/>
        <w:ind w:firstLine="560"/>
        <w:rPr>
          <w:rFonts w:ascii="宋体" w:hAnsi="宋体"/>
          <w:sz w:val="28"/>
          <w:szCs w:val="28"/>
          <w:highlight w:val="none"/>
        </w:rPr>
      </w:pPr>
    </w:p>
    <w:p>
      <w:pPr>
        <w:widowControl/>
        <w:adjustRightInd w:val="0"/>
        <w:snapToGrid w:val="0"/>
        <w:spacing w:line="360" w:lineRule="auto"/>
        <w:ind w:firstLine="560" w:firstLineChars="200"/>
        <w:rPr>
          <w:rFonts w:eastAsia="黑体"/>
          <w:highlight w:val="none"/>
        </w:rPr>
      </w:pPr>
      <w:r>
        <w:rPr>
          <w:rFonts w:hint="eastAsia" w:ascii="宋体" w:hAnsi="宋体"/>
          <w:sz w:val="28"/>
          <w:szCs w:val="28"/>
          <w:highlight w:val="none"/>
        </w:rPr>
        <w:t>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。联系人：马老师、罗老师、刘老师；联系电话：025-58731441。</w:t>
      </w:r>
    </w:p>
    <w:p>
      <w:pPr>
        <w:widowControl/>
        <w:spacing w:line="360" w:lineRule="auto"/>
        <w:ind w:firstLine="560" w:firstLineChars="200"/>
        <w:rPr>
          <w:rFonts w:ascii="宋体" w:hAnsi="宋体"/>
          <w:b/>
          <w:sz w:val="28"/>
          <w:szCs w:val="28"/>
          <w:highlight w:val="none"/>
        </w:rPr>
      </w:pPr>
      <w:r>
        <w:rPr>
          <w:rFonts w:hint="eastAsia" w:ascii="宋体" w:hAnsi="宋体"/>
          <w:sz w:val="28"/>
          <w:szCs w:val="28"/>
          <w:highlight w:val="none"/>
        </w:rPr>
        <w:t>（二）</w:t>
      </w:r>
      <w:r>
        <w:rPr>
          <w:rFonts w:hint="eastAsia" w:ascii="宋体" w:hAnsi="宋体"/>
          <w:b/>
          <w:sz w:val="28"/>
          <w:szCs w:val="28"/>
          <w:highlight w:val="none"/>
        </w:rPr>
        <w:t>邮寄方式：请各投标单位务必用顺丰快递</w:t>
      </w:r>
      <w:r>
        <w:rPr>
          <w:rFonts w:hint="eastAsia" w:ascii="宋体" w:hAnsi="宋体"/>
          <w:sz w:val="28"/>
          <w:szCs w:val="28"/>
          <w:highlight w:val="none"/>
        </w:rPr>
        <w:t>，合理安排时间并及时关注邮寄信息，确保邮件资料于投标截止时间前送达我校。投标截止时间后，招标人不受理任何投标文件。</w:t>
      </w:r>
      <w:r>
        <w:rPr>
          <w:rFonts w:hint="eastAsia" w:ascii="宋体" w:hAnsi="宋体"/>
          <w:b/>
          <w:sz w:val="28"/>
          <w:szCs w:val="28"/>
          <w:highlight w:val="none"/>
        </w:rPr>
        <w:t>（提醒：采用邮寄方式供应商，视为自动放弃参与现场唱标，并对我校唱标流程、内容均无异议）。（若后期有调整，会将调整信息发送到各投标单位报名邮箱，请各投标单位在投标前密切关注报名邮箱）</w:t>
      </w:r>
    </w:p>
    <w:p>
      <w:pPr>
        <w:widowControl/>
        <w:spacing w:line="360" w:lineRule="auto"/>
        <w:ind w:firstLine="560" w:firstLineChars="200"/>
        <w:rPr>
          <w:rFonts w:ascii="宋体" w:hAnsi="宋体"/>
          <w:b/>
          <w:sz w:val="28"/>
          <w:szCs w:val="28"/>
          <w:highlight w:val="none"/>
        </w:rPr>
      </w:pPr>
      <w:r>
        <w:rPr>
          <w:rFonts w:hint="eastAsia" w:ascii="宋体" w:hAnsi="宋体"/>
          <w:sz w:val="28"/>
          <w:szCs w:val="28"/>
          <w:highlight w:val="none"/>
        </w:rPr>
        <w:t>邮寄送达地点：</w:t>
      </w:r>
      <w:r>
        <w:rPr>
          <w:rFonts w:hint="eastAsia" w:ascii="宋体" w:hAnsi="宋体" w:cs="宋体"/>
          <w:kern w:val="0"/>
          <w:sz w:val="28"/>
          <w:szCs w:val="28"/>
          <w:highlight w:val="none"/>
        </w:rPr>
        <w:t>南京市浦口区宁六路219号</w:t>
      </w:r>
      <w:r>
        <w:rPr>
          <w:rFonts w:ascii="宋体" w:hAnsi="宋体" w:cs="宋体"/>
          <w:kern w:val="0"/>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kern w:val="0"/>
          <w:sz w:val="28"/>
          <w:szCs w:val="28"/>
          <w:highlight w:val="none"/>
        </w:rPr>
        <w:t>招标办。联系人：马老师、罗老师、刘老师；联系电话：025-58731441</w:t>
      </w:r>
    </w:p>
    <w:p>
      <w:pPr>
        <w:widowControl/>
        <w:spacing w:line="360" w:lineRule="auto"/>
        <w:ind w:firstLine="560" w:firstLineChars="200"/>
        <w:rPr>
          <w:rFonts w:ascii="宋体" w:hAnsi="宋体"/>
          <w:sz w:val="28"/>
          <w:szCs w:val="28"/>
          <w:highlight w:val="none"/>
        </w:rPr>
      </w:pPr>
      <w:bookmarkStart w:id="11" w:name="_GoBack"/>
      <w:bookmarkEnd w:id="11"/>
      <w:r>
        <w:rPr>
          <w:rFonts w:hint="eastAsia" w:ascii="宋体" w:hAnsi="宋体"/>
          <w:sz w:val="28"/>
          <w:szCs w:val="28"/>
          <w:highlight w:val="none"/>
        </w:rPr>
        <w:t>投标截止时间：202</w:t>
      </w:r>
      <w:r>
        <w:rPr>
          <w:rFonts w:hint="eastAsia" w:ascii="宋体" w:hAnsi="宋体"/>
          <w:sz w:val="28"/>
          <w:szCs w:val="28"/>
          <w:highlight w:val="none"/>
          <w:lang w:val="en-US" w:eastAsia="zh-CN"/>
        </w:rPr>
        <w:t>3</w:t>
      </w:r>
      <w:r>
        <w:rPr>
          <w:rFonts w:hint="eastAsia" w:ascii="宋体" w:hAnsi="宋体"/>
          <w:sz w:val="28"/>
          <w:szCs w:val="28"/>
          <w:highlight w:val="none"/>
        </w:rPr>
        <w:t>年0</w:t>
      </w:r>
      <w:r>
        <w:rPr>
          <w:rFonts w:hint="eastAsia" w:ascii="宋体" w:hAnsi="宋体"/>
          <w:sz w:val="28"/>
          <w:szCs w:val="28"/>
          <w:highlight w:val="none"/>
          <w:lang w:val="en-US" w:eastAsia="zh-CN"/>
        </w:rPr>
        <w:t>6</w:t>
      </w:r>
      <w:r>
        <w:rPr>
          <w:rFonts w:hint="eastAsia" w:ascii="宋体" w:hAnsi="宋体"/>
          <w:sz w:val="28"/>
          <w:szCs w:val="28"/>
          <w:highlight w:val="none"/>
        </w:rPr>
        <w:t>月</w:t>
      </w:r>
      <w:r>
        <w:rPr>
          <w:rFonts w:hint="eastAsia" w:ascii="宋体" w:hAnsi="宋体"/>
          <w:sz w:val="28"/>
          <w:szCs w:val="28"/>
          <w:highlight w:val="none"/>
          <w:lang w:val="en-US" w:eastAsia="zh-CN"/>
        </w:rPr>
        <w:t>27</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sz w:val="28"/>
          <w:szCs w:val="28"/>
          <w:highlight w:val="none"/>
          <w:lang w:val="en-US" w:eastAsia="zh-CN"/>
        </w:rPr>
        <w:t>（北京时间）</w:t>
      </w:r>
      <w:r>
        <w:rPr>
          <w:rFonts w:hint="eastAsia" w:ascii="宋体" w:hAnsi="宋体"/>
          <w:sz w:val="28"/>
          <w:szCs w:val="28"/>
          <w:highlight w:val="none"/>
        </w:rPr>
        <w:t>。</w:t>
      </w:r>
      <w:bookmarkStart w:id="7" w:name="_Hlk32349437"/>
    </w:p>
    <w:bookmarkEnd w:id="7"/>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（1）唱标</w:t>
      </w:r>
      <w:r>
        <w:rPr>
          <w:rFonts w:hint="eastAsia" w:ascii="宋体" w:hAnsi="宋体"/>
          <w:sz w:val="28"/>
          <w:szCs w:val="28"/>
          <w:highlight w:val="none"/>
          <w:lang w:eastAsia="zh-CN"/>
        </w:rPr>
        <w:t>、</w:t>
      </w:r>
      <w:r>
        <w:rPr>
          <w:rFonts w:hint="eastAsia" w:ascii="宋体" w:hAnsi="宋体"/>
          <w:sz w:val="28"/>
          <w:szCs w:val="28"/>
          <w:highlight w:val="none"/>
        </w:rPr>
        <w:t>开标：202</w:t>
      </w:r>
      <w:r>
        <w:rPr>
          <w:rFonts w:hint="eastAsia" w:ascii="宋体" w:hAnsi="宋体"/>
          <w:sz w:val="28"/>
          <w:szCs w:val="28"/>
          <w:highlight w:val="none"/>
          <w:lang w:val="en-US" w:eastAsia="zh-CN"/>
        </w:rPr>
        <w:t>3</w:t>
      </w:r>
      <w:r>
        <w:rPr>
          <w:rFonts w:hint="eastAsia" w:ascii="宋体" w:hAnsi="宋体"/>
          <w:sz w:val="28"/>
          <w:szCs w:val="28"/>
          <w:highlight w:val="none"/>
        </w:rPr>
        <w:t>年0</w:t>
      </w:r>
      <w:r>
        <w:rPr>
          <w:rFonts w:hint="eastAsia" w:ascii="宋体" w:hAnsi="宋体"/>
          <w:sz w:val="28"/>
          <w:szCs w:val="28"/>
          <w:highlight w:val="none"/>
          <w:lang w:val="en-US" w:eastAsia="zh-CN"/>
        </w:rPr>
        <w:t>6</w:t>
      </w:r>
      <w:r>
        <w:rPr>
          <w:rFonts w:hint="eastAsia" w:ascii="宋体" w:hAnsi="宋体"/>
          <w:sz w:val="28"/>
          <w:szCs w:val="28"/>
          <w:highlight w:val="none"/>
        </w:rPr>
        <w:t>月</w:t>
      </w:r>
      <w:r>
        <w:rPr>
          <w:rFonts w:hint="eastAsia" w:ascii="宋体" w:hAnsi="宋体"/>
          <w:sz w:val="28"/>
          <w:szCs w:val="28"/>
          <w:highlight w:val="none"/>
          <w:lang w:val="en-US" w:eastAsia="zh-CN"/>
        </w:rPr>
        <w:t>27</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sz w:val="28"/>
          <w:szCs w:val="28"/>
          <w:highlight w:val="none"/>
          <w:lang w:val="en-US" w:eastAsia="zh-CN"/>
        </w:rPr>
        <w:t>（北京时间）</w:t>
      </w:r>
      <w:r>
        <w:rPr>
          <w:rFonts w:hint="eastAsia" w:ascii="宋体" w:hAnsi="宋体"/>
          <w:sz w:val="28"/>
          <w:szCs w:val="28"/>
          <w:highlight w:val="none"/>
        </w:rPr>
        <w:t>；(开标、唱标工作全程视频监控并录音录像)。</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w:t>
      </w:r>
      <w:r>
        <w:rPr>
          <w:rFonts w:ascii="宋体" w:hAnsi="宋体"/>
          <w:sz w:val="28"/>
          <w:szCs w:val="28"/>
          <w:highlight w:val="none"/>
        </w:rPr>
        <w:t>15950524809</w:t>
      </w:r>
      <w:r>
        <w:rPr>
          <w:rFonts w:hint="eastAsia" w:ascii="宋体" w:hAnsi="宋体"/>
          <w:sz w:val="28"/>
          <w:szCs w:val="28"/>
          <w:highlight w:val="none"/>
        </w:rPr>
        <w:t xml:space="preserve"> ，联系人：</w:t>
      </w:r>
      <w:r>
        <w:rPr>
          <w:rFonts w:hint="eastAsia" w:ascii="宋体" w:hAnsi="宋体"/>
          <w:sz w:val="28"/>
          <w:szCs w:val="28"/>
          <w:highlight w:val="none"/>
          <w:lang w:val="en-US" w:eastAsia="zh-CN"/>
        </w:rPr>
        <w:t>邢</w:t>
      </w:r>
      <w:r>
        <w:rPr>
          <w:rFonts w:hint="eastAsia" w:ascii="宋体" w:hAnsi="宋体"/>
          <w:sz w:val="28"/>
          <w:szCs w:val="28"/>
          <w:highlight w:val="none"/>
        </w:rPr>
        <w:t>老师。</w:t>
      </w:r>
    </w:p>
    <w:p>
      <w:pPr>
        <w:pStyle w:val="8"/>
        <w:ind w:left="0" w:leftChars="0" w:right="0" w:rightChars="0"/>
        <w:rPr>
          <w:rFonts w:ascii="宋体" w:hAnsi="宋体"/>
          <w:sz w:val="28"/>
          <w:szCs w:val="28"/>
          <w:highlight w:val="none"/>
        </w:rPr>
      </w:pPr>
    </w:p>
    <w:p>
      <w:pPr>
        <w:tabs>
          <w:tab w:val="left" w:pos="1260"/>
        </w:tabs>
        <w:spacing w:line="360" w:lineRule="auto"/>
        <w:ind w:left="1959" w:leftChars="933" w:firstLine="2530" w:firstLineChars="900"/>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1"/>
        <w:spacing w:line="360" w:lineRule="auto"/>
        <w:ind w:left="99" w:leftChars="47" w:firstLine="4919" w:firstLineChars="1750"/>
        <w:rPr>
          <w:rStyle w:val="41"/>
          <w:rFonts w:ascii="宋体" w:hAnsi="Times New Roman" w:eastAsia="宋体"/>
          <w:sz w:val="28"/>
          <w:szCs w:val="28"/>
          <w:highlight w:val="none"/>
        </w:rPr>
      </w:pPr>
      <w:r>
        <w:rPr>
          <w:rStyle w:val="41"/>
          <w:rFonts w:ascii="宋体" w:hAnsi="宋体" w:eastAsia="宋体"/>
          <w:sz w:val="28"/>
          <w:szCs w:val="28"/>
          <w:highlight w:val="none"/>
        </w:rPr>
        <w:t>20</w:t>
      </w:r>
      <w:r>
        <w:rPr>
          <w:rStyle w:val="41"/>
          <w:rFonts w:hint="eastAsia" w:ascii="宋体" w:hAnsi="宋体" w:eastAsia="宋体"/>
          <w:sz w:val="28"/>
          <w:szCs w:val="28"/>
          <w:highlight w:val="none"/>
        </w:rPr>
        <w:t>2</w:t>
      </w:r>
      <w:r>
        <w:rPr>
          <w:rStyle w:val="41"/>
          <w:rFonts w:hint="eastAsia" w:ascii="宋体" w:hAnsi="宋体"/>
          <w:sz w:val="28"/>
          <w:szCs w:val="28"/>
          <w:highlight w:val="none"/>
          <w:lang w:val="en-US"/>
        </w:rPr>
        <w:t>3</w:t>
      </w:r>
      <w:r>
        <w:rPr>
          <w:rStyle w:val="41"/>
          <w:rFonts w:hint="eastAsia" w:ascii="宋体" w:hAnsi="宋体" w:eastAsia="宋体"/>
          <w:sz w:val="28"/>
          <w:szCs w:val="28"/>
          <w:highlight w:val="none"/>
        </w:rPr>
        <w:t>年</w:t>
      </w:r>
      <w:r>
        <w:rPr>
          <w:rStyle w:val="41"/>
          <w:rFonts w:hint="eastAsia" w:ascii="宋体" w:hAnsi="宋体"/>
          <w:sz w:val="28"/>
          <w:szCs w:val="28"/>
          <w:highlight w:val="none"/>
        </w:rPr>
        <w:t>0</w:t>
      </w:r>
      <w:r>
        <w:rPr>
          <w:rStyle w:val="41"/>
          <w:rFonts w:hint="eastAsia" w:ascii="宋体" w:hAnsi="宋体"/>
          <w:sz w:val="28"/>
          <w:szCs w:val="28"/>
          <w:highlight w:val="none"/>
          <w:lang w:val="en-US"/>
        </w:rPr>
        <w:t>6</w:t>
      </w:r>
      <w:r>
        <w:rPr>
          <w:rStyle w:val="41"/>
          <w:rFonts w:hint="eastAsia" w:ascii="宋体" w:hAnsi="宋体" w:eastAsia="宋体"/>
          <w:sz w:val="28"/>
          <w:szCs w:val="28"/>
          <w:highlight w:val="none"/>
        </w:rPr>
        <w:t>月</w:t>
      </w:r>
      <w:r>
        <w:rPr>
          <w:rStyle w:val="41"/>
          <w:rFonts w:hint="eastAsia" w:ascii="宋体" w:hAnsi="宋体"/>
          <w:sz w:val="28"/>
          <w:szCs w:val="28"/>
          <w:highlight w:val="none"/>
        </w:rPr>
        <w:t>0</w:t>
      </w:r>
      <w:r>
        <w:rPr>
          <w:rStyle w:val="41"/>
          <w:rFonts w:hint="eastAsia" w:ascii="宋体" w:hAnsi="宋体"/>
          <w:sz w:val="28"/>
          <w:szCs w:val="28"/>
          <w:highlight w:val="none"/>
          <w:lang w:val="en-US"/>
        </w:rPr>
        <w:t>6</w:t>
      </w:r>
      <w:r>
        <w:rPr>
          <w:rStyle w:val="41"/>
          <w:rFonts w:hint="eastAsia" w:ascii="宋体" w:hAnsi="宋体" w:eastAsia="宋体"/>
          <w:sz w:val="28"/>
          <w:szCs w:val="28"/>
          <w:highlight w:val="none"/>
        </w:rPr>
        <w:t>日</w:t>
      </w:r>
    </w:p>
    <w:bookmarkEnd w:id="8"/>
    <w:p>
      <w:pPr>
        <w:pStyle w:val="10"/>
        <w:adjustRightInd w:val="0"/>
        <w:snapToGrid w:val="0"/>
        <w:spacing w:before="120" w:after="120" w:line="360" w:lineRule="auto"/>
        <w:rPr>
          <w:rStyle w:val="41"/>
          <w:rFonts w:ascii="宋体" w:hAnsi="宋体" w:eastAsia="宋体"/>
          <w:b w:val="0"/>
          <w:sz w:val="28"/>
          <w:szCs w:val="28"/>
          <w:highlight w:val="none"/>
        </w:rPr>
      </w:pPr>
      <w:r>
        <w:rPr>
          <w:rStyle w:val="41"/>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spacing w:line="360" w:lineRule="auto"/>
        <w:ind w:left="180"/>
        <w:jc w:val="center"/>
        <w:rPr>
          <w:rFonts w:hAnsi="宋体"/>
          <w:b/>
          <w:sz w:val="28"/>
          <w:szCs w:val="28"/>
          <w:highlight w:val="none"/>
        </w:rPr>
      </w:pPr>
      <w:r>
        <w:rPr>
          <w:rFonts w:hint="eastAsia" w:hAnsi="宋体"/>
          <w:b/>
          <w:sz w:val="28"/>
          <w:szCs w:val="28"/>
          <w:highlight w:val="none"/>
        </w:rPr>
        <w:t>招标项目名称、数量、主要技术要求及其他要求</w:t>
      </w:r>
    </w:p>
    <w:p>
      <w:pPr>
        <w:widowControl/>
        <w:jc w:val="left"/>
        <w:rPr>
          <w:rFonts w:hAnsi="宋体"/>
          <w:b/>
          <w:sz w:val="28"/>
          <w:szCs w:val="28"/>
          <w:highlight w:val="none"/>
        </w:rPr>
      </w:pPr>
    </w:p>
    <w:tbl>
      <w:tblPr>
        <w:tblStyle w:val="17"/>
        <w:tblW w:w="10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014"/>
        <w:gridCol w:w="3083"/>
        <w:gridCol w:w="1283"/>
        <w:gridCol w:w="1200"/>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4"/>
                <w:highlight w:val="none"/>
                <w:lang w:val="en-US" w:eastAsia="zh-CN" w:bidi="ar"/>
              </w:rPr>
            </w:pPr>
            <w:r>
              <w:rPr>
                <w:rFonts w:hint="eastAsia" w:ascii="仿宋_GB2312" w:hAnsi="仿宋_GB2312" w:eastAsia="仿宋_GB2312" w:cs="仿宋_GB2312"/>
                <w:b/>
                <w:bCs/>
                <w:color w:val="000000"/>
                <w:kern w:val="0"/>
                <w:sz w:val="24"/>
                <w:highlight w:val="none"/>
                <w:lang w:val="en-US" w:eastAsia="zh-CN" w:bidi="ar"/>
              </w:rPr>
              <w:t>序号</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color w:val="000000"/>
                <w:kern w:val="0"/>
                <w:sz w:val="24"/>
                <w:highlight w:val="none"/>
                <w:lang w:bidi="ar"/>
              </w:rPr>
              <w:t>课程中文名称</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color w:val="000000"/>
                <w:kern w:val="0"/>
                <w:sz w:val="24"/>
                <w:highlight w:val="none"/>
                <w:lang w:bidi="ar"/>
              </w:rPr>
              <w:t>课程英文名称</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课程</w:t>
            </w:r>
            <w:r>
              <w:rPr>
                <w:rFonts w:hint="eastAsia" w:ascii="宋体" w:hAnsi="宋体" w:cs="宋体"/>
                <w:b/>
                <w:bCs/>
                <w:i w:val="0"/>
                <w:iCs w:val="0"/>
                <w:color w:val="000000"/>
                <w:kern w:val="0"/>
                <w:sz w:val="21"/>
                <w:szCs w:val="21"/>
                <w:highlight w:val="none"/>
                <w:u w:val="none"/>
                <w:lang w:val="en-US" w:eastAsia="zh-CN" w:bidi="ar"/>
              </w:rPr>
              <w:t>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拍摄单元</w:t>
            </w:r>
          </w:p>
          <w:p>
            <w:pPr>
              <w:widowControl/>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color w:val="000000"/>
                <w:kern w:val="0"/>
                <w:sz w:val="24"/>
                <w:highlight w:val="none"/>
                <w:lang w:bidi="ar"/>
              </w:rPr>
              <w:t>（个）</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color w:val="000000"/>
                <w:kern w:val="0"/>
                <w:sz w:val="24"/>
                <w:highlight w:val="none"/>
                <w:lang w:bidi="ar"/>
              </w:rPr>
              <w:t>单元视频时长（分钟）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构成设计I</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sz w:val="21"/>
                <w:szCs w:val="21"/>
                <w:highlight w:val="none"/>
              </w:rPr>
              <w:t>Composition Design</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lang w:val="en-US" w:eastAsia="zh-CN" w:bidi="mn-Mong-CN"/>
              </w:rPr>
            </w:pPr>
            <w:r>
              <w:rPr>
                <w:rFonts w:hint="eastAsia" w:ascii="仿宋_GB2312" w:hAnsi="仿宋_GB2312" w:eastAsia="仿宋_GB2312" w:cs="仿宋_GB2312"/>
                <w:color w:val="000000"/>
                <w:kern w:val="0"/>
                <w:sz w:val="22"/>
                <w:szCs w:val="22"/>
                <w:highlight w:val="none"/>
                <w:lang w:val="en-US" w:eastAsia="zh-CN" w:bidi="ar"/>
              </w:rPr>
              <w:t>文管</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地理空间数据科学</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i w:val="0"/>
                <w:iCs w:val="0"/>
                <w:color w:val="000000"/>
                <w:sz w:val="21"/>
                <w:szCs w:val="21"/>
                <w:highlight w:val="none"/>
                <w:u w:val="none"/>
                <w:lang w:val="en-US" w:eastAsia="zh-CN" w:bidi="mn-Mong-CN"/>
              </w:rPr>
              <w:t>Geospatial Data Science</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lang w:val="en-US" w:eastAsia="zh-CN" w:bidi="mn-Mong-CN"/>
              </w:rPr>
            </w:pPr>
            <w:r>
              <w:rPr>
                <w:rFonts w:hint="eastAsia" w:ascii="仿宋_GB2312" w:hAnsi="仿宋_GB2312" w:eastAsia="仿宋_GB2312" w:cs="仿宋_GB2312"/>
                <w:color w:val="000000"/>
                <w:kern w:val="0"/>
                <w:sz w:val="22"/>
                <w:szCs w:val="22"/>
                <w:highlight w:val="none"/>
                <w:lang w:val="en-US" w:eastAsia="zh-CN" w:bidi="ar"/>
              </w:rPr>
              <w:t>理学</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传统文化体验与</w:t>
            </w:r>
            <w:r>
              <w:rPr>
                <w:rFonts w:hint="eastAsia" w:ascii="宋体" w:hAnsi="宋体" w:eastAsia="宋体" w:cs="宋体"/>
                <w:i w:val="0"/>
                <w:iCs w:val="0"/>
                <w:color w:val="000000"/>
                <w:kern w:val="0"/>
                <w:sz w:val="21"/>
                <w:szCs w:val="21"/>
                <w:highlight w:val="none"/>
                <w:u w:val="none"/>
                <w:lang w:val="en-US" w:eastAsia="zh-CN" w:bidi="ar"/>
              </w:rPr>
              <w:t>双语</w:t>
            </w:r>
            <w:r>
              <w:rPr>
                <w:rFonts w:hint="eastAsia" w:ascii="宋体" w:hAnsi="宋体" w:cs="宋体"/>
                <w:i w:val="0"/>
                <w:iCs w:val="0"/>
                <w:color w:val="000000"/>
                <w:kern w:val="0"/>
                <w:sz w:val="21"/>
                <w:szCs w:val="21"/>
                <w:highlight w:val="none"/>
                <w:u w:val="none"/>
                <w:lang w:val="en-US" w:eastAsia="zh-CN" w:bidi="ar"/>
              </w:rPr>
              <w:t>传播</w:t>
            </w:r>
            <w:r>
              <w:rPr>
                <w:rFonts w:hint="eastAsia" w:ascii="宋体" w:hAnsi="宋体" w:eastAsia="宋体" w:cs="宋体"/>
                <w:i w:val="0"/>
                <w:iCs w:val="0"/>
                <w:color w:val="000000"/>
                <w:kern w:val="0"/>
                <w:sz w:val="21"/>
                <w:szCs w:val="21"/>
                <w:highlight w:val="none"/>
                <w:u w:val="none"/>
                <w:lang w:val="en-US" w:eastAsia="zh-CN" w:bidi="ar"/>
              </w:rPr>
              <w:t>实践</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sz w:val="21"/>
                <w:szCs w:val="21"/>
                <w:highlight w:val="none"/>
              </w:rPr>
              <w:t>Traditional Cultural Experience and Bilingual Communication Practice</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lang w:val="en-US" w:eastAsia="zh-CN" w:bidi="mn-Mong-CN"/>
              </w:rPr>
            </w:pPr>
            <w:r>
              <w:rPr>
                <w:rFonts w:hint="eastAsia" w:ascii="仿宋_GB2312" w:hAnsi="仿宋_GB2312" w:eastAsia="仿宋_GB2312" w:cs="仿宋_GB2312"/>
                <w:color w:val="000000"/>
                <w:kern w:val="0"/>
                <w:sz w:val="22"/>
                <w:szCs w:val="22"/>
                <w:highlight w:val="none"/>
                <w:lang w:bidi="ar"/>
              </w:rPr>
              <w:t>文管类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金融学</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i w:val="0"/>
                <w:iCs w:val="0"/>
                <w:color w:val="000000"/>
                <w:sz w:val="21"/>
                <w:szCs w:val="21"/>
                <w:highlight w:val="none"/>
                <w:u w:val="none"/>
                <w:lang w:val="en-US" w:eastAsia="zh-CN" w:bidi="mn-Mong-CN"/>
              </w:rPr>
              <w:t>The Economics of Money, Banking and  Financial Markets</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rPr>
            </w:pPr>
            <w:r>
              <w:rPr>
                <w:rFonts w:hint="eastAsia" w:ascii="仿宋_GB2312" w:hAnsi="仿宋_GB2312" w:eastAsia="仿宋_GB2312" w:cs="仿宋_GB2312"/>
                <w:color w:val="000000"/>
                <w:kern w:val="0"/>
                <w:sz w:val="22"/>
                <w:szCs w:val="22"/>
                <w:highlight w:val="none"/>
                <w:lang w:bidi="ar"/>
              </w:rPr>
              <w:t>文管类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计算物理</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sz w:val="21"/>
                <w:szCs w:val="21"/>
                <w:highlight w:val="none"/>
              </w:rPr>
              <w:t>Computational Physics</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lang w:val="en-US" w:eastAsia="zh-CN" w:bidi="mn-Mong-CN"/>
              </w:rPr>
            </w:pPr>
            <w:r>
              <w:rPr>
                <w:rFonts w:hint="eastAsia" w:ascii="仿宋_GB2312" w:hAnsi="仿宋_GB2312" w:eastAsia="仿宋_GB2312" w:cs="仿宋_GB2312"/>
                <w:color w:val="000000"/>
                <w:kern w:val="0"/>
                <w:sz w:val="22"/>
                <w:szCs w:val="22"/>
                <w:highlight w:val="none"/>
                <w:lang w:val="en-US" w:eastAsia="zh-CN" w:bidi="ar"/>
              </w:rPr>
              <w:t>理学</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氢能与燃料电池</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i w:val="0"/>
                <w:iCs w:val="0"/>
                <w:color w:val="000000"/>
                <w:sz w:val="21"/>
                <w:szCs w:val="21"/>
                <w:highlight w:val="none"/>
                <w:u w:val="none"/>
                <w:lang w:val="en-US" w:eastAsia="zh-CN" w:bidi="mn-Mong-CN"/>
              </w:rPr>
              <w:t>Hydrogen Energy and Fuel Cell</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lang w:val="en-US" w:eastAsia="zh-CN" w:bidi="mn-Mong-CN"/>
              </w:rPr>
            </w:pPr>
            <w:r>
              <w:rPr>
                <w:rFonts w:hint="eastAsia" w:ascii="仿宋_GB2312" w:hAnsi="仿宋_GB2312" w:eastAsia="仿宋_GB2312" w:cs="仿宋_GB2312"/>
                <w:color w:val="000000"/>
                <w:kern w:val="0"/>
                <w:sz w:val="22"/>
                <w:szCs w:val="22"/>
                <w:highlight w:val="none"/>
                <w:lang w:val="en-US" w:eastAsia="zh-CN" w:bidi="ar"/>
              </w:rPr>
              <w:t>工科</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数据挖掘与Python应用</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sz w:val="21"/>
                <w:szCs w:val="21"/>
                <w:highlight w:val="none"/>
              </w:rPr>
              <w:t>Data Mining and Python Application</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lang w:val="en-US" w:eastAsia="zh-CN" w:bidi="mn-Mong-CN"/>
              </w:rPr>
            </w:pPr>
            <w:r>
              <w:rPr>
                <w:rFonts w:hint="eastAsia" w:ascii="仿宋_GB2312" w:hAnsi="仿宋_GB2312" w:eastAsia="仿宋_GB2312" w:cs="仿宋_GB2312"/>
                <w:color w:val="000000"/>
                <w:kern w:val="0"/>
                <w:sz w:val="22"/>
                <w:szCs w:val="22"/>
                <w:highlight w:val="none"/>
                <w:lang w:val="en-US" w:eastAsia="zh-CN" w:bidi="ar"/>
              </w:rPr>
              <w:t>文管</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大学物理</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sz w:val="21"/>
                <w:szCs w:val="21"/>
                <w:highlight w:val="none"/>
              </w:rPr>
              <w:t>College Physics</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rPr>
            </w:pPr>
            <w:r>
              <w:rPr>
                <w:rFonts w:hint="eastAsia" w:ascii="仿宋_GB2312" w:hAnsi="仿宋_GB2312" w:eastAsia="仿宋_GB2312" w:cs="仿宋_GB2312"/>
                <w:color w:val="000000"/>
                <w:kern w:val="0"/>
                <w:sz w:val="22"/>
                <w:szCs w:val="22"/>
                <w:highlight w:val="none"/>
                <w:lang w:bidi="ar"/>
              </w:rPr>
              <w:t>理学类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分析化学</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sz w:val="21"/>
                <w:szCs w:val="21"/>
                <w:highlight w:val="none"/>
                <w:lang w:val="en-US" w:eastAsia="zh-CN"/>
              </w:rPr>
              <w:t>Analytical Chemistry</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rPr>
            </w:pPr>
            <w:r>
              <w:rPr>
                <w:rFonts w:hint="eastAsia" w:ascii="仿宋_GB2312" w:hAnsi="仿宋_GB2312" w:eastAsia="仿宋_GB2312" w:cs="仿宋_GB2312"/>
                <w:color w:val="000000"/>
                <w:kern w:val="0"/>
                <w:sz w:val="22"/>
                <w:szCs w:val="22"/>
                <w:highlight w:val="none"/>
                <w:lang w:bidi="ar"/>
              </w:rPr>
              <w:t>工科类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电子技术基础</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Foundations of Electronic</w:t>
            </w:r>
          </w:p>
          <w:p>
            <w:pPr>
              <w:keepNext w:val="0"/>
              <w:keepLines w:val="0"/>
              <w:widowControl/>
              <w:suppressLineNumbers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Technology</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2"/>
                <w:szCs w:val="22"/>
                <w:highlight w:val="none"/>
                <w:lang w:bidi="ar"/>
              </w:rPr>
              <w:t>工科类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电气工程概论</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sz w:val="21"/>
                <w:szCs w:val="21"/>
                <w:highlight w:val="none"/>
              </w:rPr>
              <w:t>Introduction to Electrical Engineering</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2"/>
                <w:szCs w:val="22"/>
                <w:highlight w:val="none"/>
                <w:lang w:val="en-US" w:eastAsia="zh-CN" w:bidi="ar"/>
              </w:rPr>
              <w:t>工科</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数值天气预报</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bidi="mn-Mong-CN"/>
              </w:rPr>
            </w:pPr>
            <w:r>
              <w:rPr>
                <w:rFonts w:hint="default" w:ascii="Times New Roman" w:hAnsi="Times New Roman" w:eastAsia="宋体" w:cs="Times New Roman"/>
                <w:sz w:val="21"/>
                <w:szCs w:val="21"/>
                <w:highlight w:val="none"/>
              </w:rPr>
              <w:t>Numerical Weather Prediction</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21"/>
                <w:szCs w:val="21"/>
                <w:highlight w:val="none"/>
                <w:u w:val="none"/>
                <w:lang w:val="en-US" w:eastAsia="zh-CN" w:bidi="mn-Mong-CN"/>
              </w:rPr>
            </w:pPr>
            <w:r>
              <w:rPr>
                <w:rFonts w:hint="eastAsia" w:ascii="仿宋_GB2312" w:hAnsi="仿宋_GB2312" w:eastAsia="仿宋_GB2312" w:cs="仿宋_GB2312"/>
                <w:color w:val="000000"/>
                <w:kern w:val="0"/>
                <w:sz w:val="22"/>
                <w:szCs w:val="22"/>
                <w:highlight w:val="none"/>
                <w:lang w:val="en-US" w:eastAsia="zh-CN" w:bidi="ar"/>
              </w:rPr>
              <w:t>理学</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13</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化工原理及实验</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Principles and Experiments of Chemical Engineering</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2"/>
                <w:szCs w:val="22"/>
                <w:highlight w:val="none"/>
                <w:lang w:val="en-US" w:eastAsia="zh-CN" w:bidi="ar"/>
              </w:rPr>
              <w:t>工科</w:t>
            </w:r>
            <w:r>
              <w:rPr>
                <w:rFonts w:hint="eastAsia" w:ascii="仿宋_GB2312" w:hAnsi="仿宋_GB2312" w:eastAsia="仿宋_GB2312" w:cs="仿宋_GB2312"/>
                <w:color w:val="000000"/>
                <w:kern w:val="0"/>
                <w:sz w:val="22"/>
                <w:szCs w:val="22"/>
                <w:highlight w:val="none"/>
                <w:lang w:bidi="ar"/>
              </w:rPr>
              <w:t>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微观计量经济学</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Microeconometrics</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2"/>
                <w:szCs w:val="22"/>
                <w:highlight w:val="none"/>
                <w:lang w:bidi="ar"/>
              </w:rPr>
              <w:t>文管类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仿宋_GB2312" w:hAnsi="仿宋_GB2312" w:eastAsia="仿宋_GB2312" w:cs="仿宋_GB2312"/>
                <w:color w:val="000000"/>
                <w:kern w:val="0"/>
                <w:sz w:val="24"/>
                <w:highlight w:val="none"/>
                <w:lang w:val="en-US" w:eastAsia="zh-CN" w:bidi="ar"/>
              </w:rPr>
              <w:t>15-</w:t>
            </w:r>
            <w:r>
              <w:rPr>
                <w:rFonts w:hint="eastAsia" w:ascii="仿宋_GB2312" w:hAnsi="仿宋_GB2312" w:eastAsia="仿宋_GB2312" w:cs="仿宋_GB2312"/>
                <w:color w:val="000000"/>
                <w:kern w:val="0"/>
                <w:sz w:val="24"/>
                <w:highlight w:val="none"/>
                <w:lang w:bidi="ar"/>
              </w:rPr>
              <w:t>20</w:t>
            </w:r>
          </w:p>
        </w:tc>
      </w:tr>
    </w:tbl>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注：每门课拍摄10个单元，每个单元视频时长</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根据需要，约15-20</w:t>
      </w:r>
      <w:r>
        <w:rPr>
          <w:rFonts w:hint="eastAsia" w:ascii="宋体" w:hAnsi="宋体" w:cs="宋体"/>
          <w:kern w:val="0"/>
          <w:sz w:val="28"/>
          <w:szCs w:val="28"/>
          <w:highlight w:val="none"/>
        </w:rPr>
        <w:t>分钟，共计视频不低于时长</w:t>
      </w:r>
      <w:r>
        <w:rPr>
          <w:rFonts w:hint="eastAsia" w:ascii="宋体" w:hAnsi="宋体" w:cs="宋体"/>
          <w:kern w:val="0"/>
          <w:sz w:val="28"/>
          <w:szCs w:val="28"/>
          <w:highlight w:val="none"/>
          <w:lang w:val="en-US" w:eastAsia="zh-CN"/>
        </w:rPr>
        <w:t>2100</w:t>
      </w:r>
      <w:r>
        <w:rPr>
          <w:rFonts w:hint="eastAsia" w:ascii="宋体" w:hAnsi="宋体" w:cs="宋体"/>
          <w:kern w:val="0"/>
          <w:sz w:val="28"/>
          <w:szCs w:val="28"/>
          <w:highlight w:val="none"/>
        </w:rPr>
        <w:t>分钟</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lang w:val="en-US" w:eastAsia="zh-CN"/>
        </w:rPr>
        <w:t>不超过时长2800分钟</w:t>
      </w:r>
      <w:r>
        <w:rPr>
          <w:rFonts w:hint="eastAsia" w:ascii="宋体" w:hAnsi="宋体" w:cs="宋体"/>
          <w:kern w:val="0"/>
          <w:sz w:val="28"/>
          <w:szCs w:val="28"/>
          <w:highlight w:val="none"/>
        </w:rPr>
        <w:t>。</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二、主要技术指标和主要技术特点</w:t>
      </w:r>
    </w:p>
    <w:p>
      <w:pPr>
        <w:snapToGrid w:val="0"/>
        <w:spacing w:line="538" w:lineRule="exact"/>
        <w:jc w:val="left"/>
        <w:rPr>
          <w:rFonts w:ascii="宋体" w:hAnsi="宋体" w:cs="宋体"/>
          <w:b/>
          <w:sz w:val="28"/>
          <w:szCs w:val="28"/>
          <w:highlight w:val="none"/>
        </w:rPr>
      </w:pPr>
      <w:r>
        <w:rPr>
          <w:rFonts w:hint="eastAsia" w:ascii="宋体" w:hAnsi="宋体" w:cs="宋体"/>
          <w:b/>
          <w:sz w:val="28"/>
          <w:szCs w:val="28"/>
          <w:highlight w:val="none"/>
        </w:rPr>
        <w:t>（一）人员配置及设备要求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备2年以上经验的课程顾问团队，课程编导与老师深度沟通，提供一对一的课程咨询服务，收集材料，辅助老师策划设计课程，课程知识点设计，起草课程脚本、拟定分组镜头大纲，并根据课程教师团队的实际需求，开展课程建设与拍摄制作专题培训。</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具备资深专业摄像师、摄像助理、化妆师、灯光师、场记员等专业摄像团队拍摄现场服务，包括拍摄前及拍摄过程摄像机、机位位置、音频设备、灯光调试管理，化妆，拍摄进度、时间、内容、景别等内容的记录。</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3、拍摄设备：专业高清摄像机（至少3机位）、拍摄轨道、摇臂、1.5米小型轨等；辅助记忆设备（提词器）1套；专业无线麦模式的音频设备、专业影视摄影镐灯，LED面光灯等。</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4、具备专业的视频处理团队进行视频调色渲染、特效包装、动画制作、字幕制作、视频转换等专业团队进行视频后期处理。</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5、要求投入本项目组人数不少于9人，其中项目负责人1人、课程编导1人、摄像2人、化妆师1人，后期制作人员4人。</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 xml:space="preserve">（二）课程制作要求  </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富媒体化内容的组织要求，投标人需要根据老师提供素材包含作业、习题、讲义、参考资料及其他与课程相关的资源进行整合，以视频、音频、图书、论文、文本、图片、动画等多种形式制作精良的课程视频。</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2、知识单元化，课程制作按照知识点进行，每个知识点是一个独立的课程单元（即一个课时），视频时长原则上不低于</w:t>
      </w:r>
      <w:r>
        <w:rPr>
          <w:rFonts w:hint="eastAsia" w:ascii="宋体" w:hAnsi="宋体" w:cs="宋体"/>
          <w:bCs/>
          <w:sz w:val="28"/>
          <w:szCs w:val="28"/>
          <w:highlight w:val="none"/>
          <w:lang w:val="en-US" w:eastAsia="zh-CN"/>
        </w:rPr>
        <w:t>15</w:t>
      </w:r>
      <w:r>
        <w:rPr>
          <w:rFonts w:hint="eastAsia" w:ascii="宋体" w:hAnsi="宋体" w:cs="宋体"/>
          <w:bCs/>
          <w:sz w:val="28"/>
          <w:szCs w:val="28"/>
          <w:highlight w:val="none"/>
        </w:rPr>
        <w:t>分钟，具体根据课程知识点而定，包含该知识点的授课视频、动画、参考资料、作业题、试题库及其它相关资源等。</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3、版权要求。投标人因课程建设需要提供的学术视频、动画、片头 片尾、图片、音频、图书、论文等素材，要求</w:t>
      </w:r>
      <w:r>
        <w:rPr>
          <w:rFonts w:hint="eastAsia" w:ascii="宋体" w:hAnsi="宋体" w:cs="宋体"/>
          <w:bCs/>
          <w:sz w:val="28"/>
          <w:szCs w:val="28"/>
          <w:highlight w:val="none"/>
          <w:lang w:val="en-US" w:eastAsia="zh-CN"/>
        </w:rPr>
        <w:t>投标人对上述素材</w:t>
      </w:r>
      <w:r>
        <w:rPr>
          <w:rFonts w:hint="eastAsia" w:ascii="宋体" w:hAnsi="宋体" w:cs="宋体"/>
          <w:bCs/>
          <w:sz w:val="28"/>
          <w:szCs w:val="28"/>
          <w:highlight w:val="none"/>
        </w:rPr>
        <w:t>具有完整的知识产权，且其产权归属学校所有。</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4、画面中教师以中景和近景为主，要求人物和板书(或其他画面元素)同样清晰，不允许无教师形象的全程板书或PPT配音。</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（三）视频制作要求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录像环境应光线充足、安静，拍摄环境为教学现场或专业摄影棚；课程组可根据需要选择学校或投标商提供的拍摄场地。投标商须根据课程内容需求，搭建拍摄场景。如学校提供场地，制作公司需提供所需所有设备并搭建拍摄场景，提供驻场服务。</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2、必须使用高清数字设备进行录制，采用至少三机位拍摄方式进行拍摄，要求视频信号源，稳定性：全片图像同步性能稳定，无失步现象，CTL 同步控制信号必须连续；图像无抖动跳跃，色彩无突变，编辑点处图像稳定。</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信噪比：图像信噪比不低于55dB，无明显杂波。色调：白平衡正确，无明显偏色，多机拍摄的镜头衔接处无明显色差。</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视频电平：视频全讯号幅度为 1Ⅴp-p，最大不超过 1.1Ⅴp-p。其中，消隐电平为 0V 时，白电平幅度 0.7Ⅴp-p，同步信号-0.3V，色同步信号幅度 0.3Vp-p (以消隐线上下对称)，全片一致。</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支持转换 mp4，mpg，flv等通用的视频格式。</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3、必须使用专业级话筒及音频处理设备，保证录音质量。音频信号源，声道：中文内容音频信号记录于第1声道，音乐、音效、同期声记录于第2声道，若有其他文字解说记录于第 3 声道（如录音设备无第3声道，则录于第2声道）。电平指标：-2db—-8db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4、前期采用高清拍摄时，分辨率不低1080p(1920*1080)，采用 16：9模式。视频处理压缩采用 H.264(MPEG-4 Part10：profile=main, level=3.0)及以上标准编码方式，码流速率1024bps以上，帧率不低于25fps。</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5、音频压缩采用AAC(MPEG4 Part3)格式。采样率48KHz。音频码流率 128Kbps (恒定)。双声道，须做混音处理。配音可中英文双音轨模式。</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动画制作，动画指的是需要根据要求设计的、需要建模制作的复杂视频效果，要求提供可嵌入视频的动画，嵌入时与视频融合恰当。二维动画如人物表示（以卡通形象替代教师、卡通形象互动）等不作为动画。平均动画时间不低于 300 秒/门课，同一动画重复使用不重复计算时长。</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可支持中英文双字幕模式。</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8、片头片尾，片头一般不超过10秒，应包括:学校LOGO、课程名称、主讲教师信息。片尾包括版权单位等信息。</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9、拍摄效果不可低于投标人提供的案例课程。</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10、抠像效果平滑，与背景色调一致。</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（四）交付要求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1、提供分辨率不低于 1080p（16:9），MP4 格式的视频文件一套。</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2、根据项目申报需要提供相应要求的视频文件一套。</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3、投标公司承诺拍摄的全部母带级别视频文件和成品文件至少提供一年的保存服务并交付学校电子档一份</w:t>
      </w:r>
      <w:r>
        <w:rPr>
          <w:rFonts w:hint="eastAsia" w:ascii="宋体" w:hAnsi="宋体" w:cs="宋体"/>
          <w:b/>
          <w:sz w:val="28"/>
          <w:szCs w:val="28"/>
          <w:highlight w:val="none"/>
        </w:rPr>
        <w:t>（投标时需提供承诺书，格式自拟，加盖投标人公章）</w:t>
      </w:r>
      <w:r>
        <w:rPr>
          <w:rFonts w:hint="eastAsia" w:ascii="宋体" w:hAnsi="宋体" w:cs="宋体"/>
          <w:bCs/>
          <w:sz w:val="28"/>
          <w:szCs w:val="28"/>
          <w:highlight w:val="none"/>
        </w:rPr>
        <w:t>。</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4、协助老师将课程相关资料上传到学校指定的网络教学平台。</w:t>
      </w:r>
    </w:p>
    <w:p>
      <w:pPr>
        <w:snapToGrid w:val="0"/>
        <w:spacing w:line="538" w:lineRule="exact"/>
        <w:ind w:firstLine="562" w:firstLineChars="200"/>
        <w:rPr>
          <w:rFonts w:ascii="宋体" w:hAnsi="宋体" w:cs="宋体"/>
          <w:bCs/>
          <w:sz w:val="28"/>
          <w:szCs w:val="28"/>
          <w:highlight w:val="none"/>
        </w:rPr>
      </w:pPr>
      <w:r>
        <w:rPr>
          <w:rFonts w:hint="eastAsia" w:ascii="宋体" w:hAnsi="宋体" w:cs="宋体"/>
          <w:b/>
          <w:sz w:val="28"/>
          <w:szCs w:val="28"/>
          <w:highlight w:val="none"/>
        </w:rPr>
        <w:t xml:space="preserve">（五）课程网站建设要求 </w:t>
      </w:r>
      <w:r>
        <w:rPr>
          <w:rFonts w:hint="eastAsia" w:ascii="宋体" w:hAnsi="宋体" w:cs="宋体"/>
          <w:bCs/>
          <w:sz w:val="28"/>
          <w:szCs w:val="28"/>
          <w:highlight w:val="none"/>
        </w:rPr>
        <w:t xml:space="preserve"> </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本项目所建设在线开放课程要求在校方指定的网络教学平台上线，投标公司要协助教师完成课程网站建设服务，协助上传包括按照知识点提供的视频、课程介绍、教学大纲、教学进程、教案或演示文稿、作业、参考资料目录、案例库、素材资源库等资料。 </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（六）课程运行要求</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要求投标人提供本项目所开发的课程在我校指定平台1年的辅助服务，包括但不限于提供主讲教师对课程资源等咨询服务和课程运行质量辅助服务。</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 xml:space="preserve">（七）售后服务要求   </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1、维保期3年。产品交付招标人验收合格之日起3年内。</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2、维保期内，投标人对所建设的课程无条件提供修改服务，修改次数不少于3次，且累计内容不低于20%。</w:t>
      </w:r>
    </w:p>
    <w:p>
      <w:pP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3、如招标方因课程需要，实际课程建设总量低于招标要求，不足部分作为预购服务，中标商根据招标方的调整计划，补足课程制作数量，有效期不限。</w:t>
      </w:r>
    </w:p>
    <w:p>
      <w:pPr>
        <w:pStyle w:val="8"/>
        <w:ind w:left="0" w:leftChars="0" w:right="1470" w:firstLine="562" w:firstLineChars="200"/>
        <w:jc w:val="left"/>
        <w:rPr>
          <w:rFonts w:ascii="宋体" w:hAnsi="宋体" w:cs="宋体"/>
          <w:b/>
          <w:sz w:val="28"/>
          <w:szCs w:val="28"/>
          <w:highlight w:val="none"/>
        </w:rPr>
      </w:pPr>
      <w:r>
        <w:rPr>
          <w:rFonts w:hint="eastAsia" w:ascii="宋体" w:hAnsi="宋体" w:cs="宋体"/>
          <w:b/>
          <w:sz w:val="28"/>
          <w:szCs w:val="28"/>
          <w:highlight w:val="none"/>
        </w:rPr>
        <w:t>（八）演示</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投标单位需要提供演示视频（</w:t>
      </w:r>
      <w:r>
        <w:rPr>
          <w:rFonts w:hint="eastAsia" w:ascii="宋体" w:hAnsi="宋体" w:cs="宋体"/>
          <w:b/>
          <w:sz w:val="30"/>
          <w:szCs w:val="30"/>
          <w:highlight w:val="none"/>
          <w:u w:val="single"/>
        </w:rPr>
        <w:t>U盘单独密封，随投标文件一起寄送，未寄送演示视频视为无效投标</w:t>
      </w:r>
      <w:r>
        <w:rPr>
          <w:rFonts w:hint="eastAsia" w:ascii="宋体" w:hAnsi="宋体" w:cs="宋体"/>
          <w:b/>
          <w:sz w:val="28"/>
          <w:szCs w:val="28"/>
          <w:highlight w:val="none"/>
        </w:rPr>
        <w:t>），演示的时间不得超过</w:t>
      </w:r>
      <w:r>
        <w:rPr>
          <w:rFonts w:hint="eastAsia" w:ascii="宋体" w:hAnsi="宋体" w:cs="宋体"/>
          <w:b/>
          <w:sz w:val="28"/>
          <w:szCs w:val="28"/>
          <w:highlight w:val="none"/>
          <w:lang w:val="en-US" w:eastAsia="zh-CN"/>
        </w:rPr>
        <w:t>5</w:t>
      </w:r>
      <w:r>
        <w:rPr>
          <w:rFonts w:hint="eastAsia" w:ascii="宋体" w:hAnsi="宋体" w:cs="宋体"/>
          <w:b/>
          <w:sz w:val="28"/>
          <w:szCs w:val="28"/>
          <w:highlight w:val="none"/>
        </w:rPr>
        <w:t>分钟。</w:t>
      </w:r>
    </w:p>
    <w:p>
      <w:pPr>
        <w:snapToGrid w:val="0"/>
        <w:spacing w:line="538"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投标人须严格按照学校所招标课程类别（理学类、工科类、文管类）演示由投标人制作的英文课程视频。</w:t>
      </w:r>
    </w:p>
    <w:p>
      <w:pPr>
        <w:pStyle w:val="53"/>
        <w:rPr>
          <w:rFonts w:hint="eastAsia" w:hAnsi="宋体"/>
          <w:bCs/>
          <w:color w:val="auto"/>
          <w:kern w:val="2"/>
          <w:sz w:val="28"/>
          <w:szCs w:val="28"/>
          <w:highlight w:val="none"/>
        </w:rPr>
      </w:pPr>
      <w:r>
        <w:rPr>
          <w:rFonts w:hint="eastAsia" w:hAnsi="宋体"/>
          <w:bCs/>
          <w:color w:val="auto"/>
          <w:kern w:val="2"/>
          <w:sz w:val="28"/>
          <w:szCs w:val="28"/>
          <w:highlight w:val="none"/>
        </w:rPr>
        <w:t>（本部分内容由南京信息工程大学</w:t>
      </w:r>
      <w:r>
        <w:rPr>
          <w:rFonts w:hint="eastAsia" w:hAnsi="宋体"/>
          <w:bCs/>
          <w:color w:val="auto"/>
          <w:kern w:val="2"/>
          <w:sz w:val="28"/>
          <w:szCs w:val="28"/>
          <w:highlight w:val="none"/>
          <w:lang w:val="en-US" w:eastAsia="zh-CN"/>
        </w:rPr>
        <w:t>国际合作与交流处</w:t>
      </w:r>
      <w:r>
        <w:rPr>
          <w:rFonts w:hint="eastAsia" w:hAnsi="宋体"/>
          <w:bCs/>
          <w:color w:val="auto"/>
          <w:kern w:val="2"/>
          <w:sz w:val="28"/>
          <w:szCs w:val="28"/>
          <w:highlight w:val="none"/>
        </w:rPr>
        <w:t>提供并负责）</w:t>
      </w:r>
    </w:p>
    <w:p>
      <w:pPr>
        <w:snapToGrid w:val="0"/>
        <w:spacing w:line="538" w:lineRule="exact"/>
        <w:ind w:firstLine="562" w:firstLineChars="200"/>
        <w:rPr>
          <w:rFonts w:ascii="宋体" w:hAnsi="宋体" w:cs="宋体"/>
          <w:b/>
          <w:sz w:val="28"/>
          <w:szCs w:val="28"/>
          <w:highlight w:val="none"/>
        </w:rPr>
      </w:pPr>
    </w:p>
    <w:p>
      <w:pPr>
        <w:ind w:left="838" w:leftChars="399" w:firstLine="840" w:firstLineChars="300"/>
        <w:rPr>
          <w:rFonts w:ascii="宋体" w:hAnsi="宋体" w:cs="宋体"/>
          <w:kern w:val="0"/>
          <w:sz w:val="28"/>
          <w:szCs w:val="28"/>
          <w:highlight w:val="none"/>
        </w:rPr>
      </w:pPr>
    </w:p>
    <w:p>
      <w:pPr>
        <w:widowControl/>
        <w:jc w:val="left"/>
        <w:rPr>
          <w:rFonts w:hAnsi="宋体"/>
          <w:b/>
          <w:sz w:val="28"/>
          <w:szCs w:val="28"/>
          <w:highlight w:val="none"/>
        </w:rPr>
      </w:pPr>
    </w:p>
    <w:p>
      <w:pPr>
        <w:widowControl/>
        <w:jc w:val="left"/>
        <w:rPr>
          <w:rFonts w:hAnsi="宋体"/>
          <w:b/>
          <w:sz w:val="28"/>
          <w:szCs w:val="28"/>
          <w:highlight w:val="none"/>
        </w:rPr>
      </w:pPr>
    </w:p>
    <w:p>
      <w:pPr>
        <w:pStyle w:val="4"/>
        <w:rPr>
          <w:rFonts w:hAnsi="宋体"/>
          <w:b/>
          <w:sz w:val="28"/>
          <w:szCs w:val="28"/>
          <w:highlight w:val="none"/>
        </w:rPr>
      </w:pPr>
    </w:p>
    <w:p>
      <w:pPr>
        <w:rPr>
          <w:rFonts w:hAnsi="宋体"/>
          <w:b/>
          <w:sz w:val="28"/>
          <w:szCs w:val="28"/>
          <w:highlight w:val="none"/>
        </w:rPr>
      </w:pPr>
    </w:p>
    <w:p>
      <w:pPr>
        <w:pStyle w:val="4"/>
        <w:rPr>
          <w:rFonts w:hAnsi="宋体"/>
          <w:b/>
          <w:sz w:val="28"/>
          <w:szCs w:val="28"/>
          <w:highlight w:val="none"/>
        </w:rPr>
      </w:pPr>
    </w:p>
    <w:p>
      <w:pPr>
        <w:rPr>
          <w:rFonts w:hAnsi="宋体"/>
          <w:b/>
          <w:sz w:val="28"/>
          <w:szCs w:val="28"/>
          <w:highlight w:val="none"/>
        </w:rPr>
      </w:pPr>
    </w:p>
    <w:p>
      <w:pPr>
        <w:rPr>
          <w:highlight w:val="none"/>
        </w:rPr>
      </w:pPr>
    </w:p>
    <w:p>
      <w:pPr>
        <w:widowControl/>
        <w:jc w:val="left"/>
        <w:rPr>
          <w:rFonts w:hAnsi="宋体"/>
          <w:b/>
          <w:sz w:val="28"/>
          <w:szCs w:val="28"/>
          <w:highlight w:val="none"/>
        </w:rPr>
      </w:pPr>
    </w:p>
    <w:p>
      <w:pPr>
        <w:pStyle w:val="2"/>
        <w:ind w:left="0" w:leftChars="0" w:firstLine="0" w:firstLineChars="0"/>
        <w:rPr>
          <w:rFonts w:hAnsi="宋体"/>
          <w:b/>
          <w:sz w:val="28"/>
          <w:szCs w:val="28"/>
          <w:highlight w:val="none"/>
        </w:rPr>
      </w:pPr>
    </w:p>
    <w:p>
      <w:pPr>
        <w:widowControl/>
        <w:jc w:val="left"/>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tabs>
          <w:tab w:val="left" w:pos="3270"/>
        </w:tabs>
        <w:autoSpaceDE w:val="0"/>
        <w:autoSpaceDN w:val="0"/>
        <w:adjustRightInd w:val="0"/>
        <w:spacing w:line="360" w:lineRule="exact"/>
        <w:rPr>
          <w:rFonts w:ascii="宋体" w:hAnsi="宋体"/>
          <w:b/>
          <w:sz w:val="24"/>
          <w:highlight w:val="none"/>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highlight w:val="none"/>
          <w:lang w:val="zh-CN"/>
        </w:rPr>
      </w:pPr>
      <w:r>
        <w:rPr>
          <w:rFonts w:hint="eastAsia" w:ascii="宋体" w:hAnsi="宋体"/>
          <w:b/>
          <w:sz w:val="36"/>
          <w:szCs w:val="36"/>
          <w:highlight w:val="none"/>
          <w:lang w:val="zh-CN"/>
        </w:rPr>
        <w:t>投标函</w:t>
      </w:r>
    </w:p>
    <w:p>
      <w:pPr>
        <w:autoSpaceDE w:val="0"/>
        <w:autoSpaceDN w:val="0"/>
        <w:adjustRightInd w:val="0"/>
        <w:spacing w:line="300" w:lineRule="auto"/>
        <w:rPr>
          <w:rFonts w:ascii="宋体" w:hAnsi="宋体"/>
          <w:sz w:val="24"/>
          <w:highlight w:val="none"/>
          <w:lang w:val="zh-CN"/>
        </w:rPr>
      </w:pPr>
      <w:r>
        <w:rPr>
          <w:rFonts w:hint="eastAsia" w:ascii="宋体" w:hAnsi="宋体"/>
          <w:sz w:val="24"/>
          <w:highlight w:val="none"/>
          <w:lang w:val="zh-CN"/>
        </w:rPr>
        <w:t>致：南京信息工程大学</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autoSpaceDE w:val="0"/>
        <w:autoSpaceDN w:val="0"/>
        <w:adjustRightInd w:val="0"/>
        <w:spacing w:line="300" w:lineRule="auto"/>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按招标要求，我们的投标总报价为人民币大写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开户银行：</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银行账号：</w:t>
      </w:r>
    </w:p>
    <w:p>
      <w:pPr>
        <w:autoSpaceDE w:val="0"/>
        <w:autoSpaceDN w:val="0"/>
        <w:adjustRightInd w:val="0"/>
        <w:spacing w:line="300" w:lineRule="auto"/>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autoSpaceDE w:val="0"/>
        <w:autoSpaceDN w:val="0"/>
        <w:adjustRightInd w:val="0"/>
        <w:spacing w:line="300" w:lineRule="auto"/>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pacing w:line="360" w:lineRule="auto"/>
        <w:jc w:val="center"/>
        <w:rPr>
          <w:rFonts w:ascii="宋体"/>
          <w:sz w:val="44"/>
          <w:szCs w:val="44"/>
          <w:highlight w:val="none"/>
        </w:rPr>
      </w:pPr>
      <w:r>
        <w:rPr>
          <w:rFonts w:hint="eastAsia" w:ascii="宋体" w:hAnsi="宋体"/>
          <w:sz w:val="44"/>
          <w:szCs w:val="44"/>
          <w:highlight w:val="none"/>
        </w:rPr>
        <w:t>投标项目报价明细表</w:t>
      </w:r>
    </w:p>
    <w:p>
      <w:pPr>
        <w:spacing w:line="360" w:lineRule="auto"/>
        <w:rPr>
          <w:rFonts w:ascii="宋体"/>
          <w:sz w:val="28"/>
          <w:szCs w:val="28"/>
          <w:highlight w:val="none"/>
          <w:u w:val="single"/>
        </w:rPr>
      </w:pPr>
      <w:r>
        <w:rPr>
          <w:rFonts w:hint="eastAsia" w:ascii="宋体" w:hAnsi="宋体"/>
          <w:sz w:val="28"/>
          <w:szCs w:val="28"/>
          <w:highlight w:val="none"/>
        </w:rPr>
        <w:t>投标人</w:t>
      </w:r>
    </w:p>
    <w:p>
      <w:pPr>
        <w:spacing w:line="360" w:lineRule="auto"/>
        <w:rPr>
          <w:rFonts w:ascii="宋体"/>
          <w:sz w:val="28"/>
          <w:szCs w:val="28"/>
          <w:highlight w:val="none"/>
          <w:u w:val="single"/>
        </w:rPr>
      </w:pPr>
      <w:r>
        <w:rPr>
          <w:rFonts w:hint="eastAsia" w:ascii="宋体" w:hAnsi="宋体"/>
          <w:sz w:val="28"/>
          <w:szCs w:val="28"/>
          <w:highlight w:val="none"/>
        </w:rPr>
        <w:t>招标编号及分包号</w:t>
      </w:r>
    </w:p>
    <w:p>
      <w:pPr>
        <w:spacing w:line="360" w:lineRule="auto"/>
        <w:rPr>
          <w:rFonts w:ascii="宋体"/>
          <w:sz w:val="28"/>
          <w:szCs w:val="28"/>
          <w:highlight w:val="none"/>
          <w:u w:val="single"/>
        </w:rPr>
      </w:pPr>
      <w:r>
        <w:rPr>
          <w:rFonts w:hint="eastAsia" w:ascii="宋体" w:hAnsi="宋体"/>
          <w:sz w:val="28"/>
          <w:szCs w:val="28"/>
          <w:highlight w:val="none"/>
        </w:rPr>
        <w:t>投标报价</w:t>
      </w:r>
    </w:p>
    <w:tbl>
      <w:tblPr>
        <w:tblStyle w:val="1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rPr>
                <w:rFonts w:ascii="宋体"/>
                <w:b/>
                <w:sz w:val="28"/>
                <w:szCs w:val="28"/>
                <w:highlight w:val="none"/>
              </w:rPr>
            </w:pPr>
            <w:r>
              <w:rPr>
                <w:rFonts w:hint="eastAsia" w:ascii="宋体" w:hAnsi="宋体"/>
                <w:b/>
                <w:sz w:val="28"/>
                <w:szCs w:val="28"/>
                <w:highlight w:val="none"/>
              </w:rPr>
              <w:t>分包号</w:t>
            </w:r>
          </w:p>
        </w:tc>
        <w:tc>
          <w:tcPr>
            <w:tcW w:w="1065" w:type="dxa"/>
            <w:vAlign w:val="center"/>
          </w:tcPr>
          <w:p>
            <w:pPr>
              <w:spacing w:line="360" w:lineRule="auto"/>
              <w:jc w:val="center"/>
              <w:rPr>
                <w:rFonts w:ascii="宋体" w:hAnsi="宋体"/>
                <w:b/>
                <w:sz w:val="28"/>
                <w:szCs w:val="28"/>
                <w:highlight w:val="none"/>
              </w:rPr>
            </w:pPr>
            <w:r>
              <w:rPr>
                <w:rFonts w:hint="eastAsia" w:ascii="宋体" w:hAnsi="宋体"/>
                <w:b/>
                <w:sz w:val="28"/>
                <w:szCs w:val="28"/>
                <w:highlight w:val="none"/>
              </w:rPr>
              <w:t>品牌</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名称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货物</w:t>
            </w:r>
          </w:p>
          <w:p>
            <w:pPr>
              <w:spacing w:line="360" w:lineRule="auto"/>
              <w:jc w:val="center"/>
              <w:rPr>
                <w:rFonts w:ascii="宋体"/>
                <w:b/>
                <w:sz w:val="28"/>
                <w:szCs w:val="28"/>
                <w:highlight w:val="none"/>
              </w:rPr>
            </w:pPr>
            <w:r>
              <w:rPr>
                <w:rFonts w:hint="eastAsia" w:ascii="宋体" w:hAnsi="宋体"/>
                <w:b/>
                <w:sz w:val="28"/>
                <w:szCs w:val="28"/>
                <w:highlight w:val="none"/>
              </w:rPr>
              <w:t>描述</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计量</w:t>
            </w:r>
          </w:p>
          <w:p>
            <w:pPr>
              <w:spacing w:line="360" w:lineRule="auto"/>
              <w:jc w:val="center"/>
              <w:rPr>
                <w:rFonts w:ascii="宋体"/>
                <w:b/>
                <w:sz w:val="28"/>
                <w:szCs w:val="28"/>
                <w:highlight w:val="none"/>
              </w:rPr>
            </w:pPr>
            <w:r>
              <w:rPr>
                <w:rFonts w:hint="eastAsia" w:ascii="宋体" w:hAnsi="宋体"/>
                <w:b/>
                <w:sz w:val="28"/>
                <w:szCs w:val="28"/>
                <w:highlight w:val="none"/>
              </w:rPr>
              <w:t>单位</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数量</w:t>
            </w:r>
          </w:p>
        </w:tc>
        <w:tc>
          <w:tcPr>
            <w:tcW w:w="1065"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单价</w:t>
            </w:r>
          </w:p>
        </w:tc>
        <w:tc>
          <w:tcPr>
            <w:tcW w:w="1066" w:type="dxa"/>
            <w:vAlign w:val="center"/>
          </w:tcPr>
          <w:p>
            <w:pPr>
              <w:spacing w:line="360" w:lineRule="auto"/>
              <w:jc w:val="center"/>
              <w:rPr>
                <w:rFonts w:ascii="宋体"/>
                <w:b/>
                <w:sz w:val="28"/>
                <w:szCs w:val="28"/>
                <w:highlight w:val="none"/>
              </w:rPr>
            </w:pPr>
            <w:r>
              <w:rPr>
                <w:rFonts w:hint="eastAsia" w:ascii="宋体" w:hAnsi="宋体"/>
                <w:b/>
                <w:sz w:val="28"/>
                <w:szCs w:val="28"/>
                <w:highlight w:val="none"/>
              </w:rPr>
              <w:t>每项</w:t>
            </w:r>
          </w:p>
          <w:p>
            <w:pPr>
              <w:spacing w:line="360" w:lineRule="auto"/>
              <w:jc w:val="center"/>
              <w:rPr>
                <w:rFonts w:ascii="宋体"/>
                <w:b/>
                <w:sz w:val="28"/>
                <w:szCs w:val="28"/>
                <w:highlight w:val="none"/>
              </w:rPr>
            </w:pPr>
            <w:r>
              <w:rPr>
                <w:rFonts w:hint="eastAsia" w:ascii="宋体" w:hAnsi="宋体"/>
                <w:b/>
                <w:sz w:val="28"/>
                <w:szCs w:val="28"/>
                <w:highlight w:val="none"/>
              </w:rPr>
              <w:t>总价</w:t>
            </w:r>
          </w:p>
        </w:tc>
        <w:tc>
          <w:tcPr>
            <w:tcW w:w="1066" w:type="dxa"/>
          </w:tcPr>
          <w:p>
            <w:pPr>
              <w:spacing w:line="360" w:lineRule="auto"/>
              <w:jc w:val="center"/>
              <w:rPr>
                <w:rFonts w:ascii="宋体"/>
                <w:b/>
                <w:sz w:val="28"/>
                <w:szCs w:val="28"/>
                <w:highlight w:val="none"/>
              </w:rPr>
            </w:pPr>
            <w:r>
              <w:rPr>
                <w:rFonts w:hint="eastAsia" w:ascii="宋体" w:hAnsi="宋体"/>
                <w:b/>
                <w:sz w:val="28"/>
                <w:szCs w:val="28"/>
                <w:highlight w:val="none"/>
              </w:rPr>
              <w:t>质保</w:t>
            </w:r>
          </w:p>
          <w:p>
            <w:pPr>
              <w:spacing w:line="360" w:lineRule="auto"/>
              <w:jc w:val="center"/>
              <w:rPr>
                <w:rFonts w:ascii="宋体"/>
                <w:b/>
                <w:sz w:val="28"/>
                <w:szCs w:val="28"/>
                <w:highlight w:val="none"/>
              </w:rPr>
            </w:pPr>
            <w:r>
              <w:rPr>
                <w:rFonts w:hint="eastAsia" w:ascii="宋体" w:hAnsi="宋体"/>
                <w:b/>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360" w:lineRule="auto"/>
              <w:jc w:val="center"/>
              <w:rPr>
                <w:rFonts w:ascii="宋体"/>
                <w:sz w:val="28"/>
                <w:szCs w:val="28"/>
                <w:highlight w:val="none"/>
              </w:rPr>
            </w:pPr>
          </w:p>
        </w:tc>
        <w:tc>
          <w:tcPr>
            <w:tcW w:w="1065" w:type="dxa"/>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5" w:type="dxa"/>
            <w:vAlign w:val="center"/>
          </w:tcPr>
          <w:p>
            <w:pPr>
              <w:spacing w:line="360" w:lineRule="auto"/>
              <w:jc w:val="center"/>
              <w:rPr>
                <w:rFonts w:ascii="宋体"/>
                <w:sz w:val="28"/>
                <w:szCs w:val="28"/>
                <w:highlight w:val="none"/>
              </w:rPr>
            </w:pPr>
          </w:p>
        </w:tc>
        <w:tc>
          <w:tcPr>
            <w:tcW w:w="1066" w:type="dxa"/>
            <w:vAlign w:val="center"/>
          </w:tcPr>
          <w:p>
            <w:pPr>
              <w:spacing w:line="360" w:lineRule="auto"/>
              <w:jc w:val="center"/>
              <w:rPr>
                <w:rFonts w:ascii="宋体"/>
                <w:sz w:val="28"/>
                <w:szCs w:val="28"/>
                <w:highlight w:val="none"/>
              </w:rPr>
            </w:pPr>
          </w:p>
        </w:tc>
        <w:tc>
          <w:tcPr>
            <w:tcW w:w="1066"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Pr>
          <w:p>
            <w:pPr>
              <w:spacing w:line="360" w:lineRule="auto"/>
              <w:jc w:val="center"/>
              <w:rPr>
                <w:rFonts w:ascii="宋体" w:hAnsi="宋体"/>
                <w:sz w:val="28"/>
                <w:szCs w:val="28"/>
                <w:highlight w:val="none"/>
              </w:rPr>
            </w:pPr>
          </w:p>
        </w:tc>
        <w:tc>
          <w:tcPr>
            <w:tcW w:w="2130" w:type="dxa"/>
            <w:gridSpan w:val="2"/>
            <w:vAlign w:val="center"/>
          </w:tcPr>
          <w:p>
            <w:pPr>
              <w:spacing w:line="360" w:lineRule="auto"/>
              <w:jc w:val="center"/>
              <w:rPr>
                <w:rFonts w:ascii="宋体"/>
                <w:sz w:val="28"/>
                <w:szCs w:val="28"/>
                <w:highlight w:val="none"/>
              </w:rPr>
            </w:pPr>
            <w:r>
              <w:rPr>
                <w:rFonts w:hint="eastAsia" w:ascii="宋体" w:hAnsi="宋体"/>
                <w:sz w:val="28"/>
                <w:szCs w:val="28"/>
                <w:highlight w:val="none"/>
              </w:rPr>
              <w:t>合计总价</w:t>
            </w:r>
          </w:p>
        </w:tc>
        <w:tc>
          <w:tcPr>
            <w:tcW w:w="6392" w:type="dxa"/>
            <w:gridSpan w:val="6"/>
            <w:vAlign w:val="center"/>
          </w:tcPr>
          <w:p>
            <w:pPr>
              <w:spacing w:line="360" w:lineRule="auto"/>
              <w:rPr>
                <w:rFonts w:ascii="宋体"/>
                <w:sz w:val="28"/>
                <w:szCs w:val="28"/>
                <w:highlight w:val="none"/>
                <w:u w:val="single"/>
              </w:rPr>
            </w:pPr>
            <w:r>
              <w:rPr>
                <w:rFonts w:hint="eastAsia" w:ascii="宋体" w:hAnsi="宋体"/>
                <w:sz w:val="28"/>
                <w:szCs w:val="28"/>
                <w:highlight w:val="none"/>
              </w:rPr>
              <w:t>大写：小写：元</w:t>
            </w:r>
          </w:p>
        </w:tc>
      </w:tr>
    </w:tbl>
    <w:p>
      <w:pPr>
        <w:spacing w:line="360" w:lineRule="auto"/>
        <w:rPr>
          <w:rFonts w:ascii="宋体"/>
          <w:sz w:val="28"/>
          <w:szCs w:val="28"/>
          <w:highlight w:val="none"/>
        </w:rPr>
      </w:pPr>
      <w:r>
        <w:rPr>
          <w:rFonts w:hint="eastAsia" w:ascii="宋体" w:hAnsi="宋体"/>
          <w:sz w:val="28"/>
          <w:szCs w:val="28"/>
          <w:highlight w:val="none"/>
        </w:rPr>
        <w:t>（可续页）</w:t>
      </w:r>
    </w:p>
    <w:p>
      <w:pPr>
        <w:spacing w:line="360" w:lineRule="auto"/>
        <w:rPr>
          <w:rFonts w:ascii="宋体"/>
          <w:sz w:val="28"/>
          <w:szCs w:val="28"/>
          <w:highlight w:val="none"/>
        </w:rPr>
      </w:pPr>
    </w:p>
    <w:p>
      <w:pPr>
        <w:spacing w:line="360" w:lineRule="auto"/>
        <w:rPr>
          <w:rFonts w:ascii="宋体"/>
          <w:sz w:val="28"/>
          <w:szCs w:val="28"/>
          <w:highlight w:val="none"/>
          <w:u w:val="single"/>
        </w:rPr>
      </w:pPr>
      <w:r>
        <w:rPr>
          <w:rFonts w:hint="eastAsia" w:ascii="宋体" w:hAnsi="宋体"/>
          <w:sz w:val="28"/>
          <w:szCs w:val="28"/>
          <w:highlight w:val="none"/>
        </w:rPr>
        <w:t>单位盖章：</w:t>
      </w:r>
    </w:p>
    <w:p>
      <w:pPr>
        <w:spacing w:line="360" w:lineRule="auto"/>
        <w:rPr>
          <w:rFonts w:ascii="宋体"/>
          <w:sz w:val="28"/>
          <w:szCs w:val="28"/>
          <w:highlight w:val="none"/>
          <w:u w:val="single"/>
        </w:rPr>
      </w:pPr>
      <w:r>
        <w:rPr>
          <w:rFonts w:hint="eastAsia" w:ascii="宋体" w:hAnsi="宋体"/>
          <w:sz w:val="28"/>
          <w:szCs w:val="28"/>
          <w:highlight w:val="none"/>
        </w:rPr>
        <w:t>授权代表签字：</w:t>
      </w:r>
    </w:p>
    <w:p>
      <w:pPr>
        <w:spacing w:line="360" w:lineRule="auto"/>
        <w:rPr>
          <w:rFonts w:ascii="宋体"/>
          <w:sz w:val="28"/>
          <w:szCs w:val="28"/>
          <w:highlight w:val="none"/>
        </w:rPr>
      </w:pPr>
    </w:p>
    <w:p>
      <w:pPr>
        <w:spacing w:line="360" w:lineRule="auto"/>
        <w:rPr>
          <w:rFonts w:ascii="宋体"/>
          <w:sz w:val="28"/>
          <w:szCs w:val="28"/>
          <w:highlight w:val="none"/>
        </w:rPr>
      </w:pPr>
      <w:r>
        <w:rPr>
          <w:rFonts w:hint="eastAsia" w:ascii="宋体" w:hAnsi="宋体"/>
          <w:sz w:val="28"/>
          <w:szCs w:val="28"/>
          <w:highlight w:val="none"/>
        </w:rPr>
        <w:t>年月日</w:t>
      </w:r>
    </w:p>
    <w:p>
      <w:pPr>
        <w:jc w:val="left"/>
        <w:rPr>
          <w:b/>
          <w:sz w:val="28"/>
          <w:szCs w:val="28"/>
          <w:highlight w:val="none"/>
        </w:rPr>
      </w:pPr>
    </w:p>
    <w:bookmarkEnd w:id="9"/>
    <w:bookmarkEnd w:id="10"/>
    <w:p>
      <w:pPr>
        <w:jc w:val="left"/>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adjustRightInd w:val="0"/>
        <w:snapToGrid w:val="0"/>
        <w:spacing w:line="360" w:lineRule="auto"/>
        <w:ind w:firstLine="562" w:firstLineChars="200"/>
        <w:rPr>
          <w:rFonts w:ascii="宋体" w:hAnsi="宋体" w:cs="宋体"/>
          <w:b/>
          <w:bCs/>
          <w:sz w:val="28"/>
          <w:szCs w:val="28"/>
          <w:highlight w:val="none"/>
        </w:rPr>
      </w:pPr>
      <w:r>
        <w:rPr>
          <w:rFonts w:hint="eastAsia" w:ascii="宋体" w:hAnsi="宋体" w:cs="宋体"/>
          <w:b/>
          <w:bCs/>
          <w:sz w:val="28"/>
          <w:szCs w:val="28"/>
          <w:highlight w:val="none"/>
        </w:rPr>
        <w:t>1.项目总体建设要求</w:t>
      </w:r>
    </w:p>
    <w:p>
      <w:pPr>
        <w:pStyle w:val="2"/>
        <w:numPr>
          <w:ilvl w:val="0"/>
          <w:numId w:val="1"/>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建设目标：按国家级在线开放课程建设要求，完成我校</w:t>
      </w:r>
      <w:r>
        <w:rPr>
          <w:rFonts w:hint="eastAsia" w:ascii="宋体" w:hAnsi="宋体"/>
          <w:bCs/>
          <w:sz w:val="28"/>
          <w:szCs w:val="28"/>
          <w:highlight w:val="none"/>
          <w:lang w:val="en-US" w:eastAsia="zh-CN"/>
        </w:rPr>
        <w:t>14</w:t>
      </w:r>
      <w:r>
        <w:rPr>
          <w:rFonts w:hint="eastAsia" w:ascii="宋体" w:hAnsi="宋体"/>
          <w:bCs/>
          <w:sz w:val="28"/>
          <w:szCs w:val="28"/>
          <w:highlight w:val="none"/>
        </w:rPr>
        <w:t>门国际课程教学视频建设。</w:t>
      </w:r>
    </w:p>
    <w:p>
      <w:pPr>
        <w:pStyle w:val="2"/>
        <w:numPr>
          <w:ilvl w:val="0"/>
          <w:numId w:val="1"/>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建设内容：在线开放课程教学视频规划、设计、拍摄、制作、上传。视频课程后期修改、上线辅助运行。</w:t>
      </w:r>
    </w:p>
    <w:p>
      <w:pPr>
        <w:pStyle w:val="2"/>
        <w:numPr>
          <w:ilvl w:val="0"/>
          <w:numId w:val="1"/>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建设计划：</w:t>
      </w:r>
    </w:p>
    <w:p>
      <w:pPr>
        <w:pStyle w:val="2"/>
        <w:numPr>
          <w:ilvl w:val="0"/>
          <w:numId w:val="2"/>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 xml:space="preserve"> 202</w:t>
      </w:r>
      <w:r>
        <w:rPr>
          <w:rFonts w:hint="eastAsia" w:ascii="宋体" w:hAnsi="宋体"/>
          <w:bCs/>
          <w:sz w:val="28"/>
          <w:szCs w:val="28"/>
          <w:highlight w:val="none"/>
          <w:lang w:val="en-US" w:eastAsia="zh-CN"/>
        </w:rPr>
        <w:t>4</w:t>
      </w:r>
      <w:r>
        <w:rPr>
          <w:rFonts w:hint="eastAsia" w:ascii="宋体" w:hAnsi="宋体"/>
          <w:bCs/>
          <w:sz w:val="28"/>
          <w:szCs w:val="28"/>
          <w:highlight w:val="none"/>
        </w:rPr>
        <w:t xml:space="preserve">  年  </w:t>
      </w:r>
      <w:r>
        <w:rPr>
          <w:rFonts w:hint="eastAsia" w:ascii="宋体" w:hAnsi="宋体"/>
          <w:bCs/>
          <w:sz w:val="28"/>
          <w:szCs w:val="28"/>
          <w:highlight w:val="none"/>
          <w:lang w:val="en-US" w:eastAsia="zh-CN"/>
        </w:rPr>
        <w:t>2</w:t>
      </w:r>
      <w:r>
        <w:rPr>
          <w:rFonts w:hint="eastAsia" w:ascii="宋体" w:hAnsi="宋体"/>
          <w:bCs/>
          <w:sz w:val="28"/>
          <w:szCs w:val="28"/>
          <w:highlight w:val="none"/>
        </w:rPr>
        <w:t xml:space="preserve">月 </w:t>
      </w:r>
      <w:r>
        <w:rPr>
          <w:rFonts w:hint="eastAsia" w:ascii="宋体" w:hAnsi="宋体"/>
          <w:bCs/>
          <w:sz w:val="28"/>
          <w:szCs w:val="28"/>
          <w:highlight w:val="none"/>
          <w:lang w:val="en-US" w:eastAsia="zh-CN"/>
        </w:rPr>
        <w:t>28</w:t>
      </w:r>
      <w:r>
        <w:rPr>
          <w:rFonts w:hint="eastAsia" w:ascii="宋体" w:hAnsi="宋体"/>
          <w:bCs/>
          <w:sz w:val="28"/>
          <w:szCs w:val="28"/>
          <w:highlight w:val="none"/>
        </w:rPr>
        <w:t>日完成课程视频制作</w:t>
      </w:r>
    </w:p>
    <w:p>
      <w:pPr>
        <w:pStyle w:val="2"/>
        <w:numPr>
          <w:ilvl w:val="0"/>
          <w:numId w:val="2"/>
        </w:numPr>
        <w:tabs>
          <w:tab w:val="left" w:pos="844"/>
        </w:tabs>
        <w:adjustRightInd w:val="0"/>
        <w:snapToGrid w:val="0"/>
        <w:spacing w:line="360" w:lineRule="auto"/>
        <w:ind w:left="0" w:firstLine="560" w:firstLineChars="200"/>
        <w:rPr>
          <w:rFonts w:ascii="宋体" w:hAnsi="宋体"/>
          <w:bCs/>
          <w:sz w:val="28"/>
          <w:szCs w:val="28"/>
          <w:highlight w:val="none"/>
        </w:rPr>
      </w:pPr>
      <w:r>
        <w:rPr>
          <w:rFonts w:hint="eastAsia" w:ascii="宋体" w:hAnsi="宋体"/>
          <w:bCs/>
          <w:sz w:val="28"/>
          <w:szCs w:val="28"/>
          <w:highlight w:val="none"/>
        </w:rPr>
        <w:t xml:space="preserve"> 202</w:t>
      </w:r>
      <w:r>
        <w:rPr>
          <w:rFonts w:hint="eastAsia" w:ascii="宋体" w:hAnsi="宋体"/>
          <w:bCs/>
          <w:sz w:val="28"/>
          <w:szCs w:val="28"/>
          <w:highlight w:val="none"/>
          <w:lang w:val="en-US" w:eastAsia="zh-CN"/>
        </w:rPr>
        <w:t>4</w:t>
      </w:r>
      <w:r>
        <w:rPr>
          <w:rFonts w:hint="eastAsia" w:ascii="宋体" w:hAnsi="宋体"/>
          <w:bCs/>
          <w:sz w:val="28"/>
          <w:szCs w:val="28"/>
          <w:highlight w:val="none"/>
        </w:rPr>
        <w:t xml:space="preserve">  年  </w:t>
      </w:r>
      <w:r>
        <w:rPr>
          <w:rFonts w:hint="eastAsia" w:ascii="宋体" w:hAnsi="宋体"/>
          <w:bCs/>
          <w:sz w:val="28"/>
          <w:szCs w:val="28"/>
          <w:highlight w:val="none"/>
          <w:lang w:val="en-US" w:eastAsia="zh-CN"/>
        </w:rPr>
        <w:t>5</w:t>
      </w:r>
      <w:r>
        <w:rPr>
          <w:rFonts w:hint="eastAsia" w:ascii="宋体" w:hAnsi="宋体"/>
          <w:bCs/>
          <w:sz w:val="28"/>
          <w:szCs w:val="28"/>
          <w:highlight w:val="none"/>
        </w:rPr>
        <w:t xml:space="preserve"> 月 </w:t>
      </w:r>
      <w:r>
        <w:rPr>
          <w:rFonts w:hint="eastAsia" w:ascii="宋体" w:hAnsi="宋体"/>
          <w:bCs/>
          <w:sz w:val="28"/>
          <w:szCs w:val="28"/>
          <w:highlight w:val="none"/>
          <w:lang w:val="en-US" w:eastAsia="zh-CN"/>
        </w:rPr>
        <w:t>31</w:t>
      </w:r>
      <w:r>
        <w:rPr>
          <w:rFonts w:hint="eastAsia" w:ascii="宋体" w:hAnsi="宋体"/>
          <w:bCs/>
          <w:sz w:val="28"/>
          <w:szCs w:val="28"/>
          <w:highlight w:val="none"/>
        </w:rPr>
        <w:t xml:space="preserve"> 日完成课程视频复核、修改、定稿</w:t>
      </w:r>
    </w:p>
    <w:p>
      <w:pPr>
        <w:pStyle w:val="2"/>
        <w:numPr>
          <w:ilvl w:val="0"/>
          <w:numId w:val="2"/>
        </w:numPr>
        <w:tabs>
          <w:tab w:val="left" w:pos="844"/>
        </w:tabs>
        <w:adjustRightInd w:val="0"/>
        <w:snapToGrid w:val="0"/>
        <w:spacing w:line="360" w:lineRule="auto"/>
        <w:ind w:left="0" w:firstLine="560" w:firstLineChars="200"/>
        <w:rPr>
          <w:rFonts w:ascii="宋体" w:hAnsi="宋体" w:cs="仿宋"/>
          <w:b/>
          <w:bCs/>
          <w:sz w:val="28"/>
          <w:szCs w:val="28"/>
          <w:highlight w:val="none"/>
        </w:rPr>
      </w:pPr>
      <w:r>
        <w:rPr>
          <w:rFonts w:hint="eastAsia" w:ascii="宋体" w:hAnsi="宋体"/>
          <w:bCs/>
          <w:sz w:val="28"/>
          <w:szCs w:val="28"/>
          <w:highlight w:val="none"/>
        </w:rPr>
        <w:t xml:space="preserve"> 202</w:t>
      </w:r>
      <w:r>
        <w:rPr>
          <w:rFonts w:hint="eastAsia" w:ascii="宋体" w:hAnsi="宋体"/>
          <w:bCs/>
          <w:sz w:val="28"/>
          <w:szCs w:val="28"/>
          <w:highlight w:val="none"/>
          <w:lang w:val="en-US" w:eastAsia="zh-CN"/>
        </w:rPr>
        <w:t>4</w:t>
      </w:r>
      <w:r>
        <w:rPr>
          <w:rFonts w:hint="eastAsia" w:ascii="宋体" w:hAnsi="宋体"/>
          <w:bCs/>
          <w:sz w:val="28"/>
          <w:szCs w:val="28"/>
          <w:highlight w:val="none"/>
        </w:rPr>
        <w:t xml:space="preserve">  年  </w:t>
      </w:r>
      <w:r>
        <w:rPr>
          <w:rFonts w:hint="eastAsia" w:ascii="宋体" w:hAnsi="宋体"/>
          <w:bCs/>
          <w:sz w:val="28"/>
          <w:szCs w:val="28"/>
          <w:highlight w:val="none"/>
          <w:lang w:val="en-US" w:eastAsia="zh-CN"/>
        </w:rPr>
        <w:t>6</w:t>
      </w:r>
      <w:r>
        <w:rPr>
          <w:rFonts w:hint="eastAsia" w:ascii="宋体" w:hAnsi="宋体"/>
          <w:bCs/>
          <w:sz w:val="28"/>
          <w:szCs w:val="28"/>
          <w:highlight w:val="none"/>
        </w:rPr>
        <w:t>月  30 日完成课程视频上传工作。</w:t>
      </w:r>
    </w:p>
    <w:p>
      <w:pPr>
        <w:numPr>
          <w:ilvl w:val="0"/>
          <w:numId w:val="3"/>
        </w:numPr>
        <w:snapToGrid w:val="0"/>
        <w:spacing w:line="538" w:lineRule="exact"/>
        <w:ind w:firstLine="562" w:firstLineChars="200"/>
        <w:rPr>
          <w:rFonts w:hint="eastAsia" w:ascii="宋体" w:hAnsi="宋体" w:cs="仿宋"/>
          <w:b/>
          <w:bCs/>
          <w:sz w:val="28"/>
          <w:szCs w:val="28"/>
          <w:highlight w:val="none"/>
        </w:rPr>
      </w:pPr>
      <w:r>
        <w:rPr>
          <w:rFonts w:hint="eastAsia" w:ascii="宋体" w:hAnsi="宋体" w:cs="仿宋"/>
          <w:b/>
          <w:bCs/>
          <w:sz w:val="28"/>
          <w:szCs w:val="28"/>
          <w:highlight w:val="none"/>
        </w:rPr>
        <w:t>质保期：本项目质保期三年。</w:t>
      </w:r>
    </w:p>
    <w:p>
      <w:pPr>
        <w:adjustRightInd w:val="0"/>
        <w:snapToGrid w:val="0"/>
        <w:spacing w:line="360" w:lineRule="auto"/>
        <w:ind w:firstLine="560" w:firstLineChars="200"/>
        <w:rPr>
          <w:rFonts w:hint="eastAsia" w:ascii="宋体" w:hAnsi="宋体" w:cs="仿宋_GB2312"/>
          <w:sz w:val="28"/>
          <w:szCs w:val="28"/>
          <w:highlight w:val="none"/>
        </w:rPr>
      </w:pPr>
      <w:r>
        <w:rPr>
          <w:rFonts w:hint="eastAsia" w:ascii="宋体" w:hAnsi="宋体" w:cs="仿宋_GB2312"/>
          <w:sz w:val="28"/>
          <w:szCs w:val="28"/>
          <w:highlight w:val="none"/>
          <w:lang w:val="en-US" w:eastAsia="zh-CN"/>
        </w:rPr>
        <w:t>1）</w:t>
      </w:r>
      <w:r>
        <w:rPr>
          <w:rFonts w:hint="eastAsia" w:ascii="宋体" w:hAnsi="宋体" w:cs="仿宋_GB2312"/>
          <w:sz w:val="28"/>
          <w:szCs w:val="28"/>
          <w:highlight w:val="none"/>
        </w:rPr>
        <w:t>维保期内，投标人对所建设的课程无条件提供修改服务，修改次数不少于3次，且累计内容不低于20%。</w:t>
      </w:r>
    </w:p>
    <w:p>
      <w:pPr>
        <w:adjustRightInd w:val="0"/>
        <w:snapToGrid w:val="0"/>
        <w:spacing w:line="360" w:lineRule="auto"/>
        <w:ind w:firstLine="560" w:firstLineChars="200"/>
        <w:rPr>
          <w:rFonts w:hint="eastAsia" w:ascii="宋体" w:hAnsi="宋体" w:cs="仿宋_GB2312"/>
          <w:sz w:val="28"/>
          <w:szCs w:val="28"/>
          <w:highlight w:val="none"/>
        </w:rPr>
      </w:pPr>
      <w:r>
        <w:rPr>
          <w:rFonts w:hint="eastAsia" w:ascii="宋体" w:hAnsi="宋体" w:cs="仿宋_GB2312"/>
          <w:sz w:val="28"/>
          <w:szCs w:val="28"/>
          <w:highlight w:val="none"/>
          <w:lang w:val="en-US" w:eastAsia="zh-CN"/>
        </w:rPr>
        <w:t>2）</w:t>
      </w:r>
      <w:r>
        <w:rPr>
          <w:rFonts w:hint="eastAsia" w:ascii="宋体" w:hAnsi="宋体" w:cs="仿宋_GB2312"/>
          <w:sz w:val="28"/>
          <w:szCs w:val="28"/>
          <w:highlight w:val="none"/>
        </w:rPr>
        <w:t>如招标方因课程需要，实际课程建设总量低于招标要求，不足部分作为预购服务，中标商根据招标方的调整计划，补足课程制作数量，有效期不限。</w:t>
      </w:r>
    </w:p>
    <w:p>
      <w:pPr>
        <w:adjustRightInd w:val="0"/>
        <w:snapToGrid w:val="0"/>
        <w:spacing w:line="360" w:lineRule="auto"/>
        <w:ind w:firstLine="562" w:firstLineChars="200"/>
        <w:rPr>
          <w:rFonts w:ascii="宋体" w:hAnsi="宋体" w:cs="仿宋"/>
          <w:b/>
          <w:bCs/>
          <w:sz w:val="28"/>
          <w:szCs w:val="28"/>
          <w:highlight w:val="none"/>
        </w:rPr>
      </w:pPr>
      <w:r>
        <w:rPr>
          <w:rFonts w:hint="eastAsia" w:ascii="宋体" w:hAnsi="宋体" w:cs="仿宋"/>
          <w:b/>
          <w:bCs/>
          <w:sz w:val="28"/>
          <w:szCs w:val="28"/>
          <w:highlight w:val="none"/>
        </w:rPr>
        <w:t>3.知识产权:</w:t>
      </w:r>
      <w:r>
        <w:rPr>
          <w:rFonts w:hint="eastAsia" w:ascii="宋体" w:hAnsi="宋体" w:cs="仿宋_GB2312"/>
          <w:sz w:val="28"/>
          <w:szCs w:val="28"/>
          <w:highlight w:val="none"/>
        </w:rPr>
        <w:t>投标人在制作过程中提供的视频数据、动画资料等课程制作相关资料等必须妥善解决所有的知识产权，所有知识产权、传播权纠纷由投标人承担责任，招标人免责。</w:t>
      </w:r>
      <w:r>
        <w:rPr>
          <w:rFonts w:hint="eastAsia" w:ascii="宋体" w:hAnsi="宋体" w:cs="宋体"/>
          <w:color w:val="000000"/>
          <w:sz w:val="28"/>
          <w:szCs w:val="28"/>
          <w:highlight w:val="none"/>
        </w:rPr>
        <w:t>如因</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提供的软件产品或服务的知识产权引起与第三方的纠纷，由</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负责处理，并承担全部法律责任。本项目所有成果知识产权归招标方所有</w:t>
      </w:r>
      <w:r>
        <w:rPr>
          <w:rFonts w:hint="eastAsia" w:ascii="宋体" w:hAnsi="宋体"/>
          <w:sz w:val="28"/>
          <w:szCs w:val="28"/>
          <w:highlight w:val="none"/>
        </w:rPr>
        <w:t>。</w:t>
      </w: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pStyle w:val="8"/>
        <w:ind w:left="1470" w:right="1470"/>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p>
    <w:p>
      <w:pP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w:t>
      </w:r>
      <w:r>
        <w:rPr>
          <w:rFonts w:ascii="宋体" w:hAnsi="宋体" w:cs="仿宋"/>
          <w:b/>
          <w:bCs/>
          <w:sz w:val="28"/>
          <w:szCs w:val="28"/>
          <w:highlight w:val="none"/>
        </w:rPr>
        <w:t>5</w:t>
      </w:r>
      <w:r>
        <w:rPr>
          <w:rFonts w:hint="eastAsia" w:ascii="宋体" w:hAnsi="宋体" w:cs="仿宋"/>
          <w:b/>
          <w:bCs/>
          <w:sz w:val="28"/>
          <w:szCs w:val="28"/>
          <w:highlight w:val="none"/>
        </w:rPr>
        <w:t>：评标办法</w:t>
      </w:r>
    </w:p>
    <w:p>
      <w:pPr>
        <w:spacing w:line="360" w:lineRule="auto"/>
        <w:ind w:firstLine="480" w:firstLineChars="200"/>
        <w:rPr>
          <w:rFonts w:hint="eastAsia" w:ascii="宋体" w:hAnsi="宋体"/>
          <w:sz w:val="24"/>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1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65"/>
        <w:gridCol w:w="1111"/>
        <w:gridCol w:w="56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9"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065"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评审指标</w:t>
            </w:r>
          </w:p>
        </w:tc>
        <w:tc>
          <w:tcPr>
            <w:tcW w:w="1111"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5685"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评审标准</w:t>
            </w:r>
          </w:p>
        </w:tc>
        <w:tc>
          <w:tcPr>
            <w:tcW w:w="674" w:type="dxa"/>
            <w:vAlign w:val="center"/>
          </w:tcPr>
          <w:p>
            <w:pPr>
              <w:snapToGrid w:val="0"/>
              <w:spacing w:line="420" w:lineRule="exact"/>
              <w:jc w:val="center"/>
              <w:rPr>
                <w:rFonts w:ascii="宋体" w:hAnsi="宋体" w:cs="宋体"/>
                <w:b/>
                <w:kern w:val="0"/>
                <w:szCs w:val="21"/>
                <w:highlight w:val="none"/>
              </w:rPr>
            </w:pPr>
            <w:r>
              <w:rPr>
                <w:rFonts w:hint="eastAsia" w:ascii="宋体" w:hAnsi="宋体" w:cs="宋体"/>
                <w:b/>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w:t>
            </w:r>
          </w:p>
        </w:tc>
        <w:tc>
          <w:tcPr>
            <w:tcW w:w="1065"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价格</w:t>
            </w: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价格</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采用低价优先法计算，即满足招标文件要求且投标价格最低的投标报价为基准价，其价格分为满分25分。其他投标人的投标报价得分计算公式如下：投标报价得分=(评标基准价／投标报价)×25（四舍五入，小数点保留两位）。</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9" w:type="dxa"/>
            <w:vMerge w:val="restart"/>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w:t>
            </w:r>
          </w:p>
        </w:tc>
        <w:tc>
          <w:tcPr>
            <w:tcW w:w="1065" w:type="dxa"/>
            <w:vMerge w:val="restart"/>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履约能力</w:t>
            </w: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2.1</w:t>
            </w:r>
          </w:p>
          <w:p>
            <w:pPr>
              <w:spacing w:line="420" w:lineRule="exact"/>
              <w:jc w:val="center"/>
              <w:rPr>
                <w:rFonts w:ascii="宋体" w:hAnsi="宋体" w:cs="宋体"/>
                <w:szCs w:val="21"/>
                <w:highlight w:val="none"/>
              </w:rPr>
            </w:pPr>
            <w:r>
              <w:rPr>
                <w:rFonts w:hint="eastAsia" w:ascii="宋体" w:hAnsi="宋体" w:cs="宋体"/>
                <w:szCs w:val="21"/>
                <w:highlight w:val="none"/>
              </w:rPr>
              <w:t>精品</w:t>
            </w:r>
          </w:p>
          <w:p>
            <w:pPr>
              <w:spacing w:line="420" w:lineRule="exact"/>
              <w:jc w:val="center"/>
              <w:rPr>
                <w:rFonts w:ascii="宋体" w:hAnsi="宋体" w:cs="宋体"/>
                <w:szCs w:val="21"/>
                <w:highlight w:val="none"/>
              </w:rPr>
            </w:pPr>
            <w:r>
              <w:rPr>
                <w:rFonts w:hint="eastAsia" w:ascii="宋体" w:hAnsi="宋体" w:cs="宋体"/>
                <w:szCs w:val="21"/>
                <w:highlight w:val="none"/>
              </w:rPr>
              <w:t>课程</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投标人以往制作的课程获得过国家级线上一流课程（含国家精品在线开放课程）的，每提供1个得1分，本项最多得7分。</w:t>
            </w:r>
            <w:r>
              <w:rPr>
                <w:rFonts w:hint="eastAsia" w:ascii="宋体" w:hAnsi="宋体" w:cs="宋体"/>
                <w:szCs w:val="21"/>
                <w:highlight w:val="none"/>
                <w:lang w:val="en-US" w:eastAsia="zh-CN"/>
              </w:rPr>
              <w:t>同一单位的业绩不累计计算得分。</w:t>
            </w:r>
            <w:r>
              <w:rPr>
                <w:rFonts w:hint="eastAsia" w:ascii="宋体" w:hAnsi="宋体" w:cs="宋体"/>
                <w:szCs w:val="21"/>
                <w:highlight w:val="none"/>
              </w:rPr>
              <w:t>（须提供合同复印件及相应教育部官网文件作为证明材料，所提供的合同可以不牵涉到金额等相关商业机密信息，但必须提供合同双方签署页及合同签署双方的完整信息）</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Merge w:val="continue"/>
            <w:vAlign w:val="center"/>
          </w:tcPr>
          <w:p>
            <w:pPr>
              <w:spacing w:line="420" w:lineRule="exact"/>
              <w:jc w:val="center"/>
              <w:rPr>
                <w:rFonts w:ascii="宋体" w:hAnsi="宋体" w:cs="宋体"/>
                <w:szCs w:val="21"/>
                <w:highlight w:val="none"/>
              </w:rPr>
            </w:pPr>
          </w:p>
        </w:tc>
        <w:tc>
          <w:tcPr>
            <w:tcW w:w="1065" w:type="dxa"/>
            <w:vMerge w:val="continue"/>
            <w:vAlign w:val="center"/>
          </w:tcPr>
          <w:p>
            <w:pPr>
              <w:pStyle w:val="2"/>
              <w:jc w:val="center"/>
              <w:rPr>
                <w:rFonts w:ascii="宋体" w:hAnsi="宋体" w:cs="宋体"/>
                <w:highlight w:val="none"/>
              </w:rPr>
            </w:pPr>
          </w:p>
        </w:tc>
        <w:tc>
          <w:tcPr>
            <w:tcW w:w="1111" w:type="dxa"/>
            <w:vAlign w:val="center"/>
          </w:tcPr>
          <w:p>
            <w:pPr>
              <w:pStyle w:val="2"/>
              <w:ind w:firstLine="0"/>
              <w:jc w:val="center"/>
              <w:rPr>
                <w:rFonts w:ascii="宋体" w:hAnsi="宋体" w:cs="宋体"/>
                <w:highlight w:val="none"/>
              </w:rPr>
            </w:pPr>
            <w:r>
              <w:rPr>
                <w:rFonts w:hint="eastAsia" w:ascii="宋体" w:hAnsi="宋体" w:cs="宋体"/>
                <w:highlight w:val="none"/>
              </w:rPr>
              <w:t>2.2</w:t>
            </w:r>
          </w:p>
          <w:p>
            <w:pPr>
              <w:pStyle w:val="2"/>
              <w:ind w:firstLine="0"/>
              <w:jc w:val="center"/>
              <w:rPr>
                <w:rFonts w:ascii="宋体" w:hAnsi="宋体" w:cs="宋体"/>
                <w:highlight w:val="none"/>
              </w:rPr>
            </w:pPr>
            <w:r>
              <w:rPr>
                <w:rFonts w:hint="eastAsia" w:ascii="宋体" w:hAnsi="宋体" w:cs="宋体"/>
                <w:highlight w:val="none"/>
              </w:rPr>
              <w:t>企业</w:t>
            </w:r>
          </w:p>
          <w:p>
            <w:pPr>
              <w:pStyle w:val="2"/>
              <w:ind w:firstLine="0"/>
              <w:jc w:val="center"/>
              <w:rPr>
                <w:rFonts w:ascii="宋体" w:hAnsi="宋体" w:cs="宋体"/>
                <w:highlight w:val="none"/>
              </w:rPr>
            </w:pPr>
            <w:r>
              <w:rPr>
                <w:rFonts w:hint="eastAsia" w:ascii="宋体" w:hAnsi="宋体" w:cs="宋体"/>
                <w:highlight w:val="none"/>
              </w:rPr>
              <w:t>资质</w:t>
            </w:r>
          </w:p>
        </w:tc>
        <w:tc>
          <w:tcPr>
            <w:tcW w:w="5685" w:type="dxa"/>
            <w:vAlign w:val="center"/>
          </w:tcPr>
          <w:p>
            <w:pPr>
              <w:numPr>
                <w:ilvl w:val="0"/>
                <w:numId w:val="4"/>
              </w:numPr>
              <w:spacing w:line="420" w:lineRule="exact"/>
              <w:rPr>
                <w:rFonts w:ascii="宋体" w:hAnsi="宋体" w:cs="宋体"/>
                <w:szCs w:val="21"/>
                <w:highlight w:val="none"/>
              </w:rPr>
            </w:pPr>
            <w:r>
              <w:rPr>
                <w:rFonts w:hint="eastAsia" w:ascii="宋体" w:hAnsi="宋体" w:cs="宋体"/>
                <w:szCs w:val="21"/>
                <w:highlight w:val="none"/>
              </w:rPr>
              <w:t>具有ISO27001 信息安全管理体系认证（包含教学视频制作服务）得</w:t>
            </w:r>
            <w:r>
              <w:rPr>
                <w:rFonts w:hint="eastAsia" w:ascii="宋体" w:hAnsi="宋体" w:cs="宋体"/>
                <w:szCs w:val="21"/>
                <w:highlight w:val="none"/>
                <w:lang w:val="en-US" w:eastAsia="zh-CN"/>
              </w:rPr>
              <w:t>3</w:t>
            </w:r>
            <w:r>
              <w:rPr>
                <w:rFonts w:hint="eastAsia" w:ascii="宋体" w:hAnsi="宋体" w:cs="宋体"/>
                <w:szCs w:val="21"/>
                <w:highlight w:val="none"/>
              </w:rPr>
              <w:t>分</w:t>
            </w:r>
          </w:p>
          <w:p>
            <w:pPr>
              <w:numPr>
                <w:ilvl w:val="0"/>
                <w:numId w:val="4"/>
              </w:numPr>
              <w:spacing w:line="420" w:lineRule="exact"/>
              <w:rPr>
                <w:rFonts w:ascii="宋体" w:hAnsi="宋体" w:cs="宋体"/>
                <w:szCs w:val="21"/>
                <w:highlight w:val="none"/>
              </w:rPr>
            </w:pPr>
            <w:r>
              <w:rPr>
                <w:rFonts w:hint="eastAsia" w:ascii="宋体" w:hAnsi="宋体" w:cs="宋体"/>
                <w:szCs w:val="21"/>
                <w:highlight w:val="none"/>
              </w:rPr>
              <w:t>具有ISO9001质量管理体系认证（包含视频制作）得3分。</w:t>
            </w:r>
          </w:p>
          <w:p>
            <w:pPr>
              <w:numPr>
                <w:ilvl w:val="0"/>
                <w:numId w:val="4"/>
              </w:numPr>
              <w:spacing w:line="420" w:lineRule="exact"/>
              <w:rPr>
                <w:rFonts w:ascii="宋体" w:hAnsi="宋体" w:cs="宋体"/>
                <w:szCs w:val="21"/>
                <w:highlight w:val="none"/>
              </w:rPr>
            </w:pPr>
            <w:r>
              <w:rPr>
                <w:rFonts w:hint="eastAsia" w:ascii="宋体" w:hAnsi="宋体" w:cs="宋体"/>
                <w:szCs w:val="21"/>
                <w:highlight w:val="none"/>
              </w:rPr>
              <w:t>投标人具有广播电视节目制作经营许可证，得</w:t>
            </w:r>
            <w:r>
              <w:rPr>
                <w:rFonts w:hint="eastAsia" w:ascii="宋体" w:hAnsi="宋体" w:cs="宋体"/>
                <w:szCs w:val="21"/>
                <w:highlight w:val="none"/>
                <w:lang w:val="en-US" w:eastAsia="zh-CN"/>
              </w:rPr>
              <w:t>3</w:t>
            </w:r>
            <w:r>
              <w:rPr>
                <w:rFonts w:hint="eastAsia" w:ascii="宋体" w:hAnsi="宋体" w:cs="宋体"/>
                <w:szCs w:val="21"/>
                <w:highlight w:val="none"/>
              </w:rPr>
              <w:t>分。</w:t>
            </w:r>
          </w:p>
          <w:p>
            <w:pPr>
              <w:spacing w:line="420" w:lineRule="exact"/>
              <w:rPr>
                <w:rFonts w:ascii="宋体" w:hAnsi="宋体" w:cs="宋体"/>
                <w:szCs w:val="21"/>
                <w:highlight w:val="none"/>
              </w:rPr>
            </w:pPr>
            <w:r>
              <w:rPr>
                <w:rFonts w:hint="eastAsia" w:ascii="宋体" w:hAnsi="宋体" w:cs="宋体"/>
                <w:szCs w:val="21"/>
                <w:highlight w:val="none"/>
              </w:rPr>
              <w:t>（以上要求涉及证书的须提供证书复印件并加盖公章，原件备查，不加盖公章不得分）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Merge w:val="continue"/>
            <w:vAlign w:val="center"/>
          </w:tcPr>
          <w:p>
            <w:pPr>
              <w:spacing w:line="420" w:lineRule="exact"/>
              <w:jc w:val="center"/>
              <w:rPr>
                <w:rFonts w:ascii="宋体" w:hAnsi="宋体" w:cs="宋体"/>
                <w:szCs w:val="21"/>
                <w:highlight w:val="none"/>
              </w:rPr>
            </w:pPr>
          </w:p>
        </w:tc>
        <w:tc>
          <w:tcPr>
            <w:tcW w:w="1065" w:type="dxa"/>
            <w:vMerge w:val="continue"/>
            <w:vAlign w:val="center"/>
          </w:tcPr>
          <w:p>
            <w:pPr>
              <w:pStyle w:val="2"/>
              <w:jc w:val="center"/>
              <w:rPr>
                <w:rFonts w:ascii="宋体" w:hAnsi="宋体" w:cs="宋体"/>
                <w:highlight w:val="none"/>
              </w:rPr>
            </w:pP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2.3</w:t>
            </w:r>
          </w:p>
          <w:p>
            <w:pPr>
              <w:spacing w:line="420" w:lineRule="exact"/>
              <w:jc w:val="center"/>
              <w:rPr>
                <w:rFonts w:ascii="宋体" w:hAnsi="宋体" w:cs="宋体"/>
                <w:szCs w:val="21"/>
                <w:highlight w:val="none"/>
              </w:rPr>
            </w:pPr>
            <w:r>
              <w:rPr>
                <w:rFonts w:hint="eastAsia" w:ascii="宋体" w:hAnsi="宋体" w:cs="宋体"/>
                <w:szCs w:val="21"/>
                <w:highlight w:val="none"/>
              </w:rPr>
              <w:t>人员</w:t>
            </w:r>
          </w:p>
          <w:p>
            <w:pPr>
              <w:spacing w:line="420" w:lineRule="exact"/>
              <w:jc w:val="center"/>
              <w:rPr>
                <w:rFonts w:ascii="宋体" w:hAnsi="宋体" w:cs="宋体"/>
                <w:kern w:val="0"/>
                <w:szCs w:val="21"/>
                <w:highlight w:val="none"/>
              </w:rPr>
            </w:pPr>
            <w:r>
              <w:rPr>
                <w:rFonts w:hint="eastAsia" w:ascii="宋体" w:hAnsi="宋体" w:cs="宋体"/>
                <w:szCs w:val="21"/>
                <w:highlight w:val="none"/>
              </w:rPr>
              <w:t>配备</w:t>
            </w:r>
          </w:p>
        </w:tc>
        <w:tc>
          <w:tcPr>
            <w:tcW w:w="5685" w:type="dxa"/>
            <w:vAlign w:val="center"/>
          </w:tcPr>
          <w:p>
            <w:pPr>
              <w:spacing w:line="42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要求投入本项目组人数不低于9人，其中项目负责人1人、课程编导1人、摄像2人、化妆师1人，后期制作人员4人。</w:t>
            </w:r>
            <w:r>
              <w:rPr>
                <w:rFonts w:hint="eastAsia" w:ascii="宋体" w:hAnsi="宋体" w:cs="宋体"/>
                <w:szCs w:val="21"/>
                <w:highlight w:val="none"/>
                <w:lang w:val="en-US" w:eastAsia="zh-CN"/>
              </w:rPr>
              <w:t>满足人员人数配备得3分。</w:t>
            </w:r>
          </w:p>
          <w:p>
            <w:pPr>
              <w:numPr>
                <w:ilvl w:val="0"/>
                <w:numId w:val="0"/>
              </w:numPr>
              <w:spacing w:line="420" w:lineRule="exact"/>
              <w:rPr>
                <w:rFonts w:ascii="宋体" w:hAnsi="宋体" w:cs="宋体"/>
                <w:szCs w:val="21"/>
                <w:highlight w:val="none"/>
              </w:rPr>
            </w:pPr>
            <w:r>
              <w:rPr>
                <w:rFonts w:hint="eastAsia" w:ascii="宋体" w:hAnsi="宋体" w:cs="宋体"/>
                <w:highlight w:val="none"/>
                <w:lang w:val="en-US" w:eastAsia="zh-CN"/>
              </w:rPr>
              <w:t>2、相关人员</w:t>
            </w:r>
            <w:r>
              <w:rPr>
                <w:rFonts w:hint="eastAsia" w:ascii="宋体" w:hAnsi="宋体" w:cs="宋体"/>
                <w:highlight w:val="none"/>
              </w:rPr>
              <w:t>为动画设计或影视多媒体等相关专业得2分。</w:t>
            </w:r>
          </w:p>
          <w:p>
            <w:pPr>
              <w:spacing w:line="420" w:lineRule="exact"/>
              <w:rPr>
                <w:rFonts w:ascii="宋体" w:hAnsi="宋体" w:cs="宋体"/>
                <w:szCs w:val="21"/>
                <w:highlight w:val="none"/>
              </w:rPr>
            </w:pPr>
            <w:r>
              <w:rPr>
                <w:rFonts w:hint="eastAsia" w:ascii="宋体" w:hAnsi="宋体" w:cs="宋体"/>
                <w:szCs w:val="21"/>
                <w:highlight w:val="none"/>
              </w:rPr>
              <w:t>（提供相关</w:t>
            </w:r>
            <w:r>
              <w:rPr>
                <w:rFonts w:hint="eastAsia" w:ascii="宋体" w:hAnsi="宋体" w:cs="宋体"/>
                <w:szCs w:val="21"/>
                <w:highlight w:val="none"/>
                <w:lang w:val="en-US" w:eastAsia="zh-CN"/>
              </w:rPr>
              <w:t>专业</w:t>
            </w:r>
            <w:r>
              <w:rPr>
                <w:rFonts w:hint="eastAsia" w:ascii="宋体" w:hAnsi="宋体" w:cs="宋体"/>
                <w:szCs w:val="21"/>
                <w:highlight w:val="none"/>
              </w:rPr>
              <w:t>等证明文件复印件加盖公章，项目组服务人员均需提供近三个月的社保证明，不提供不得分。）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3</w:t>
            </w:r>
          </w:p>
        </w:tc>
        <w:tc>
          <w:tcPr>
            <w:tcW w:w="1065" w:type="dxa"/>
            <w:vMerge w:val="restart"/>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服务方案及服务承诺</w:t>
            </w:r>
          </w:p>
        </w:tc>
        <w:tc>
          <w:tcPr>
            <w:tcW w:w="1111"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3.1</w:t>
            </w:r>
          </w:p>
          <w:p>
            <w:pPr>
              <w:spacing w:line="420" w:lineRule="exact"/>
              <w:jc w:val="center"/>
              <w:rPr>
                <w:rFonts w:ascii="宋体" w:hAnsi="宋体" w:cs="宋体"/>
                <w:szCs w:val="21"/>
                <w:highlight w:val="none"/>
              </w:rPr>
            </w:pPr>
            <w:r>
              <w:rPr>
                <w:rFonts w:hint="eastAsia" w:ascii="宋体" w:hAnsi="宋体" w:cs="宋体"/>
                <w:szCs w:val="21"/>
                <w:highlight w:val="none"/>
              </w:rPr>
              <w:t>服务</w:t>
            </w:r>
          </w:p>
          <w:p>
            <w:pPr>
              <w:spacing w:line="420" w:lineRule="exact"/>
              <w:jc w:val="center"/>
              <w:rPr>
                <w:rFonts w:ascii="宋体" w:hAnsi="宋体" w:cs="宋体"/>
                <w:szCs w:val="21"/>
                <w:highlight w:val="none"/>
              </w:rPr>
            </w:pPr>
            <w:r>
              <w:rPr>
                <w:rFonts w:hint="eastAsia" w:ascii="宋体" w:hAnsi="宋体" w:cs="宋体"/>
                <w:szCs w:val="21"/>
                <w:highlight w:val="none"/>
              </w:rPr>
              <w:t>方案</w:t>
            </w:r>
          </w:p>
          <w:p>
            <w:pPr>
              <w:spacing w:line="420" w:lineRule="exact"/>
              <w:jc w:val="center"/>
              <w:rPr>
                <w:rFonts w:ascii="宋体" w:hAnsi="宋体" w:cs="宋体"/>
                <w:highlight w:val="none"/>
              </w:rPr>
            </w:pP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1.课程制作方案（15分）</w:t>
            </w:r>
          </w:p>
          <w:p>
            <w:pPr>
              <w:spacing w:line="420" w:lineRule="exact"/>
              <w:rPr>
                <w:rFonts w:ascii="宋体" w:hAnsi="宋体" w:cs="宋体"/>
                <w:szCs w:val="21"/>
                <w:highlight w:val="none"/>
              </w:rPr>
            </w:pPr>
            <w:r>
              <w:rPr>
                <w:rFonts w:hint="eastAsia" w:ascii="宋体" w:hAnsi="宋体" w:cs="宋体"/>
                <w:szCs w:val="21"/>
                <w:highlight w:val="none"/>
              </w:rPr>
              <w:t>根据投标人提供的针对所投包件内的所含课程各个课程的制作方案，课程拍摄工作的重点分析，服务方案是否针对所投包件，是否满足项目需求等的完整性、科学性、可行性及连续性等进行综合评审。</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针对所投包件内的所含课程各个课程的制作方案架构清晰，合理可行，完全满足采购要求的得15分；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针对所投包件内的所含课程各个课程的制作方案架构较为合理，可以根据方案实施，能够满足采购要求的得12分；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针对所投包件内的所含课程各个课程的制作方案架构一般，基本能够满足采购要求的得9分；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针对所投包件内的所含课程各个课程的制作方案有瑕疵，可行性欠缺，勉强满足采购要求的得6分；</w:t>
            </w:r>
          </w:p>
          <w:p>
            <w:pPr>
              <w:spacing w:line="420" w:lineRule="exact"/>
              <w:rPr>
                <w:rFonts w:ascii="宋体" w:hAnsi="宋体" w:cs="宋体"/>
                <w:szCs w:val="21"/>
                <w:highlight w:val="none"/>
              </w:rPr>
            </w:pPr>
            <w:r>
              <w:rPr>
                <w:rFonts w:hint="eastAsia" w:ascii="宋体" w:hAnsi="宋体" w:cs="宋体"/>
                <w:szCs w:val="21"/>
                <w:highlight w:val="none"/>
              </w:rPr>
              <w:t>针对所投包件内的所含课程各个课程的制作方案粗糙，难以按方案实施，难以满足采购要求的得3分；</w:t>
            </w:r>
          </w:p>
          <w:p>
            <w:pPr>
              <w:spacing w:line="420" w:lineRule="exact"/>
              <w:rPr>
                <w:rFonts w:ascii="宋体" w:hAnsi="宋体" w:cs="宋体"/>
                <w:szCs w:val="21"/>
                <w:highlight w:val="none"/>
              </w:rPr>
            </w:pPr>
            <w:r>
              <w:rPr>
                <w:rFonts w:hint="eastAsia" w:ascii="宋体" w:hAnsi="宋体" w:cs="宋体"/>
                <w:szCs w:val="21"/>
                <w:highlight w:val="none"/>
              </w:rPr>
              <w:t>未提供全部课程制作方案的，本项不得分。</w:t>
            </w:r>
          </w:p>
          <w:p>
            <w:pPr>
              <w:spacing w:line="420" w:lineRule="exact"/>
              <w:rPr>
                <w:rFonts w:ascii="宋体" w:hAnsi="宋体" w:cs="宋体"/>
                <w:szCs w:val="21"/>
                <w:highlight w:val="none"/>
              </w:rPr>
            </w:pPr>
            <w:r>
              <w:rPr>
                <w:rFonts w:hint="eastAsia" w:ascii="宋体" w:hAnsi="宋体" w:cs="宋体"/>
                <w:szCs w:val="21"/>
                <w:highlight w:val="none"/>
              </w:rPr>
              <w:t>2.实施方案（9分）</w:t>
            </w:r>
          </w:p>
          <w:p>
            <w:pPr>
              <w:spacing w:line="420" w:lineRule="exact"/>
              <w:rPr>
                <w:rFonts w:ascii="宋体" w:hAnsi="宋体" w:cs="宋体"/>
                <w:szCs w:val="21"/>
                <w:highlight w:val="none"/>
              </w:rPr>
            </w:pPr>
            <w:r>
              <w:rPr>
                <w:rFonts w:hint="eastAsia" w:ascii="宋体" w:hAnsi="宋体" w:cs="宋体"/>
                <w:szCs w:val="21"/>
                <w:highlight w:val="none"/>
              </w:rPr>
              <w:t>各投标人针对本项目各阶段工作质量、时间的承诺，质量保证措施、内部管理方式等拟定实施方案，评委根据进度及质量承诺及质量保证措施的完整性、科学性、可行性及连续性等进行综合评审（含所有课程）。</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进度及质量承诺及质量保证措施完整具体、科学合理、可行性强，优于采购人服务要求的得9分；</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进度及质量承诺及质量保证措施较完整具体、科学合理、可行性较强，完全满足采购人服务要求的得6分；</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进度及质量承诺及质量保证措施的完整性、科学合理性、可行性有不足但基本满足采购人服务要求的得3分；</w:t>
            </w:r>
          </w:p>
          <w:p>
            <w:pPr>
              <w:spacing w:line="420" w:lineRule="exact"/>
              <w:rPr>
                <w:rFonts w:ascii="宋体" w:hAnsi="宋体" w:cs="宋体"/>
                <w:szCs w:val="21"/>
                <w:highlight w:val="none"/>
              </w:rPr>
            </w:pPr>
            <w:r>
              <w:rPr>
                <w:rFonts w:hint="eastAsia" w:ascii="宋体" w:hAnsi="宋体" w:cs="宋体"/>
                <w:szCs w:val="21"/>
                <w:highlight w:val="none"/>
              </w:rPr>
              <w:t>进度及质量承诺及质量保证措施的完整性、科学合理性及可行性均明显不足的得1分。未提供方案本项不得分。</w:t>
            </w:r>
          </w:p>
          <w:p>
            <w:pPr>
              <w:spacing w:line="420" w:lineRule="exact"/>
              <w:rPr>
                <w:rFonts w:ascii="宋体" w:hAnsi="宋体" w:cs="宋体"/>
                <w:szCs w:val="21"/>
                <w:highlight w:val="none"/>
              </w:rPr>
            </w:pPr>
            <w:r>
              <w:rPr>
                <w:rFonts w:hint="eastAsia" w:ascii="宋体" w:hAnsi="宋体" w:cs="宋体"/>
                <w:szCs w:val="21"/>
                <w:highlight w:val="none"/>
              </w:rPr>
              <w:t>3.推广及运行方案（6分）</w:t>
            </w:r>
          </w:p>
          <w:p>
            <w:pPr>
              <w:spacing w:line="420" w:lineRule="exact"/>
              <w:rPr>
                <w:rFonts w:ascii="宋体" w:hAnsi="宋体" w:cs="宋体"/>
                <w:szCs w:val="21"/>
                <w:highlight w:val="none"/>
              </w:rPr>
            </w:pPr>
            <w:r>
              <w:rPr>
                <w:rFonts w:hint="eastAsia" w:ascii="宋体" w:hAnsi="宋体" w:cs="宋体"/>
                <w:szCs w:val="21"/>
                <w:highlight w:val="none"/>
              </w:rPr>
              <w:t>各投标人提供为学校所制作课程的后续推广及运行服务方案，由评委根据方案的科学合理性、针对性进行评审。</w:t>
            </w:r>
          </w:p>
          <w:p>
            <w:pPr>
              <w:spacing w:line="420" w:lineRule="exact"/>
              <w:rPr>
                <w:rFonts w:ascii="宋体" w:hAnsi="宋体" w:cs="宋体"/>
                <w:szCs w:val="21"/>
                <w:highlight w:val="none"/>
              </w:rPr>
            </w:pPr>
            <w:r>
              <w:rPr>
                <w:rFonts w:hint="eastAsia" w:ascii="宋体" w:hAnsi="宋体" w:cs="宋体"/>
                <w:szCs w:val="21"/>
                <w:highlight w:val="none"/>
              </w:rPr>
              <w:t>方案架构清晰，合理可行，完全满足采购要求的得6分；</w:t>
            </w:r>
          </w:p>
          <w:p>
            <w:pPr>
              <w:spacing w:line="420" w:lineRule="exact"/>
              <w:rPr>
                <w:rFonts w:ascii="宋体" w:hAnsi="宋体" w:cs="宋体"/>
                <w:szCs w:val="21"/>
                <w:highlight w:val="none"/>
              </w:rPr>
            </w:pPr>
            <w:r>
              <w:rPr>
                <w:rFonts w:hint="eastAsia" w:ascii="宋体" w:hAnsi="宋体" w:cs="宋体"/>
                <w:szCs w:val="21"/>
                <w:highlight w:val="none"/>
              </w:rPr>
              <w:t>方案略有瑕疵，可行性欠缺，基本满足采购要求的得3分；方案粗糙，难以实施，无法满足采购要求的得1分；</w:t>
            </w:r>
          </w:p>
          <w:p>
            <w:pPr>
              <w:spacing w:line="420" w:lineRule="exact"/>
              <w:rPr>
                <w:rFonts w:ascii="宋体" w:hAnsi="宋体" w:cs="宋体"/>
                <w:highlight w:val="none"/>
              </w:rPr>
            </w:pPr>
            <w:r>
              <w:rPr>
                <w:rFonts w:hint="eastAsia" w:ascii="宋体" w:hAnsi="宋体" w:cs="宋体"/>
                <w:szCs w:val="21"/>
                <w:highlight w:val="none"/>
              </w:rPr>
              <w:t>未提供推广及运行方案的本项不得分。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p>
        </w:tc>
        <w:tc>
          <w:tcPr>
            <w:tcW w:w="1065" w:type="dxa"/>
            <w:vMerge w:val="continue"/>
            <w:vAlign w:val="center"/>
          </w:tcPr>
          <w:p>
            <w:pPr>
              <w:pStyle w:val="2"/>
              <w:jc w:val="center"/>
              <w:rPr>
                <w:rFonts w:ascii="宋体" w:hAnsi="宋体" w:cs="宋体"/>
                <w:highlight w:val="none"/>
              </w:rPr>
            </w:pPr>
          </w:p>
        </w:tc>
        <w:tc>
          <w:tcPr>
            <w:tcW w:w="1111" w:type="dxa"/>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3.2</w:t>
            </w:r>
          </w:p>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服务</w:t>
            </w:r>
          </w:p>
          <w:p>
            <w:pPr>
              <w:spacing w:line="420" w:lineRule="exact"/>
              <w:jc w:val="center"/>
              <w:rPr>
                <w:rFonts w:ascii="宋体" w:hAnsi="宋体" w:cs="宋体"/>
                <w:kern w:val="0"/>
                <w:szCs w:val="21"/>
                <w:highlight w:val="none"/>
              </w:rPr>
            </w:pPr>
            <w:r>
              <w:rPr>
                <w:rFonts w:hint="eastAsia" w:ascii="宋体" w:hAnsi="宋体" w:cs="宋体"/>
                <w:color w:val="000000"/>
                <w:szCs w:val="21"/>
                <w:highlight w:val="none"/>
              </w:rPr>
              <w:t>承诺</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2.投标人承诺提供全程驻场服务，并承诺不随意更换项目负责人及驻场人员的得1分。（需提供拟项目负责人及驻场人员名单）</w:t>
            </w:r>
          </w:p>
          <w:p>
            <w:pPr>
              <w:spacing w:line="420" w:lineRule="exact"/>
              <w:rPr>
                <w:rFonts w:ascii="宋体" w:hAnsi="宋体" w:cs="宋体"/>
                <w:szCs w:val="21"/>
                <w:highlight w:val="none"/>
              </w:rPr>
            </w:pPr>
            <w:r>
              <w:rPr>
                <w:rFonts w:hint="eastAsia" w:ascii="宋体" w:hAnsi="宋体" w:cs="宋体"/>
                <w:szCs w:val="21"/>
                <w:highlight w:val="none"/>
              </w:rPr>
              <w:t>以上服务承诺投标人须提供相应的服务承诺书，加盖投标人公章，不提供不得分。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4</w:t>
            </w:r>
          </w:p>
        </w:tc>
        <w:tc>
          <w:tcPr>
            <w:tcW w:w="2176" w:type="dxa"/>
            <w:gridSpan w:val="2"/>
            <w:vAlign w:val="center"/>
          </w:tcPr>
          <w:p>
            <w:pPr>
              <w:pStyle w:val="2"/>
              <w:ind w:firstLine="0"/>
              <w:jc w:val="center"/>
              <w:rPr>
                <w:rFonts w:ascii="宋体" w:hAnsi="宋体" w:cs="宋体"/>
                <w:highlight w:val="none"/>
              </w:rPr>
            </w:pPr>
            <w:r>
              <w:rPr>
                <w:rFonts w:hint="eastAsia" w:ascii="宋体" w:hAnsi="宋体" w:cs="宋体"/>
                <w:highlight w:val="none"/>
              </w:rPr>
              <w:t>同类业绩</w:t>
            </w:r>
          </w:p>
        </w:tc>
        <w:tc>
          <w:tcPr>
            <w:tcW w:w="5685" w:type="dxa"/>
            <w:vAlign w:val="center"/>
          </w:tcPr>
          <w:p>
            <w:pPr>
              <w:spacing w:line="420" w:lineRule="exact"/>
              <w:rPr>
                <w:rFonts w:ascii="宋体" w:hAnsi="宋体" w:cs="宋体"/>
                <w:szCs w:val="21"/>
                <w:highlight w:val="none"/>
              </w:rPr>
            </w:pPr>
            <w:r>
              <w:rPr>
                <w:rFonts w:hint="eastAsia" w:ascii="宋体" w:hAnsi="宋体" w:cs="宋体"/>
                <w:szCs w:val="21"/>
                <w:highlight w:val="none"/>
              </w:rPr>
              <w:t>根据本次立项课程类别占比及我校专业特色，将此次项目课程分为理学类、工科类、文管类三个分类。投标人每提供一个自20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月1月（含）至今的开放课程制作业绩得1分，每个分类最多得4分，此项最多得12分</w:t>
            </w:r>
            <w:r>
              <w:rPr>
                <w:rFonts w:hint="eastAsia" w:ascii="宋体" w:hAnsi="宋体" w:cs="宋体"/>
                <w:szCs w:val="21"/>
                <w:highlight w:val="none"/>
                <w:lang w:eastAsia="zh-CN"/>
              </w:rPr>
              <w:t>。</w:t>
            </w:r>
            <w:r>
              <w:rPr>
                <w:rFonts w:hint="eastAsia" w:ascii="宋体" w:hAnsi="宋体" w:cs="宋体"/>
                <w:szCs w:val="21"/>
                <w:highlight w:val="none"/>
                <w:lang w:val="en-US" w:eastAsia="zh-CN"/>
              </w:rPr>
              <w:t>同一个单位的业绩不累计计算得分。</w:t>
            </w:r>
            <w:r>
              <w:rPr>
                <w:rFonts w:hint="eastAsia" w:ascii="宋体" w:hAnsi="宋体" w:cs="宋体"/>
                <w:szCs w:val="21"/>
                <w:highlight w:val="none"/>
              </w:rPr>
              <w:t>须提供合同复印件并加盖公章，所提供的合同可以不牵涉到金额等相关商业机密信息，但必须提供合同双方签署页及合同签署双方的完整信息，未提供的不得分（原件备查）。</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5</w:t>
            </w:r>
          </w:p>
        </w:tc>
        <w:tc>
          <w:tcPr>
            <w:tcW w:w="2176" w:type="dxa"/>
            <w:gridSpan w:val="2"/>
            <w:vAlign w:val="center"/>
          </w:tcPr>
          <w:p>
            <w:pPr>
              <w:pStyle w:val="2"/>
              <w:jc w:val="center"/>
              <w:rPr>
                <w:rFonts w:ascii="宋体" w:hAnsi="宋体" w:cs="宋体"/>
                <w:highlight w:val="none"/>
              </w:rPr>
            </w:pPr>
            <w:r>
              <w:rPr>
                <w:rFonts w:hint="eastAsia" w:ascii="宋体" w:hAnsi="宋体" w:cs="宋体"/>
                <w:highlight w:val="none"/>
              </w:rPr>
              <w:t>演示</w:t>
            </w:r>
          </w:p>
          <w:p>
            <w:pPr>
              <w:pStyle w:val="2"/>
              <w:jc w:val="center"/>
              <w:rPr>
                <w:rFonts w:ascii="宋体" w:hAnsi="宋体" w:cs="宋体"/>
                <w:highlight w:val="none"/>
              </w:rPr>
            </w:pPr>
            <w:r>
              <w:rPr>
                <w:rFonts w:hint="eastAsia" w:ascii="宋体" w:hAnsi="宋体" w:cs="宋体"/>
                <w:highlight w:val="none"/>
              </w:rPr>
              <w:t>（U盘单独密封，随投标文件一起寄送，</w:t>
            </w:r>
            <w:r>
              <w:rPr>
                <w:rFonts w:hint="eastAsia" w:ascii="宋体" w:hAnsi="宋体" w:cs="宋体"/>
                <w:szCs w:val="21"/>
                <w:highlight w:val="none"/>
              </w:rPr>
              <w:t>演示时间不得超过8分钟，未提供演示为无效标</w:t>
            </w:r>
            <w:r>
              <w:rPr>
                <w:rFonts w:hint="eastAsia" w:ascii="宋体" w:hAnsi="宋体" w:cs="宋体"/>
                <w:highlight w:val="none"/>
              </w:rPr>
              <w:t>）</w:t>
            </w:r>
          </w:p>
          <w:p>
            <w:pPr>
              <w:pStyle w:val="2"/>
              <w:jc w:val="center"/>
              <w:rPr>
                <w:rFonts w:ascii="宋体" w:hAnsi="宋体" w:cs="宋体"/>
                <w:highlight w:val="none"/>
              </w:rPr>
            </w:pPr>
          </w:p>
        </w:tc>
        <w:tc>
          <w:tcPr>
            <w:tcW w:w="5685" w:type="dxa"/>
            <w:vAlign w:val="center"/>
          </w:tcPr>
          <w:p>
            <w:pPr>
              <w:pStyle w:val="5"/>
              <w:spacing w:line="420" w:lineRule="exact"/>
              <w:rPr>
                <w:rFonts w:ascii="宋体" w:hAnsi="宋体" w:cs="宋体"/>
                <w:sz w:val="21"/>
                <w:szCs w:val="21"/>
                <w:highlight w:val="none"/>
              </w:rPr>
            </w:pPr>
            <w:r>
              <w:rPr>
                <w:rFonts w:hint="eastAsia" w:ascii="宋体" w:hAnsi="宋体" w:cs="宋体"/>
                <w:sz w:val="21"/>
                <w:szCs w:val="21"/>
                <w:highlight w:val="none"/>
              </w:rPr>
              <w:t>投标单位需要提供演示视频（U盘寄送，未寄送演示视频视为无效投标）</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投标人须严格按照学校所招标课程类别（理学类、工科类、文管类）演示由投标人制作的英文课程视频，由评审专家根据课程视频制作页面布局、课程内容及效果综合打分，演示时间不得超过8分钟。</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页面布局精美、内容丰富且课程效果显著得9分；</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页面布局较精美、内容较丰富且课程效果良好得5分；</w:t>
            </w:r>
          </w:p>
          <w:p>
            <w:pPr>
              <w:pStyle w:val="5"/>
              <w:spacing w:line="420" w:lineRule="exact"/>
              <w:rPr>
                <w:rFonts w:ascii="宋体" w:hAnsi="宋体" w:cs="宋体"/>
                <w:sz w:val="21"/>
                <w:szCs w:val="21"/>
                <w:highlight w:val="none"/>
              </w:rPr>
            </w:pPr>
            <w:r>
              <w:rPr>
                <w:rFonts w:hint="eastAsia" w:ascii="宋体" w:hAnsi="宋体" w:cs="宋体"/>
                <w:sz w:val="21"/>
                <w:szCs w:val="21"/>
                <w:highlight w:val="none"/>
              </w:rPr>
              <w:t>页面布局、内容及课程效果均有明显不足得2分。</w:t>
            </w:r>
          </w:p>
          <w:p>
            <w:pPr>
              <w:pStyle w:val="5"/>
              <w:rPr>
                <w:rFonts w:ascii="宋体" w:hAnsi="宋体" w:cs="宋体"/>
                <w:sz w:val="21"/>
                <w:szCs w:val="21"/>
                <w:highlight w:val="none"/>
              </w:rPr>
            </w:pPr>
            <w:r>
              <w:rPr>
                <w:rFonts w:hint="eastAsia" w:ascii="宋体" w:hAnsi="宋体" w:cs="宋体"/>
                <w:sz w:val="21"/>
                <w:szCs w:val="21"/>
                <w:highlight w:val="none"/>
              </w:rPr>
              <w:t>若演示课程视频，不符合课程类别，或不是英文课程的，每缺少一类扣3分。</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59"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6</w:t>
            </w:r>
          </w:p>
        </w:tc>
        <w:tc>
          <w:tcPr>
            <w:tcW w:w="2176" w:type="dxa"/>
            <w:gridSpan w:val="2"/>
            <w:vAlign w:val="center"/>
          </w:tcPr>
          <w:p>
            <w:pPr>
              <w:pStyle w:val="2"/>
              <w:jc w:val="center"/>
              <w:rPr>
                <w:rFonts w:ascii="宋体" w:hAnsi="宋体" w:cs="宋体"/>
                <w:highlight w:val="none"/>
              </w:rPr>
            </w:pPr>
            <w:r>
              <w:rPr>
                <w:rFonts w:hint="eastAsia" w:ascii="宋体" w:hAnsi="宋体" w:cs="宋体"/>
                <w:highlight w:val="none"/>
              </w:rPr>
              <w:t>投标文件制作</w:t>
            </w:r>
          </w:p>
        </w:tc>
        <w:tc>
          <w:tcPr>
            <w:tcW w:w="5685" w:type="dxa"/>
            <w:vAlign w:val="center"/>
          </w:tcPr>
          <w:p>
            <w:pPr>
              <w:pStyle w:val="8"/>
              <w:adjustRightInd w:val="0"/>
              <w:snapToGrid w:val="0"/>
              <w:spacing w:after="0" w:line="360" w:lineRule="auto"/>
              <w:ind w:left="0" w:leftChars="0" w:right="0" w:rightChars="0" w:firstLine="420" w:firstLineChars="200"/>
              <w:rPr>
                <w:rFonts w:hint="eastAsia" w:ascii="宋体" w:hAnsi="宋体" w:cs="宋体"/>
                <w:szCs w:val="21"/>
                <w:highlight w:val="none"/>
              </w:rPr>
            </w:pPr>
          </w:p>
          <w:p>
            <w:pPr>
              <w:pStyle w:val="8"/>
              <w:adjustRightInd w:val="0"/>
              <w:snapToGrid w:val="0"/>
              <w:spacing w:after="0" w:line="360" w:lineRule="auto"/>
              <w:ind w:left="0" w:leftChars="0" w:right="0" w:rightChars="0" w:firstLine="420" w:firstLineChars="200"/>
              <w:rPr>
                <w:rFonts w:ascii="宋体" w:hAnsi="宋体" w:cs="宋体"/>
                <w:szCs w:val="21"/>
                <w:highlight w:val="none"/>
              </w:rPr>
            </w:pPr>
            <w:r>
              <w:rPr>
                <w:rFonts w:hint="eastAsia" w:ascii="宋体" w:hAnsi="宋体" w:cs="宋体"/>
                <w:szCs w:val="21"/>
                <w:highlight w:val="none"/>
              </w:rPr>
              <w:t>文件内容完备，格式规范，封装整齐，目录、页码齐全，目录与页码能准确对应，满足招标文件要求得2分，否则不得分。未经胶封（如文件夹或订书机等）此项不得分。</w:t>
            </w:r>
          </w:p>
          <w:p>
            <w:pPr>
              <w:pStyle w:val="5"/>
              <w:rPr>
                <w:rFonts w:ascii="宋体" w:hAnsi="宋体" w:cs="宋体"/>
                <w:sz w:val="21"/>
                <w:szCs w:val="21"/>
                <w:highlight w:val="none"/>
              </w:rPr>
            </w:pP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520" w:type="dxa"/>
            <w:gridSpan w:val="4"/>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合计</w:t>
            </w:r>
          </w:p>
        </w:tc>
        <w:tc>
          <w:tcPr>
            <w:tcW w:w="674" w:type="dxa"/>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100</w:t>
            </w:r>
          </w:p>
        </w:tc>
      </w:tr>
    </w:tbl>
    <w:p>
      <w:pPr>
        <w:pStyle w:val="53"/>
        <w:rPr>
          <w:rFonts w:hint="eastAsia" w:hAnsi="宋体"/>
          <w:bCs/>
          <w:color w:val="auto"/>
          <w:kern w:val="2"/>
          <w:sz w:val="28"/>
          <w:szCs w:val="28"/>
          <w:highlight w:val="none"/>
        </w:rPr>
      </w:pPr>
      <w:r>
        <w:rPr>
          <w:rFonts w:hint="eastAsia" w:hAnsi="宋体"/>
          <w:bCs/>
          <w:color w:val="auto"/>
          <w:kern w:val="2"/>
          <w:sz w:val="28"/>
          <w:szCs w:val="28"/>
          <w:highlight w:val="none"/>
        </w:rPr>
        <w:t>（本部分内容由南京信息工程大学</w:t>
      </w:r>
      <w:r>
        <w:rPr>
          <w:rFonts w:hint="eastAsia" w:hAnsi="宋体"/>
          <w:bCs/>
          <w:color w:val="auto"/>
          <w:kern w:val="2"/>
          <w:sz w:val="28"/>
          <w:szCs w:val="28"/>
          <w:highlight w:val="none"/>
          <w:lang w:val="en-US" w:eastAsia="zh-CN"/>
        </w:rPr>
        <w:t>国际合作与交流处</w:t>
      </w:r>
      <w:r>
        <w:rPr>
          <w:rFonts w:hint="eastAsia" w:hAnsi="宋体"/>
          <w:bCs/>
          <w:color w:val="auto"/>
          <w:kern w:val="2"/>
          <w:sz w:val="28"/>
          <w:szCs w:val="28"/>
          <w:highlight w:val="none"/>
        </w:rPr>
        <w:t>提供并负责）</w:t>
      </w:r>
    </w:p>
    <w:p>
      <w:pPr>
        <w:spacing w:line="360" w:lineRule="auto"/>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pStyle w:val="2"/>
        <w:rPr>
          <w:b/>
          <w:sz w:val="28"/>
          <w:szCs w:val="28"/>
          <w:highlight w:val="none"/>
        </w:rPr>
      </w:pPr>
    </w:p>
    <w:p>
      <w:pPr>
        <w:spacing w:line="360" w:lineRule="auto"/>
        <w:rPr>
          <w:b/>
          <w:sz w:val="28"/>
          <w:szCs w:val="28"/>
          <w:highlight w:val="none"/>
        </w:rPr>
      </w:pPr>
      <w:r>
        <w:rPr>
          <w:rFonts w:hint="eastAsia"/>
          <w:b/>
          <w:sz w:val="28"/>
          <w:szCs w:val="28"/>
          <w:highlight w:val="none"/>
        </w:rPr>
        <w:t>附件</w:t>
      </w:r>
      <w:r>
        <w:rPr>
          <w:b/>
          <w:sz w:val="28"/>
          <w:szCs w:val="28"/>
          <w:highlight w:val="none"/>
        </w:rPr>
        <w:t>6</w:t>
      </w:r>
      <w:r>
        <w:rPr>
          <w:rFonts w:hint="eastAsia"/>
          <w:b/>
          <w:sz w:val="28"/>
          <w:szCs w:val="28"/>
          <w:highlight w:val="none"/>
        </w:rPr>
        <w:t>：</w:t>
      </w:r>
    </w:p>
    <w:p>
      <w:pPr>
        <w:adjustRightInd w:val="0"/>
        <w:snapToGrid w:val="0"/>
        <w:spacing w:before="156" w:beforeLines="50" w:after="156" w:afterLines="50" w:line="360" w:lineRule="auto"/>
        <w:jc w:val="center"/>
        <w:outlineLvl w:val="0"/>
        <w:rPr>
          <w:rFonts w:ascii="宋体" w:hAnsi="宋体"/>
          <w:b/>
          <w:sz w:val="34"/>
          <w:highlight w:val="none"/>
        </w:rPr>
      </w:pPr>
      <w:r>
        <w:rPr>
          <w:rFonts w:hint="eastAsia" w:ascii="宋体" w:hAnsi="宋体"/>
          <w:b/>
          <w:sz w:val="34"/>
          <w:highlight w:val="none"/>
        </w:rPr>
        <w:t>采购合同</w:t>
      </w:r>
    </w:p>
    <w:p>
      <w:pPr>
        <w:adjustRightInd w:val="0"/>
        <w:snapToGrid w:val="0"/>
        <w:spacing w:before="156" w:beforeLines="50" w:after="156" w:afterLines="50" w:line="360" w:lineRule="auto"/>
        <w:jc w:val="center"/>
        <w:outlineLvl w:val="0"/>
        <w:rPr>
          <w:rFonts w:ascii="宋体" w:hAnsi="宋体"/>
          <w:b/>
          <w:bCs/>
          <w:sz w:val="24"/>
          <w:highlight w:val="none"/>
        </w:rPr>
      </w:pPr>
      <w:r>
        <w:rPr>
          <w:rFonts w:hint="eastAsia" w:ascii="宋体" w:hAnsi="宋体"/>
          <w:b/>
          <w:sz w:val="24"/>
          <w:highlight w:val="none"/>
        </w:rPr>
        <w:t>（本参考文本供职能部门参考，合同的具体条款可由职能部门依据实际情况进行修改）</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项目名称： 南京信息工程大学202</w:t>
      </w:r>
      <w:r>
        <w:rPr>
          <w:rFonts w:hint="eastAsia" w:hAnsi="宋体"/>
          <w:sz w:val="24"/>
          <w:szCs w:val="24"/>
          <w:highlight w:val="none"/>
          <w:lang w:val="en-US" w:eastAsia="zh-CN"/>
        </w:rPr>
        <w:t>3年</w:t>
      </w:r>
      <w:r>
        <w:rPr>
          <w:rFonts w:hint="eastAsia" w:hAnsi="宋体"/>
          <w:sz w:val="24"/>
          <w:szCs w:val="24"/>
          <w:highlight w:val="none"/>
        </w:rPr>
        <w:t xml:space="preserve">国际课程视频制作服务采购项目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合同编号：</w:t>
      </w:r>
    </w:p>
    <w:p>
      <w:pPr>
        <w:pStyle w:val="10"/>
        <w:adjustRightInd w:val="0"/>
        <w:snapToGrid w:val="0"/>
        <w:spacing w:before="120" w:after="120" w:line="360" w:lineRule="auto"/>
        <w:rPr>
          <w:rFonts w:hAnsi="宋体"/>
          <w:sz w:val="24"/>
          <w:szCs w:val="24"/>
          <w:highlight w:val="none"/>
          <w:u w:val="single"/>
        </w:rPr>
      </w:pPr>
      <w:r>
        <w:rPr>
          <w:rFonts w:hint="eastAsia" w:hAnsi="宋体"/>
          <w:sz w:val="24"/>
          <w:szCs w:val="24"/>
          <w:highlight w:val="none"/>
        </w:rPr>
        <w:t>甲方：（买方）</w:t>
      </w:r>
      <w:r>
        <w:rPr>
          <w:rFonts w:hint="eastAsia" w:hAnsi="宋体"/>
          <w:sz w:val="24"/>
          <w:szCs w:val="24"/>
          <w:highlight w:val="none"/>
          <w:u w:val="single"/>
        </w:rPr>
        <w:t xml:space="preserve">   </w:t>
      </w:r>
      <w:r>
        <w:rPr>
          <w:rFonts w:hint="eastAsia" w:hAnsi="宋体"/>
          <w:sz w:val="24"/>
          <w:szCs w:val="24"/>
          <w:highlight w:val="none"/>
          <w:u w:val="single"/>
          <w:lang w:val="en-US" w:eastAsia="zh-CN"/>
        </w:rPr>
        <w:t>南京信息工程大学</w:t>
      </w:r>
      <w:r>
        <w:rPr>
          <w:rFonts w:hint="eastAsia" w:hAnsi="宋体"/>
          <w:sz w:val="24"/>
          <w:szCs w:val="24"/>
          <w:highlight w:val="none"/>
          <w:u w:val="single"/>
        </w:rPr>
        <w:t xml:space="preserve">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乙方：（卖方）</w:t>
      </w:r>
      <w:r>
        <w:rPr>
          <w:rFonts w:hint="eastAsia" w:hAnsi="宋体"/>
          <w:sz w:val="24"/>
          <w:szCs w:val="24"/>
          <w:highlight w:val="none"/>
          <w:u w:val="single"/>
        </w:rPr>
        <w:t xml:space="preserve">                   </w:t>
      </w:r>
      <w:r>
        <w:rPr>
          <w:rFonts w:hAnsi="宋体"/>
          <w:sz w:val="24"/>
          <w:szCs w:val="24"/>
          <w:highlight w:val="none"/>
          <w:u w:val="single"/>
        </w:rPr>
        <w:t xml:space="preserve">       </w:t>
      </w:r>
      <w:r>
        <w:rPr>
          <w:rFonts w:hint="eastAsia" w:hAnsi="宋体"/>
          <w:sz w:val="24"/>
          <w:szCs w:val="24"/>
          <w:highlight w:val="none"/>
        </w:rPr>
        <w:t xml:space="preserve">         </w:t>
      </w:r>
    </w:p>
    <w:p>
      <w:pPr>
        <w:pStyle w:val="10"/>
        <w:adjustRightInd w:val="0"/>
        <w:snapToGrid w:val="0"/>
        <w:spacing w:before="120" w:after="120" w:line="360" w:lineRule="auto"/>
        <w:ind w:firstLine="480"/>
        <w:rPr>
          <w:rFonts w:hAnsi="宋体"/>
          <w:b/>
          <w:sz w:val="24"/>
          <w:szCs w:val="24"/>
          <w:highlight w:val="none"/>
        </w:rPr>
      </w:pPr>
      <w:r>
        <w:rPr>
          <w:rFonts w:hint="eastAsia" w:hAnsi="宋体"/>
          <w:sz w:val="24"/>
          <w:szCs w:val="24"/>
          <w:highlight w:val="none"/>
        </w:rPr>
        <w:t>甲、乙双方根据甲方</w:t>
      </w:r>
      <w:r>
        <w:rPr>
          <w:rFonts w:hint="eastAsia" w:hAnsi="宋体"/>
          <w:sz w:val="24"/>
          <w:szCs w:val="24"/>
          <w:highlight w:val="none"/>
          <w:lang w:val="en-US" w:eastAsia="zh-CN"/>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u w:val="single"/>
        </w:rPr>
        <w:t xml:space="preserve"> 南京信息工程大学202</w:t>
      </w:r>
      <w:r>
        <w:rPr>
          <w:rFonts w:hint="eastAsia" w:hAnsi="宋体"/>
          <w:sz w:val="24"/>
          <w:szCs w:val="24"/>
          <w:highlight w:val="none"/>
          <w:u w:val="single"/>
          <w:lang w:val="en-US" w:eastAsia="zh-CN"/>
        </w:rPr>
        <w:t>3年</w:t>
      </w:r>
      <w:r>
        <w:rPr>
          <w:rFonts w:hint="eastAsia" w:hAnsi="宋体"/>
          <w:sz w:val="24"/>
          <w:szCs w:val="24"/>
          <w:highlight w:val="none"/>
          <w:u w:val="single"/>
        </w:rPr>
        <w:t xml:space="preserve">国际课程视频制作服务     </w:t>
      </w:r>
      <w:r>
        <w:rPr>
          <w:rFonts w:hint="eastAsia" w:hAnsi="宋体"/>
          <w:sz w:val="24"/>
          <w:szCs w:val="24"/>
          <w:highlight w:val="none"/>
        </w:rPr>
        <w:t>项目采购谈判的结果，签署本合同。</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lang w:val="en-US" w:eastAsia="zh-CN"/>
        </w:rPr>
        <w:t>一</w:t>
      </w:r>
      <w:r>
        <w:rPr>
          <w:rFonts w:hint="eastAsia" w:hAnsi="宋体"/>
          <w:b/>
          <w:sz w:val="24"/>
          <w:szCs w:val="24"/>
          <w:highlight w:val="none"/>
        </w:rPr>
        <w:t>、合同金额</w:t>
      </w:r>
    </w:p>
    <w:p>
      <w:pPr>
        <w:pStyle w:val="10"/>
        <w:adjustRightInd w:val="0"/>
        <w:snapToGrid w:val="0"/>
        <w:spacing w:before="120" w:after="120" w:line="360" w:lineRule="auto"/>
        <w:ind w:left="48" w:firstLine="480"/>
        <w:rPr>
          <w:rFonts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.1 本合同项下货物总价款为</w:t>
      </w:r>
      <w:r>
        <w:rPr>
          <w:rFonts w:hAnsi="宋体"/>
          <w:sz w:val="24"/>
          <w:szCs w:val="24"/>
          <w:highlight w:val="none"/>
          <w:u w:val="single"/>
        </w:rPr>
        <w:t xml:space="preserve">       </w:t>
      </w:r>
      <w:r>
        <w:rPr>
          <w:rFonts w:hint="eastAsia" w:hAnsi="宋体"/>
          <w:sz w:val="24"/>
          <w:szCs w:val="24"/>
          <w:highlight w:val="none"/>
        </w:rPr>
        <w:t>元人民币，大写</w:t>
      </w:r>
      <w:r>
        <w:rPr>
          <w:rFonts w:hAnsi="宋体"/>
          <w:sz w:val="24"/>
          <w:szCs w:val="24"/>
          <w:highlight w:val="none"/>
          <w:u w:val="single"/>
        </w:rPr>
        <w:t xml:space="preserve">     </w:t>
      </w:r>
      <w:r>
        <w:rPr>
          <w:rFonts w:hint="eastAsia" w:hAnsi="宋体"/>
          <w:sz w:val="24"/>
          <w:szCs w:val="24"/>
          <w:highlight w:val="none"/>
        </w:rPr>
        <w:t xml:space="preserve">元整； </w:t>
      </w:r>
    </w:p>
    <w:p>
      <w:pPr>
        <w:pStyle w:val="10"/>
        <w:adjustRightInd w:val="0"/>
        <w:snapToGrid w:val="0"/>
        <w:spacing w:before="120" w:after="120" w:line="360" w:lineRule="auto"/>
        <w:ind w:firstLine="480"/>
        <w:rPr>
          <w:rFonts w:hint="eastAsia" w:hAnsi="宋体"/>
          <w:sz w:val="24"/>
          <w:szCs w:val="24"/>
          <w:highlight w:val="none"/>
        </w:rPr>
      </w:pPr>
      <w:r>
        <w:rPr>
          <w:rFonts w:hint="eastAsia" w:hAnsi="宋体"/>
          <w:sz w:val="24"/>
          <w:szCs w:val="24"/>
          <w:highlight w:val="none"/>
        </w:rPr>
        <w:t>本合同总价款包括包括项目实施所有费用（包含工资、福利、保险、劳保等人员费用、相关货物费用、专利技术及相关所发生的全部费用）以及供应商企业利润、税金和政策性文件规定及合同包含的所有风险、责任等各项应有费用，还包括乙方应当提供的伴随服务/售后服务费用。除非因特殊原因并经甲乙双方协商同意，乙方不得再要求追加任何费用。同时，除非合同条款中另有规定，否则，乙方所报价格在合同实施期间不因市场变化因素而变动。</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lang w:val="en-US" w:eastAsia="zh-CN"/>
        </w:rPr>
        <w:t>二</w:t>
      </w:r>
      <w:r>
        <w:rPr>
          <w:rFonts w:hint="eastAsia" w:hAnsi="宋体"/>
          <w:b/>
          <w:sz w:val="24"/>
          <w:szCs w:val="24"/>
          <w:highlight w:val="none"/>
        </w:rPr>
        <w:t>、技术资料</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lang w:val="en-US" w:eastAsia="zh-CN"/>
        </w:rPr>
        <w:t>2</w:t>
      </w:r>
      <w:r>
        <w:rPr>
          <w:rFonts w:hint="eastAsia" w:hAnsi="宋体"/>
          <w:sz w:val="24"/>
          <w:szCs w:val="24"/>
          <w:highlight w:val="none"/>
        </w:rPr>
        <w:t>.1乙方应按采购文件规定的时间向甲方提供使用货物的有关技术资料。乙方未按合同约定向甲方提交有关技术资料的，视为未按要求交付货物，应当承担相应的违约责任。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lang w:val="en-US" w:eastAsia="zh-CN"/>
        </w:rPr>
        <w:t>2</w:t>
      </w:r>
      <w:r>
        <w:rPr>
          <w:rFonts w:hint="eastAsia" w:hAnsi="宋体"/>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360"/>
        <w:rPr>
          <w:rFonts w:hAnsi="宋体"/>
          <w:b/>
          <w:sz w:val="24"/>
          <w:szCs w:val="24"/>
          <w:highlight w:val="none"/>
        </w:rPr>
      </w:pPr>
      <w:r>
        <w:rPr>
          <w:rFonts w:hint="eastAsia" w:hAnsi="宋体"/>
          <w:b/>
          <w:sz w:val="24"/>
          <w:szCs w:val="24"/>
          <w:highlight w:val="none"/>
          <w:lang w:val="en-US" w:eastAsia="zh-CN"/>
        </w:rPr>
        <w:t>三</w:t>
      </w:r>
      <w:r>
        <w:rPr>
          <w:rFonts w:hint="eastAsia" w:hAnsi="宋体"/>
          <w:b/>
          <w:sz w:val="24"/>
          <w:szCs w:val="24"/>
          <w:highlight w:val="none"/>
        </w:rPr>
        <w:t>、知识产权</w:t>
      </w:r>
    </w:p>
    <w:p>
      <w:pPr>
        <w:adjustRightInd w:val="0"/>
        <w:snapToGrid w:val="0"/>
        <w:spacing w:line="360" w:lineRule="auto"/>
        <w:ind w:firstLine="480" w:firstLineChars="200"/>
        <w:rPr>
          <w:rFonts w:hint="eastAsia" w:hAnsi="宋体"/>
          <w:sz w:val="24"/>
          <w:szCs w:val="24"/>
          <w:highlight w:val="none"/>
        </w:rPr>
      </w:pPr>
      <w:r>
        <w:rPr>
          <w:rFonts w:hint="eastAsia" w:ascii="宋体" w:hAnsi="宋体"/>
          <w:sz w:val="24"/>
          <w:highlight w:val="none"/>
          <w:lang w:val="en-US" w:eastAsia="zh-CN"/>
        </w:rPr>
        <w:t>3</w:t>
      </w:r>
      <w:r>
        <w:rPr>
          <w:rFonts w:hint="eastAsia" w:ascii="宋体" w:hAnsi="宋体"/>
          <w:sz w:val="24"/>
          <w:highlight w:val="none"/>
        </w:rPr>
        <w:t>.1</w:t>
      </w:r>
      <w:r>
        <w:rPr>
          <w:rFonts w:hint="eastAsia" w:hAnsi="宋体"/>
          <w:sz w:val="24"/>
          <w:szCs w:val="24"/>
          <w:highlight w:val="none"/>
        </w:rPr>
        <w:t>投标人在制作过程中提供的视频数据、动画资料等课程制作相关资料等必须妥善解决所有的知识产权，所有知识产权、传播权纠纷由投标人承担责任，</w:t>
      </w:r>
      <w:r>
        <w:rPr>
          <w:rFonts w:hint="eastAsia" w:hAnsi="宋体"/>
          <w:sz w:val="24"/>
          <w:szCs w:val="24"/>
          <w:highlight w:val="none"/>
          <w:lang w:val="en-US" w:eastAsia="zh-CN"/>
        </w:rPr>
        <w:t>甲方</w:t>
      </w:r>
      <w:r>
        <w:rPr>
          <w:rFonts w:hint="eastAsia" w:hAnsi="宋体"/>
          <w:sz w:val="24"/>
          <w:szCs w:val="24"/>
          <w:highlight w:val="none"/>
        </w:rPr>
        <w:t>免责。如因</w:t>
      </w:r>
      <w:r>
        <w:rPr>
          <w:rFonts w:hint="eastAsia" w:hAnsi="宋体"/>
          <w:sz w:val="24"/>
          <w:szCs w:val="24"/>
          <w:highlight w:val="none"/>
          <w:lang w:val="en-US" w:eastAsia="zh-CN"/>
        </w:rPr>
        <w:t>乙方</w:t>
      </w:r>
      <w:r>
        <w:rPr>
          <w:rFonts w:hint="eastAsia" w:hAnsi="宋体"/>
          <w:sz w:val="24"/>
          <w:szCs w:val="24"/>
          <w:highlight w:val="none"/>
        </w:rPr>
        <w:t>提供的软件产品或服务的知识产权引起与第三方的纠纷，由</w:t>
      </w:r>
      <w:r>
        <w:rPr>
          <w:rFonts w:hint="eastAsia" w:hAnsi="宋体"/>
          <w:sz w:val="24"/>
          <w:szCs w:val="24"/>
          <w:highlight w:val="none"/>
          <w:lang w:val="en-US" w:eastAsia="zh-CN"/>
        </w:rPr>
        <w:t>乙方</w:t>
      </w:r>
      <w:r>
        <w:rPr>
          <w:rFonts w:hint="eastAsia" w:hAnsi="宋体"/>
          <w:sz w:val="24"/>
          <w:szCs w:val="24"/>
          <w:highlight w:val="none"/>
        </w:rPr>
        <w:t>负责处理，并承担全部法律责任。本项目所有成果知识产权归</w:t>
      </w:r>
      <w:r>
        <w:rPr>
          <w:rFonts w:hint="eastAsia" w:hAnsi="宋体"/>
          <w:sz w:val="24"/>
          <w:szCs w:val="24"/>
          <w:highlight w:val="none"/>
          <w:lang w:val="en-US" w:eastAsia="zh-CN"/>
        </w:rPr>
        <w:t>甲方</w:t>
      </w:r>
      <w:r>
        <w:rPr>
          <w:rFonts w:hint="eastAsia" w:hAnsi="宋体"/>
          <w:sz w:val="24"/>
          <w:szCs w:val="24"/>
          <w:highlight w:val="none"/>
        </w:rPr>
        <w:t>所有。</w:t>
      </w:r>
    </w:p>
    <w:p>
      <w:pPr>
        <w:pStyle w:val="10"/>
        <w:adjustRightInd w:val="0"/>
        <w:snapToGrid w:val="0"/>
        <w:spacing w:before="120" w:after="120" w:line="360" w:lineRule="auto"/>
        <w:ind w:firstLine="480"/>
        <w:rPr>
          <w:rFonts w:hAnsi="宋体"/>
          <w:sz w:val="24"/>
          <w:szCs w:val="24"/>
          <w:highlight w:val="none"/>
          <w:u w:val="single"/>
        </w:rPr>
      </w:pPr>
      <w:r>
        <w:rPr>
          <w:rFonts w:hint="eastAsia" w:hAnsi="宋体"/>
          <w:b/>
          <w:sz w:val="24"/>
          <w:szCs w:val="24"/>
          <w:highlight w:val="none"/>
          <w:lang w:val="en-US" w:eastAsia="zh-CN"/>
        </w:rPr>
        <w:t>四</w:t>
      </w:r>
      <w:r>
        <w:rPr>
          <w:rFonts w:hint="eastAsia" w:hAnsi="宋体"/>
          <w:b/>
          <w:sz w:val="24"/>
          <w:szCs w:val="24"/>
          <w:highlight w:val="none"/>
        </w:rPr>
        <w:t>、产权担保</w:t>
      </w:r>
    </w:p>
    <w:p>
      <w:pPr>
        <w:pStyle w:val="10"/>
        <w:adjustRightInd w:val="0"/>
        <w:snapToGrid w:val="0"/>
        <w:spacing w:before="120" w:after="120" w:line="360" w:lineRule="auto"/>
        <w:ind w:firstLine="408"/>
        <w:rPr>
          <w:rFonts w:hAnsi="宋体"/>
          <w:sz w:val="24"/>
          <w:szCs w:val="24"/>
          <w:highlight w:val="none"/>
          <w:u w:val="single"/>
        </w:rPr>
      </w:pPr>
      <w:r>
        <w:rPr>
          <w:rFonts w:hint="eastAsia" w:hAnsi="宋体"/>
          <w:sz w:val="24"/>
          <w:szCs w:val="24"/>
          <w:highlight w:val="none"/>
          <w:lang w:val="en-US" w:eastAsia="zh-CN"/>
        </w:rPr>
        <w:t>4</w:t>
      </w:r>
      <w:r>
        <w:rPr>
          <w:rFonts w:hint="eastAsia" w:hAnsi="宋体"/>
          <w:sz w:val="24"/>
          <w:szCs w:val="24"/>
          <w:highlight w:val="none"/>
        </w:rPr>
        <w:t>.1 乙方保证所交付的货物的所有权完全属于乙方且无任何抵押、查封等产权瑕疵。</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lang w:val="en-US" w:eastAsia="zh-CN"/>
        </w:rPr>
        <w:t>五</w:t>
      </w:r>
      <w:r>
        <w:rPr>
          <w:rFonts w:hint="eastAsia" w:hAnsi="宋体"/>
          <w:b/>
          <w:sz w:val="24"/>
          <w:szCs w:val="24"/>
          <w:highlight w:val="none"/>
        </w:rPr>
        <w:t>、履约保证金</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lang w:val="en-US" w:eastAsia="zh-CN"/>
        </w:rPr>
        <w:t>5</w:t>
      </w:r>
      <w:r>
        <w:rPr>
          <w:rFonts w:hint="eastAsia" w:hAnsi="宋体"/>
          <w:sz w:val="24"/>
          <w:szCs w:val="24"/>
          <w:highlight w:val="none"/>
        </w:rPr>
        <w:t>.1 乙方在签订本合同之前，按合同总价款（</w:t>
      </w:r>
      <w:r>
        <w:rPr>
          <w:rFonts w:hAnsi="宋体"/>
          <w:sz w:val="24"/>
          <w:szCs w:val="24"/>
          <w:highlight w:val="none"/>
          <w:u w:val="single"/>
        </w:rPr>
        <w:t xml:space="preserve">  </w:t>
      </w:r>
      <w:r>
        <w:rPr>
          <w:rFonts w:hint="eastAsia" w:hAnsi="宋体"/>
          <w:sz w:val="24"/>
          <w:szCs w:val="24"/>
          <w:highlight w:val="none"/>
          <w:u w:val="single"/>
          <w:lang w:val="en-US" w:eastAsia="zh-CN"/>
        </w:rPr>
        <w:t>10</w:t>
      </w:r>
      <w:r>
        <w:rPr>
          <w:rFonts w:hAnsi="宋体"/>
          <w:sz w:val="24"/>
          <w:szCs w:val="24"/>
          <w:highlight w:val="none"/>
          <w:u w:val="single"/>
        </w:rPr>
        <w:t xml:space="preserve">     </w:t>
      </w:r>
      <w:r>
        <w:rPr>
          <w:rFonts w:hint="eastAsia" w:hAnsi="宋体"/>
          <w:sz w:val="24"/>
          <w:szCs w:val="24"/>
          <w:highlight w:val="none"/>
        </w:rPr>
        <w:t>%）比例向甲方提交履约保证金人民币</w:t>
      </w:r>
      <w:r>
        <w:rPr>
          <w:rFonts w:hint="eastAsia" w:hAnsi="宋体"/>
          <w:sz w:val="24"/>
          <w:szCs w:val="24"/>
          <w:highlight w:val="none"/>
          <w:u w:val="single"/>
        </w:rPr>
        <w:t xml:space="preserve"> </w:t>
      </w:r>
      <w:r>
        <w:rPr>
          <w:rFonts w:hAnsi="宋体"/>
          <w:sz w:val="24"/>
          <w:szCs w:val="24"/>
          <w:highlight w:val="none"/>
          <w:u w:val="single"/>
        </w:rPr>
        <w:t xml:space="preserve">           </w:t>
      </w:r>
      <w:r>
        <w:rPr>
          <w:rFonts w:hint="eastAsia" w:hAnsi="宋体"/>
          <w:sz w:val="24"/>
          <w:szCs w:val="24"/>
          <w:highlight w:val="none"/>
          <w:u w:val="single"/>
        </w:rPr>
        <w:t>元整。</w:t>
      </w:r>
      <w:r>
        <w:rPr>
          <w:rFonts w:hint="eastAsia" w:hAnsi="宋体"/>
          <w:sz w:val="24"/>
          <w:szCs w:val="24"/>
          <w:highlight w:val="none"/>
        </w:rPr>
        <w:t>待项目最终验收合格且甲乙双方签署验收单且加盖甲方公章无异议后 10个工作日内无息返还。</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lang w:val="en-US" w:eastAsia="zh-CN"/>
        </w:rPr>
        <w:t>5</w:t>
      </w:r>
      <w:r>
        <w:rPr>
          <w:rFonts w:hAnsi="宋体"/>
          <w:sz w:val="24"/>
          <w:szCs w:val="24"/>
          <w:highlight w:val="none"/>
        </w:rPr>
        <w:t>.2</w:t>
      </w:r>
      <w:r>
        <w:rPr>
          <w:rFonts w:hint="eastAsia" w:hAnsi="宋体"/>
          <w:sz w:val="24"/>
          <w:szCs w:val="24"/>
          <w:highlight w:val="none"/>
        </w:rPr>
        <w:t>乙方在履行合同过程中有违约行为的，甲方有权直接从履约保证金中扣除相应的违约金。</w:t>
      </w:r>
    </w:p>
    <w:p>
      <w:pPr>
        <w:pStyle w:val="10"/>
        <w:adjustRightInd w:val="0"/>
        <w:snapToGrid w:val="0"/>
        <w:spacing w:before="120" w:after="120" w:line="360" w:lineRule="auto"/>
        <w:ind w:left="2" w:firstLine="480"/>
        <w:rPr>
          <w:rFonts w:hAnsi="宋体"/>
          <w:sz w:val="24"/>
          <w:szCs w:val="24"/>
          <w:highlight w:val="none"/>
        </w:rPr>
      </w:pPr>
      <w:r>
        <w:rPr>
          <w:rFonts w:hint="eastAsia" w:hAnsi="宋体"/>
          <w:sz w:val="24"/>
          <w:szCs w:val="24"/>
          <w:highlight w:val="none"/>
          <w:lang w:val="en-US" w:eastAsia="zh-CN"/>
        </w:rPr>
        <w:t>5</w:t>
      </w:r>
      <w:r>
        <w:rPr>
          <w:rFonts w:hAnsi="宋体"/>
          <w:sz w:val="24"/>
          <w:szCs w:val="24"/>
          <w:highlight w:val="none"/>
        </w:rPr>
        <w:t>.3</w:t>
      </w:r>
      <w:r>
        <w:rPr>
          <w:rFonts w:hint="eastAsia" w:hAnsi="宋体"/>
          <w:sz w:val="24"/>
          <w:szCs w:val="24"/>
          <w:highlight w:val="none"/>
        </w:rPr>
        <w:t>乙方在履行合同过程中有严重违约行为，导致合同被解除的，甲方有权没收全部履约保证金。保证金不足以赔偿甲方遭受的损失的，乙方还应继续承担赔偿责任。</w:t>
      </w:r>
    </w:p>
    <w:p>
      <w:pPr>
        <w:adjustRightInd w:val="0"/>
        <w:snapToGrid w:val="0"/>
        <w:spacing w:before="156" w:beforeLines="50" w:after="156" w:afterLines="50" w:line="360" w:lineRule="auto"/>
        <w:ind w:firstLine="480"/>
        <w:rPr>
          <w:rFonts w:ascii="宋体" w:hAnsi="宋体" w:cs="Courier New"/>
          <w:b/>
          <w:sz w:val="24"/>
          <w:highlight w:val="none"/>
        </w:rPr>
      </w:pPr>
      <w:r>
        <w:rPr>
          <w:rFonts w:hint="eastAsia" w:ascii="宋体" w:hAnsi="宋体" w:cs="Courier New"/>
          <w:b/>
          <w:sz w:val="24"/>
          <w:highlight w:val="none"/>
          <w:lang w:val="en-US" w:eastAsia="zh-CN"/>
        </w:rPr>
        <w:t>六</w:t>
      </w:r>
      <w:r>
        <w:rPr>
          <w:rFonts w:hint="eastAsia" w:ascii="宋体" w:hAnsi="宋体" w:cs="Courier New"/>
          <w:b/>
          <w:sz w:val="24"/>
          <w:highlight w:val="none"/>
        </w:rPr>
        <w:t>.转包或分包</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.1本合同范围的货物，应由乙方直接供应，不得转让他人供应；</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.2 除非得到甲方的书面同意，乙方不得部分分包给他人供应。</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.3如有转让和未经甲方同意的分包行为，甲方有权给予终止合同并追究乙方的违约责任。</w:t>
      </w:r>
    </w:p>
    <w:p>
      <w:pPr>
        <w:pStyle w:val="10"/>
        <w:adjustRightInd w:val="0"/>
        <w:snapToGrid w:val="0"/>
        <w:spacing w:before="120" w:after="120" w:line="360" w:lineRule="auto"/>
        <w:ind w:firstLine="480"/>
        <w:rPr>
          <w:rFonts w:hAnsi="宋体"/>
          <w:sz w:val="24"/>
          <w:szCs w:val="24"/>
          <w:highlight w:val="none"/>
        </w:rPr>
      </w:pPr>
      <w:r>
        <w:rPr>
          <w:rFonts w:hint="eastAsia" w:hAnsi="宋体"/>
          <w:b/>
          <w:sz w:val="24"/>
          <w:szCs w:val="24"/>
          <w:highlight w:val="none"/>
          <w:lang w:val="en-US" w:eastAsia="zh-CN"/>
        </w:rPr>
        <w:t>七</w:t>
      </w:r>
      <w:r>
        <w:rPr>
          <w:rFonts w:hint="eastAsia" w:hAnsi="宋体"/>
          <w:b/>
          <w:sz w:val="24"/>
          <w:szCs w:val="24"/>
          <w:highlight w:val="none"/>
        </w:rPr>
        <w:t>、质保期</w:t>
      </w:r>
    </w:p>
    <w:p>
      <w:pPr>
        <w:pStyle w:val="10"/>
        <w:adjustRightInd w:val="0"/>
        <w:snapToGrid w:val="0"/>
        <w:spacing w:before="120" w:after="120" w:line="360" w:lineRule="auto"/>
        <w:ind w:firstLine="480"/>
        <w:rPr>
          <w:rFonts w:hint="eastAsia" w:hAnsi="宋体"/>
          <w:sz w:val="24"/>
          <w:szCs w:val="24"/>
          <w:highlight w:val="none"/>
        </w:rPr>
      </w:pPr>
      <w:r>
        <w:rPr>
          <w:rFonts w:hint="eastAsia" w:hAnsi="宋体"/>
          <w:sz w:val="24"/>
          <w:szCs w:val="24"/>
          <w:highlight w:val="none"/>
          <w:lang w:val="en-US" w:eastAsia="zh-CN"/>
        </w:rPr>
        <w:t>7</w:t>
      </w:r>
      <w:r>
        <w:rPr>
          <w:rFonts w:hint="eastAsia" w:hAnsi="宋体"/>
          <w:sz w:val="24"/>
          <w:szCs w:val="24"/>
          <w:highlight w:val="none"/>
        </w:rPr>
        <w:t>.1 质保期</w:t>
      </w:r>
      <w:r>
        <w:rPr>
          <w:rFonts w:hint="eastAsia" w:hAnsi="宋体"/>
          <w:sz w:val="24"/>
          <w:szCs w:val="24"/>
          <w:highlight w:val="none"/>
          <w:u w:val="single"/>
        </w:rPr>
        <w:t xml:space="preserve">  </w:t>
      </w:r>
      <w:r>
        <w:rPr>
          <w:rFonts w:hAnsi="宋体"/>
          <w:sz w:val="24"/>
          <w:szCs w:val="24"/>
          <w:highlight w:val="none"/>
          <w:u w:val="single"/>
        </w:rPr>
        <w:t xml:space="preserve">    </w:t>
      </w:r>
      <w:r>
        <w:rPr>
          <w:rFonts w:hint="eastAsia" w:hAnsi="宋体"/>
          <w:sz w:val="24"/>
          <w:szCs w:val="24"/>
          <w:highlight w:val="none"/>
          <w:u w:val="single"/>
        </w:rPr>
        <w:t xml:space="preserve"> </w:t>
      </w:r>
      <w:r>
        <w:rPr>
          <w:rFonts w:hint="eastAsia" w:hAnsi="宋体"/>
          <w:sz w:val="24"/>
          <w:szCs w:val="24"/>
          <w:highlight w:val="none"/>
          <w:u w:val="single"/>
          <w:lang w:val="en-US" w:eastAsia="zh-CN"/>
        </w:rPr>
        <w:t>3</w:t>
      </w:r>
      <w:r>
        <w:rPr>
          <w:rFonts w:hint="eastAsia" w:hAnsi="宋体"/>
          <w:sz w:val="24"/>
          <w:szCs w:val="24"/>
          <w:highlight w:val="none"/>
          <w:u w:val="single"/>
        </w:rPr>
        <w:t xml:space="preserve">   </w:t>
      </w:r>
      <w:r>
        <w:rPr>
          <w:rFonts w:hint="eastAsia" w:hAnsi="宋体"/>
          <w:sz w:val="24"/>
          <w:szCs w:val="24"/>
          <w:highlight w:val="none"/>
        </w:rPr>
        <w:t>年。（自项目最终验收合格次日起计）</w:t>
      </w:r>
    </w:p>
    <w:p>
      <w:pPr>
        <w:pStyle w:val="10"/>
        <w:adjustRightInd w:val="0"/>
        <w:snapToGrid w:val="0"/>
        <w:spacing w:before="120" w:after="120" w:line="360" w:lineRule="auto"/>
        <w:ind w:firstLine="480"/>
        <w:rPr>
          <w:rFonts w:hint="eastAsia" w:hAnsi="宋体"/>
          <w:sz w:val="24"/>
          <w:szCs w:val="24"/>
          <w:highlight w:val="none"/>
        </w:rPr>
      </w:pPr>
      <w:r>
        <w:rPr>
          <w:rFonts w:hint="eastAsia" w:hAnsi="宋体"/>
          <w:sz w:val="24"/>
          <w:szCs w:val="24"/>
          <w:highlight w:val="none"/>
          <w:lang w:val="en-US" w:eastAsia="zh-CN"/>
        </w:rPr>
        <w:t xml:space="preserve">7.2 </w:t>
      </w:r>
      <w:r>
        <w:rPr>
          <w:rFonts w:hint="eastAsia" w:hAnsi="宋体"/>
          <w:sz w:val="24"/>
          <w:szCs w:val="24"/>
          <w:highlight w:val="none"/>
        </w:rPr>
        <w:t>维保期内，</w:t>
      </w:r>
      <w:r>
        <w:rPr>
          <w:rFonts w:hint="eastAsia" w:hAnsi="宋体"/>
          <w:sz w:val="24"/>
          <w:szCs w:val="24"/>
          <w:highlight w:val="none"/>
          <w:lang w:val="en-US" w:eastAsia="zh-CN"/>
        </w:rPr>
        <w:t>乙方</w:t>
      </w:r>
      <w:r>
        <w:rPr>
          <w:rFonts w:hint="eastAsia" w:hAnsi="宋体"/>
          <w:sz w:val="24"/>
          <w:szCs w:val="24"/>
          <w:highlight w:val="none"/>
        </w:rPr>
        <w:t>对所建设的课程无条件提供修改服务，修改次数不少于3次，且累计内容不低于20%。</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lang w:val="en-US" w:eastAsia="zh-CN"/>
        </w:rPr>
        <w:t xml:space="preserve">7.3 </w:t>
      </w:r>
      <w:r>
        <w:rPr>
          <w:rFonts w:hint="eastAsia" w:hAnsi="宋体"/>
          <w:sz w:val="24"/>
          <w:szCs w:val="24"/>
          <w:highlight w:val="none"/>
        </w:rPr>
        <w:t>如</w:t>
      </w:r>
      <w:r>
        <w:rPr>
          <w:rFonts w:hint="eastAsia" w:hAnsi="宋体"/>
          <w:sz w:val="24"/>
          <w:szCs w:val="24"/>
          <w:highlight w:val="none"/>
          <w:lang w:val="en-US" w:eastAsia="zh-CN"/>
        </w:rPr>
        <w:t>甲</w:t>
      </w:r>
      <w:r>
        <w:rPr>
          <w:rFonts w:hint="eastAsia" w:hAnsi="宋体"/>
          <w:sz w:val="24"/>
          <w:szCs w:val="24"/>
          <w:highlight w:val="none"/>
        </w:rPr>
        <w:t>方因课程需要，实际课程建设总量低于招标要求，不足部分作为预购服务，</w:t>
      </w:r>
      <w:r>
        <w:rPr>
          <w:rFonts w:hint="eastAsia" w:hAnsi="宋体"/>
          <w:sz w:val="24"/>
          <w:szCs w:val="24"/>
          <w:highlight w:val="none"/>
          <w:lang w:val="en-US" w:eastAsia="zh-CN"/>
        </w:rPr>
        <w:t>乙方</w:t>
      </w:r>
      <w:r>
        <w:rPr>
          <w:rFonts w:hint="eastAsia" w:hAnsi="宋体"/>
          <w:sz w:val="24"/>
          <w:szCs w:val="24"/>
          <w:highlight w:val="none"/>
        </w:rPr>
        <w:t>根据</w:t>
      </w:r>
      <w:r>
        <w:rPr>
          <w:rFonts w:hint="eastAsia" w:hAnsi="宋体"/>
          <w:sz w:val="24"/>
          <w:szCs w:val="24"/>
          <w:highlight w:val="none"/>
          <w:lang w:val="en-US" w:eastAsia="zh-CN"/>
        </w:rPr>
        <w:t>甲</w:t>
      </w:r>
      <w:r>
        <w:rPr>
          <w:rFonts w:hint="eastAsia" w:hAnsi="宋体"/>
          <w:sz w:val="24"/>
          <w:szCs w:val="24"/>
          <w:highlight w:val="none"/>
        </w:rPr>
        <w:t>方的调整计划，补足课程制作数量，有效期不限。</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lang w:val="en-US" w:eastAsia="zh-CN"/>
        </w:rPr>
        <w:t>八</w:t>
      </w:r>
      <w:r>
        <w:rPr>
          <w:rFonts w:hint="eastAsia" w:hAnsi="宋体"/>
          <w:b/>
          <w:sz w:val="24"/>
          <w:szCs w:val="24"/>
          <w:highlight w:val="none"/>
        </w:rPr>
        <w:t>、</w:t>
      </w:r>
      <w:r>
        <w:rPr>
          <w:rFonts w:hint="eastAsia" w:hAnsi="宋体"/>
          <w:b/>
          <w:bCs w:val="0"/>
          <w:sz w:val="24"/>
          <w:szCs w:val="24"/>
          <w:highlight w:val="none"/>
        </w:rPr>
        <w:t>项目实施</w:t>
      </w:r>
    </w:p>
    <w:p>
      <w:pPr>
        <w:pStyle w:val="10"/>
        <w:adjustRightInd w:val="0"/>
        <w:snapToGrid w:val="0"/>
        <w:spacing w:before="120" w:after="120" w:line="360" w:lineRule="auto"/>
        <w:ind w:firstLine="480"/>
        <w:rPr>
          <w:rFonts w:hint="eastAsia" w:hAnsi="宋体"/>
          <w:sz w:val="24"/>
          <w:szCs w:val="24"/>
          <w:highlight w:val="none"/>
          <w:u w:val="single"/>
        </w:rPr>
      </w:pPr>
      <w:r>
        <w:rPr>
          <w:rFonts w:hint="eastAsia" w:hAnsi="宋体"/>
          <w:bCs/>
          <w:sz w:val="24"/>
          <w:szCs w:val="24"/>
          <w:highlight w:val="none"/>
          <w:lang w:val="en-US" w:eastAsia="zh-CN"/>
        </w:rPr>
        <w:t>8</w:t>
      </w:r>
      <w:r>
        <w:rPr>
          <w:rFonts w:hint="eastAsia" w:hAnsi="宋体"/>
          <w:bCs/>
          <w:sz w:val="24"/>
          <w:szCs w:val="24"/>
          <w:highlight w:val="none"/>
        </w:rPr>
        <w:t xml:space="preserve">.1 </w:t>
      </w:r>
      <w:r>
        <w:rPr>
          <w:rFonts w:hint="eastAsia" w:hAnsi="宋体"/>
          <w:bCs/>
          <w:sz w:val="24"/>
          <w:szCs w:val="24"/>
          <w:highlight w:val="none"/>
          <w:lang w:val="en-US" w:eastAsia="zh-CN"/>
        </w:rPr>
        <w:t>实施</w:t>
      </w:r>
      <w:r>
        <w:rPr>
          <w:rFonts w:hint="eastAsia" w:hAnsi="宋体"/>
          <w:bCs/>
          <w:sz w:val="24"/>
          <w:szCs w:val="24"/>
          <w:highlight w:val="none"/>
        </w:rPr>
        <w:t>期</w:t>
      </w:r>
      <w:r>
        <w:rPr>
          <w:rFonts w:hint="eastAsia" w:hAnsi="宋体"/>
          <w:bCs/>
          <w:sz w:val="24"/>
          <w:szCs w:val="24"/>
          <w:highlight w:val="none"/>
          <w:lang w:val="en-US" w:eastAsia="zh-CN"/>
        </w:rPr>
        <w:t>限</w:t>
      </w:r>
      <w:r>
        <w:rPr>
          <w:rFonts w:hint="eastAsia" w:hAnsi="宋体"/>
          <w:bCs/>
          <w:sz w:val="24"/>
          <w:szCs w:val="24"/>
          <w:highlight w:val="none"/>
        </w:rPr>
        <w:t>：</w:t>
      </w:r>
      <w:r>
        <w:rPr>
          <w:rFonts w:hint="eastAsia" w:hAnsi="宋体"/>
          <w:sz w:val="24"/>
          <w:szCs w:val="24"/>
          <w:highlight w:val="none"/>
          <w:u w:val="single"/>
        </w:rPr>
        <w:t>___</w:t>
      </w:r>
      <w:r>
        <w:rPr>
          <w:rFonts w:hint="eastAsia" w:hAnsi="宋体"/>
          <w:sz w:val="24"/>
          <w:szCs w:val="24"/>
          <w:highlight w:val="none"/>
          <w:u w:val="single"/>
          <w:lang w:val="en-US" w:eastAsia="zh-CN"/>
        </w:rPr>
        <w:t>2024年6月30日</w:t>
      </w:r>
      <w:r>
        <w:rPr>
          <w:rFonts w:hint="eastAsia" w:hAnsi="宋体"/>
          <w:sz w:val="24"/>
          <w:szCs w:val="24"/>
          <w:highlight w:val="none"/>
          <w:u w:val="single"/>
        </w:rPr>
        <w:t>_</w:t>
      </w:r>
      <w:r>
        <w:rPr>
          <w:rFonts w:hint="eastAsia" w:hAnsi="宋体"/>
          <w:sz w:val="24"/>
          <w:szCs w:val="24"/>
          <w:highlight w:val="none"/>
          <w:u w:val="single"/>
          <w:lang w:val="en-US" w:eastAsia="zh-CN"/>
        </w:rPr>
        <w:t>前</w:t>
      </w:r>
    </w:p>
    <w:p>
      <w:pPr>
        <w:pStyle w:val="10"/>
        <w:adjustRightInd w:val="0"/>
        <w:snapToGrid w:val="0"/>
        <w:spacing w:before="120" w:after="120" w:line="360" w:lineRule="auto"/>
        <w:ind w:firstLine="480"/>
        <w:rPr>
          <w:rFonts w:hint="eastAsia" w:hAnsi="宋体"/>
          <w:bCs/>
          <w:sz w:val="24"/>
          <w:szCs w:val="24"/>
          <w:highlight w:val="none"/>
          <w:u w:val="single"/>
        </w:rPr>
      </w:pPr>
      <w:r>
        <w:rPr>
          <w:rFonts w:hint="eastAsia" w:hAnsi="宋体"/>
          <w:bCs/>
          <w:sz w:val="24"/>
          <w:szCs w:val="24"/>
          <w:highlight w:val="none"/>
          <w:lang w:val="en-US" w:eastAsia="zh-CN"/>
        </w:rPr>
        <w:t>8.2实施</w:t>
      </w:r>
      <w:r>
        <w:rPr>
          <w:rFonts w:hint="eastAsia" w:hAnsi="宋体"/>
          <w:bCs/>
          <w:sz w:val="24"/>
          <w:szCs w:val="24"/>
          <w:highlight w:val="none"/>
        </w:rPr>
        <w:t xml:space="preserve">地点： </w:t>
      </w:r>
      <w:r>
        <w:rPr>
          <w:rFonts w:hint="eastAsia" w:hAnsi="宋体"/>
          <w:bCs/>
          <w:sz w:val="24"/>
          <w:szCs w:val="24"/>
          <w:highlight w:val="none"/>
          <w:u w:val="single"/>
        </w:rPr>
        <w:t xml:space="preserve">南京，具体地点以甲乙双方协商而定   </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lang w:val="en-US" w:eastAsia="zh-CN"/>
        </w:rPr>
        <w:t>九</w:t>
      </w:r>
      <w:r>
        <w:rPr>
          <w:rFonts w:hint="eastAsia" w:hAnsi="宋体"/>
          <w:b/>
          <w:sz w:val="24"/>
          <w:szCs w:val="24"/>
          <w:highlight w:val="none"/>
        </w:rPr>
        <w:t>、货款支付</w:t>
      </w:r>
    </w:p>
    <w:p>
      <w:pPr>
        <w:pStyle w:val="10"/>
        <w:adjustRightInd w:val="0"/>
        <w:snapToGrid w:val="0"/>
        <w:spacing w:before="120" w:after="120" w:line="360" w:lineRule="auto"/>
        <w:ind w:firstLine="480"/>
        <w:rPr>
          <w:rFonts w:ascii="宋体" w:hAnsi="宋体"/>
          <w:sz w:val="24"/>
          <w:highlight w:val="none"/>
        </w:rPr>
      </w:pPr>
      <w:r>
        <w:rPr>
          <w:rFonts w:hint="eastAsia" w:hAnsi="宋体"/>
          <w:sz w:val="24"/>
          <w:highlight w:val="none"/>
          <w:lang w:val="en-US" w:eastAsia="zh-CN"/>
        </w:rPr>
        <w:t>9</w:t>
      </w:r>
      <w:r>
        <w:rPr>
          <w:rFonts w:hint="eastAsia" w:ascii="宋体" w:hAnsi="宋体"/>
          <w:sz w:val="24"/>
          <w:highlight w:val="none"/>
        </w:rPr>
        <w:t>.</w:t>
      </w:r>
      <w:r>
        <w:rPr>
          <w:rFonts w:hint="eastAsia" w:hAnsi="宋体"/>
          <w:sz w:val="24"/>
          <w:highlight w:val="none"/>
          <w:lang w:val="en-US" w:eastAsia="zh-CN"/>
        </w:rPr>
        <w:t>1</w:t>
      </w:r>
      <w:r>
        <w:rPr>
          <w:rFonts w:hint="eastAsia" w:hAnsi="宋体"/>
          <w:sz w:val="24"/>
          <w:szCs w:val="24"/>
          <w:highlight w:val="none"/>
        </w:rPr>
        <w:t>针对本项目，签订合同后，20日内预付合同金额的30%，全部服务完成并验收合格后，凭验收凭证等文件20内支付至合同金额的100%。</w:t>
      </w:r>
      <w:r>
        <w:rPr>
          <w:rFonts w:hint="eastAsia" w:ascii="宋体" w:hAnsi="宋体"/>
          <w:sz w:val="24"/>
          <w:highlight w:val="none"/>
        </w:rPr>
        <w:t>乙方提供全额“增值税专用发票”。</w:t>
      </w:r>
    </w:p>
    <w:p>
      <w:pPr>
        <w:adjustRightInd w:val="0"/>
        <w:snapToGrid w:val="0"/>
        <w:spacing w:before="156" w:beforeLines="50" w:after="156" w:afterLines="50" w:line="360" w:lineRule="auto"/>
        <w:ind w:firstLine="480"/>
        <w:rPr>
          <w:rFonts w:ascii="宋体" w:hAnsi="宋体"/>
          <w:b/>
          <w:sz w:val="24"/>
          <w:highlight w:val="none"/>
        </w:rPr>
      </w:pPr>
      <w:r>
        <w:rPr>
          <w:rFonts w:hint="eastAsia" w:ascii="宋体" w:hAnsi="宋体"/>
          <w:b/>
          <w:sz w:val="24"/>
          <w:highlight w:val="none"/>
        </w:rPr>
        <w:t>十、税</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.1发票要求：针对国内供货的货物，乙方开具合同全额“增值税专用发票”（抬头：南京信息工程大学）。（增值税专用发票开票信息：户名：南京信息工程大学  地址：江苏省南京市浦口区宁六路219号  财务电话：025-58731111 开户行：中国农业银行股份有限公司南京盘城支行 账号：</w:t>
      </w:r>
      <w:r>
        <w:rPr>
          <w:rFonts w:ascii="宋体" w:hAnsi="宋体"/>
          <w:sz w:val="24"/>
          <w:highlight w:val="none"/>
        </w:rPr>
        <w:t>10115401040000228</w:t>
      </w:r>
      <w:r>
        <w:rPr>
          <w:rFonts w:hint="eastAsia" w:ascii="宋体" w:hAnsi="宋体"/>
          <w:sz w:val="24"/>
          <w:highlight w:val="none"/>
        </w:rPr>
        <w:t xml:space="preserve"> 税号：12320000466006762K）</w:t>
      </w:r>
    </w:p>
    <w:p>
      <w:pPr>
        <w:adjustRightInd w:val="0"/>
        <w:snapToGrid w:val="0"/>
        <w:spacing w:before="156" w:beforeLines="50" w:after="156" w:afterLines="50" w:line="360" w:lineRule="auto"/>
        <w:ind w:firstLine="48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.2本合同执行中相关的一切税费均由乙方负担。</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w:t>
      </w:r>
      <w:r>
        <w:rPr>
          <w:rFonts w:hint="eastAsia" w:hAnsi="宋体"/>
          <w:b/>
          <w:sz w:val="24"/>
          <w:szCs w:val="24"/>
          <w:highlight w:val="none"/>
          <w:lang w:val="en-US" w:eastAsia="zh-CN"/>
        </w:rPr>
        <w:t>一</w:t>
      </w:r>
      <w:r>
        <w:rPr>
          <w:rFonts w:hint="eastAsia" w:hAnsi="宋体"/>
          <w:b/>
          <w:sz w:val="24"/>
          <w:szCs w:val="24"/>
          <w:highlight w:val="none"/>
        </w:rPr>
        <w:t>、验收</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1</w:t>
      </w:r>
      <w:r>
        <w:rPr>
          <w:rFonts w:hint="eastAsia" w:hAnsi="宋体"/>
          <w:sz w:val="24"/>
          <w:szCs w:val="24"/>
          <w:highlight w:val="none"/>
        </w:rPr>
        <w:t xml:space="preserve">.1 根据甲方服务管理要求及乙方的相关承诺，对乙方提供的服务及履行本合同情况实行验收考核。验收考核方式为： </w:t>
      </w:r>
      <w:r>
        <w:rPr>
          <w:rFonts w:hint="eastAsia" w:hAnsi="宋体"/>
          <w:sz w:val="24"/>
          <w:szCs w:val="24"/>
          <w:highlight w:val="none"/>
          <w:u w:val="single"/>
        </w:rPr>
        <w:t>甲方组织验收组进行验收。</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1</w:t>
      </w:r>
      <w:r>
        <w:rPr>
          <w:rFonts w:hint="eastAsia" w:hAnsi="宋体"/>
          <w:sz w:val="24"/>
          <w:szCs w:val="24"/>
          <w:highlight w:val="none"/>
        </w:rPr>
        <w:t>.2 乙方交货前应对产品作出全面检查和对验收文件进行整理，并列出清单，作为甲方收货验收和使用的技术条件依据，检验的结果应随货物交甲方。</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1</w:t>
      </w:r>
      <w:r>
        <w:rPr>
          <w:rFonts w:hint="eastAsia" w:hAnsi="宋体"/>
          <w:sz w:val="24"/>
          <w:szCs w:val="24"/>
          <w:highlight w:val="none"/>
        </w:rPr>
        <w:t>.</w:t>
      </w:r>
      <w:r>
        <w:rPr>
          <w:rFonts w:hint="eastAsia" w:hAnsi="宋体"/>
          <w:sz w:val="24"/>
          <w:szCs w:val="24"/>
          <w:highlight w:val="none"/>
          <w:lang w:val="en-US" w:eastAsia="zh-CN"/>
        </w:rPr>
        <w:t>3</w:t>
      </w:r>
      <w:r>
        <w:rPr>
          <w:rFonts w:hint="eastAsia" w:hAnsi="宋体"/>
          <w:sz w:val="24"/>
          <w:szCs w:val="24"/>
          <w:highlight w:val="none"/>
        </w:rPr>
        <w:t xml:space="preserve"> 验收时乙方必须在现场，验收完毕后作出验收结果报告，验收报告须经甲方最终用户签字和部门盖章。</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w:t>
      </w:r>
      <w:r>
        <w:rPr>
          <w:rFonts w:hint="eastAsia" w:hAnsi="宋体"/>
          <w:b/>
          <w:sz w:val="24"/>
          <w:szCs w:val="24"/>
          <w:highlight w:val="none"/>
          <w:lang w:val="en-US" w:eastAsia="zh-CN"/>
        </w:rPr>
        <w:t>二</w:t>
      </w:r>
      <w:r>
        <w:rPr>
          <w:rFonts w:hint="eastAsia" w:hAnsi="宋体"/>
          <w:b/>
          <w:sz w:val="24"/>
          <w:szCs w:val="24"/>
          <w:highlight w:val="none"/>
        </w:rPr>
        <w:t>、违约责任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int="eastAsia" w:hAnsi="宋体"/>
          <w:sz w:val="24"/>
          <w:szCs w:val="24"/>
          <w:highlight w:val="none"/>
        </w:rPr>
        <w:t>.1 甲方无正当理由拒收货物的，甲方向乙方偿付拒收货款总值的百分之五违约金。</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int="eastAsia" w:hAnsi="宋体"/>
          <w:sz w:val="24"/>
          <w:szCs w:val="24"/>
          <w:highlight w:val="none"/>
        </w:rPr>
        <w:t>.2 甲方无正当理由逾期验收和办理货款支付手续的,甲方应按逾期付款总额每日万分之五向乙方支付违约金。违约金总计不得超过合同总额的百分之五。</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int="eastAsia" w:hAnsi="宋体"/>
          <w:sz w:val="24"/>
          <w:szCs w:val="24"/>
          <w:highlight w:val="none"/>
        </w:rPr>
        <w:t>.3 乙方逾期交付货物的，乙方应按逾期交货总额每日千分之六向甲方支付违约金，由甲方从待付货款中扣除。乙方逾期超过约定日期10个工作日不能交货的，</w:t>
      </w:r>
      <w:r>
        <w:rPr>
          <w:rFonts w:hint="eastAsia" w:hAnsi="宋体"/>
          <w:sz w:val="24"/>
          <w:szCs w:val="24"/>
          <w:highlight w:val="none"/>
          <w:lang w:val="en-US" w:eastAsia="zh-CN"/>
        </w:rPr>
        <w:t>或</w:t>
      </w:r>
      <w:r>
        <w:rPr>
          <w:rFonts w:hint="eastAsia" w:hAnsi="宋体"/>
          <w:sz w:val="24"/>
          <w:szCs w:val="24"/>
          <w:highlight w:val="none"/>
        </w:rPr>
        <w:t>逾期交付货物使得甲方无法实现合同目的的，甲方</w:t>
      </w:r>
      <w:r>
        <w:rPr>
          <w:rFonts w:hint="eastAsia" w:hAnsi="宋体"/>
          <w:sz w:val="24"/>
          <w:szCs w:val="24"/>
          <w:highlight w:val="none"/>
          <w:lang w:val="en-US" w:eastAsia="zh-CN"/>
        </w:rPr>
        <w:t>有权</w:t>
      </w:r>
      <w:r>
        <w:rPr>
          <w:rFonts w:hint="eastAsia" w:hAnsi="宋体"/>
          <w:sz w:val="24"/>
          <w:szCs w:val="24"/>
          <w:highlight w:val="none"/>
        </w:rPr>
        <w:t>解除本合同。</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int="eastAsia" w:hAnsi="宋体"/>
          <w:sz w:val="24"/>
          <w:szCs w:val="24"/>
          <w:highlight w:val="none"/>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Ansi="宋体"/>
          <w:sz w:val="24"/>
          <w:szCs w:val="24"/>
          <w:highlight w:val="none"/>
        </w:rPr>
        <w:t>.5</w:t>
      </w:r>
      <w:r>
        <w:rPr>
          <w:rFonts w:hint="eastAsia" w:hAnsi="宋体"/>
          <w:sz w:val="24"/>
          <w:szCs w:val="24"/>
          <w:highlight w:val="none"/>
        </w:rPr>
        <w:t>乙方因不履行合同、不完全履行合同、履行合同不符合合同约定、逾期交货或因其他违约行为导致甲方解除合同的，乙方应</w:t>
      </w:r>
      <w:r>
        <w:rPr>
          <w:rFonts w:hint="eastAsia" w:hAnsi="宋体"/>
          <w:sz w:val="24"/>
          <w:szCs w:val="24"/>
          <w:highlight w:val="none"/>
          <w:lang w:val="en-US" w:eastAsia="zh-CN"/>
        </w:rPr>
        <w:t>返还甲方已经支付的预付款，按合同总额</w:t>
      </w:r>
      <w:r>
        <w:rPr>
          <w:rFonts w:hint="eastAsia" w:hAnsi="宋体"/>
          <w:sz w:val="24"/>
          <w:szCs w:val="24"/>
          <w:highlight w:val="none"/>
        </w:rPr>
        <w:t>百分之三十</w:t>
      </w:r>
      <w:r>
        <w:rPr>
          <w:rFonts w:hint="eastAsia" w:hAnsi="宋体"/>
          <w:sz w:val="24"/>
          <w:szCs w:val="24"/>
          <w:highlight w:val="none"/>
          <w:lang w:val="en-US" w:eastAsia="zh-CN"/>
        </w:rPr>
        <w:t>支付</w:t>
      </w:r>
      <w:r>
        <w:rPr>
          <w:rFonts w:hint="eastAsia" w:hAnsi="宋体"/>
          <w:sz w:val="24"/>
          <w:szCs w:val="24"/>
          <w:highlight w:val="none"/>
        </w:rPr>
        <w:t>违约金</w:t>
      </w:r>
      <w:r>
        <w:rPr>
          <w:rFonts w:hint="eastAsia" w:hAnsi="宋体"/>
          <w:sz w:val="24"/>
          <w:szCs w:val="24"/>
          <w:highlight w:val="none"/>
          <w:lang w:eastAsia="zh-CN"/>
        </w:rPr>
        <w:t>。</w:t>
      </w:r>
      <w:r>
        <w:rPr>
          <w:rFonts w:hint="eastAsia" w:hAnsi="宋体"/>
          <w:sz w:val="24"/>
          <w:szCs w:val="24"/>
          <w:highlight w:val="none"/>
          <w:lang w:val="en-US" w:eastAsia="zh-CN"/>
        </w:rPr>
        <w:t>乙方已经交付的履约保证金全部没收。如违约金及履约保证金仍不足以弥补甲方遭受的损失的，乙方应继续承担</w:t>
      </w:r>
      <w:r>
        <w:rPr>
          <w:rFonts w:hint="eastAsia" w:hAnsi="宋体"/>
          <w:sz w:val="24"/>
          <w:szCs w:val="24"/>
          <w:highlight w:val="none"/>
        </w:rPr>
        <w:t>赔偿责任。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Ansi="宋体"/>
          <w:sz w:val="24"/>
          <w:szCs w:val="24"/>
          <w:highlight w:val="none"/>
        </w:rPr>
        <w:t>.6</w:t>
      </w:r>
      <w:r>
        <w:rPr>
          <w:rFonts w:hint="eastAsia" w:hAnsi="宋体"/>
          <w:sz w:val="24"/>
          <w:szCs w:val="24"/>
          <w:highlight w:val="none"/>
        </w:rPr>
        <w:t>乙方未按本合同的规定和“服务承诺”提供售后服务的，应按合同总价款的5%向甲方承担违约责任。同时甲方有权另行委托第三方提供相关服务，由此产生的费用由乙方全部承担。乙方拒绝承担费用的，甲方有权追偿。甲方维权产生的全部费用均由乙方承担。</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Ansi="宋体"/>
          <w:sz w:val="24"/>
          <w:szCs w:val="24"/>
          <w:highlight w:val="none"/>
        </w:rPr>
        <w:t>.7</w:t>
      </w:r>
      <w:r>
        <w:rPr>
          <w:rFonts w:hint="eastAsia" w:hAnsi="宋体"/>
          <w:sz w:val="24"/>
          <w:szCs w:val="24"/>
          <w:highlight w:val="none"/>
        </w:rPr>
        <w:t>乙方未按本合同第九条的规定向甲方交付履约保证金的，应按应交付履约保证金的10%向甲方支付违约金，该违约金的支付不影响乙方应承担的其他违约责任。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Ansi="宋体"/>
          <w:sz w:val="24"/>
          <w:szCs w:val="24"/>
          <w:highlight w:val="none"/>
        </w:rPr>
        <w:t>.8</w:t>
      </w:r>
      <w:r>
        <w:rPr>
          <w:rFonts w:hint="eastAsia" w:hAnsi="宋体"/>
          <w:sz w:val="24"/>
          <w:szCs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2</w:t>
      </w:r>
      <w:r>
        <w:rPr>
          <w:rFonts w:hAnsi="宋体"/>
          <w:sz w:val="24"/>
          <w:szCs w:val="24"/>
          <w:highlight w:val="none"/>
        </w:rPr>
        <w:t>.9</w:t>
      </w:r>
      <w:r>
        <w:rPr>
          <w:rFonts w:hint="eastAsia" w:hAnsi="宋体"/>
          <w:sz w:val="24"/>
          <w:szCs w:val="24"/>
          <w:highlight w:val="none"/>
        </w:rPr>
        <w:t>乙方提供的货物如侵犯了第三方合法权益而引发的任何纠纷或诉讼，均由乙方负责交涉并承担全部责任。</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w:t>
      </w:r>
      <w:r>
        <w:rPr>
          <w:rFonts w:hint="eastAsia" w:hAnsi="宋体"/>
          <w:b/>
          <w:sz w:val="24"/>
          <w:szCs w:val="24"/>
          <w:highlight w:val="none"/>
          <w:lang w:val="en-US" w:eastAsia="zh-CN"/>
        </w:rPr>
        <w:t>三</w:t>
      </w:r>
      <w:r>
        <w:rPr>
          <w:rFonts w:hint="eastAsia" w:hAnsi="宋体"/>
          <w:b/>
          <w:sz w:val="24"/>
          <w:szCs w:val="24"/>
          <w:highlight w:val="none"/>
        </w:rPr>
        <w:t>、廉政条款</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3</w:t>
      </w:r>
      <w:r>
        <w:rPr>
          <w:rFonts w:hint="eastAsia" w:hAnsi="宋体"/>
          <w:sz w:val="24"/>
          <w:szCs w:val="24"/>
          <w:highlight w:val="none"/>
        </w:rPr>
        <w:t>.1乙方必须支持甲方的廉政建设，不得向甲方相关人员提供金钱和物质上的好处，一经发现处以合同金额20%的罚款。</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w:t>
      </w:r>
      <w:r>
        <w:rPr>
          <w:rFonts w:hint="eastAsia" w:hAnsi="宋体"/>
          <w:b/>
          <w:sz w:val="24"/>
          <w:szCs w:val="24"/>
          <w:highlight w:val="none"/>
          <w:lang w:val="en-US" w:eastAsia="zh-CN"/>
        </w:rPr>
        <w:t>四</w:t>
      </w:r>
      <w:r>
        <w:rPr>
          <w:rFonts w:hint="eastAsia" w:hAnsi="宋体"/>
          <w:b/>
          <w:sz w:val="24"/>
          <w:szCs w:val="24"/>
          <w:highlight w:val="none"/>
        </w:rPr>
        <w:t>、不可抗力事件处理</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4</w:t>
      </w:r>
      <w:r>
        <w:rPr>
          <w:rFonts w:hint="eastAsia" w:hAnsi="宋体"/>
          <w:sz w:val="24"/>
          <w:szCs w:val="24"/>
          <w:highlight w:val="none"/>
        </w:rPr>
        <w:t>.1 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4</w:t>
      </w:r>
      <w:r>
        <w:rPr>
          <w:rFonts w:hint="eastAsia" w:hAnsi="宋体"/>
          <w:sz w:val="24"/>
          <w:szCs w:val="24"/>
          <w:highlight w:val="none"/>
        </w:rPr>
        <w:t>.2 不可抗力事件发生后，应立即通知对方，并寄送有关权威机构出具的证明。</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4</w:t>
      </w:r>
      <w:r>
        <w:rPr>
          <w:rFonts w:hint="eastAsia" w:hAnsi="宋体"/>
          <w:sz w:val="24"/>
          <w:szCs w:val="24"/>
          <w:highlight w:val="none"/>
        </w:rPr>
        <w:t>.3 不可抗力事件延续30天以上，双方应通过友好协商，确定是否继续履行合同。</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w:t>
      </w:r>
      <w:r>
        <w:rPr>
          <w:rFonts w:hint="eastAsia" w:hAnsi="宋体"/>
          <w:b/>
          <w:sz w:val="24"/>
          <w:szCs w:val="24"/>
          <w:highlight w:val="none"/>
          <w:lang w:val="en-US" w:eastAsia="zh-CN"/>
        </w:rPr>
        <w:t>五</w:t>
      </w:r>
      <w:r>
        <w:rPr>
          <w:rFonts w:hint="eastAsia" w:hAnsi="宋体"/>
          <w:b/>
          <w:sz w:val="24"/>
          <w:szCs w:val="24"/>
          <w:highlight w:val="none"/>
        </w:rPr>
        <w:t>、诉讼</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5</w:t>
      </w:r>
      <w:r>
        <w:rPr>
          <w:rFonts w:hint="eastAsia" w:hAnsi="宋体"/>
          <w:sz w:val="24"/>
          <w:szCs w:val="24"/>
          <w:highlight w:val="none"/>
        </w:rPr>
        <w:t>.1 双方在执行合同中所发生的一切争议，应通过协商解决。如协商不成，可向合同签订地法院起诉，合同签订地在此约定为南京市。因本合同履行产生的争议适用中华人民共和国法律。</w:t>
      </w:r>
    </w:p>
    <w:p>
      <w:pPr>
        <w:pStyle w:val="10"/>
        <w:adjustRightInd w:val="0"/>
        <w:snapToGrid w:val="0"/>
        <w:spacing w:before="120" w:after="120" w:line="360" w:lineRule="auto"/>
        <w:ind w:firstLine="480"/>
        <w:rPr>
          <w:rFonts w:hAnsi="宋体"/>
          <w:b/>
          <w:sz w:val="24"/>
          <w:szCs w:val="24"/>
          <w:highlight w:val="none"/>
        </w:rPr>
      </w:pPr>
      <w:r>
        <w:rPr>
          <w:rFonts w:hint="eastAsia" w:hAnsi="宋体"/>
          <w:b/>
          <w:sz w:val="24"/>
          <w:szCs w:val="24"/>
          <w:highlight w:val="none"/>
        </w:rPr>
        <w:t>十</w:t>
      </w:r>
      <w:r>
        <w:rPr>
          <w:rFonts w:hint="eastAsia" w:hAnsi="宋体"/>
          <w:b/>
          <w:sz w:val="24"/>
          <w:szCs w:val="24"/>
          <w:highlight w:val="none"/>
          <w:lang w:val="en-US" w:eastAsia="zh-CN"/>
        </w:rPr>
        <w:t>六</w:t>
      </w:r>
      <w:r>
        <w:rPr>
          <w:rFonts w:hint="eastAsia" w:hAnsi="宋体"/>
          <w:b/>
          <w:sz w:val="24"/>
          <w:szCs w:val="24"/>
          <w:highlight w:val="none"/>
        </w:rPr>
        <w:t>、合同生效及其它</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6</w:t>
      </w:r>
      <w:r>
        <w:rPr>
          <w:rFonts w:hint="eastAsia" w:hAnsi="宋体"/>
          <w:sz w:val="24"/>
          <w:szCs w:val="24"/>
          <w:highlight w:val="none"/>
        </w:rPr>
        <w:t>.1 合同经双方法定代表人或授权委托代表人签字并加盖单位公章后生效。</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6</w:t>
      </w:r>
      <w:r>
        <w:rPr>
          <w:rFonts w:hint="eastAsia" w:hAnsi="宋体"/>
          <w:sz w:val="24"/>
          <w:szCs w:val="24"/>
          <w:highlight w:val="none"/>
        </w:rPr>
        <w:t>.2 本合同未尽事宜，遵照《中华人民共和国民法典》有关条文执行。</w:t>
      </w:r>
    </w:p>
    <w:p>
      <w:pPr>
        <w:pStyle w:val="10"/>
        <w:adjustRightInd w:val="0"/>
        <w:snapToGrid w:val="0"/>
        <w:spacing w:before="120" w:after="120" w:line="360" w:lineRule="auto"/>
        <w:ind w:firstLine="480"/>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6</w:t>
      </w:r>
      <w:r>
        <w:rPr>
          <w:rFonts w:hint="eastAsia" w:hAnsi="宋体"/>
          <w:sz w:val="24"/>
          <w:szCs w:val="24"/>
          <w:highlight w:val="none"/>
        </w:rPr>
        <w:t>.3</w:t>
      </w:r>
      <w:r>
        <w:rPr>
          <w:rFonts w:hint="eastAsia" w:ascii="Arial Narrow" w:hAnsi="宋体"/>
          <w:sz w:val="24"/>
          <w:highlight w:val="none"/>
        </w:rPr>
        <w:t>本合同的附件、招投标文件、项目答疑回复是本合同不可分割的组成部分，具有同等法律效力。</w:t>
      </w:r>
    </w:p>
    <w:p>
      <w:pPr>
        <w:pStyle w:val="10"/>
        <w:adjustRightInd w:val="0"/>
        <w:snapToGrid w:val="0"/>
        <w:spacing w:before="120" w:after="120" w:line="360" w:lineRule="auto"/>
        <w:ind w:left="1" w:firstLine="480"/>
        <w:rPr>
          <w:rFonts w:hAnsi="宋体"/>
          <w:sz w:val="24"/>
          <w:szCs w:val="24"/>
          <w:highlight w:val="none"/>
        </w:rPr>
      </w:pPr>
      <w:r>
        <w:rPr>
          <w:rFonts w:hAnsi="宋体"/>
          <w:sz w:val="24"/>
          <w:szCs w:val="24"/>
          <w:highlight w:val="none"/>
        </w:rPr>
        <w:t>1</w:t>
      </w:r>
      <w:r>
        <w:rPr>
          <w:rFonts w:hint="eastAsia" w:hAnsi="宋体"/>
          <w:sz w:val="24"/>
          <w:szCs w:val="24"/>
          <w:highlight w:val="none"/>
          <w:lang w:val="en-US" w:eastAsia="zh-CN"/>
        </w:rPr>
        <w:t>6</w:t>
      </w:r>
      <w:r>
        <w:rPr>
          <w:rFonts w:hAnsi="宋体"/>
          <w:sz w:val="24"/>
          <w:szCs w:val="24"/>
          <w:highlight w:val="none"/>
        </w:rPr>
        <w:t>.</w:t>
      </w:r>
      <w:r>
        <w:rPr>
          <w:rFonts w:hint="eastAsia" w:hAnsi="宋体"/>
          <w:sz w:val="24"/>
          <w:szCs w:val="24"/>
          <w:highlight w:val="none"/>
          <w:lang w:val="en-US" w:eastAsia="zh-CN"/>
        </w:rPr>
        <w:t>4</w:t>
      </w:r>
      <w:r>
        <w:rPr>
          <w:rFonts w:hint="eastAsia" w:hAnsi="宋体"/>
          <w:sz w:val="24"/>
          <w:szCs w:val="24"/>
          <w:highlight w:val="none"/>
        </w:rPr>
        <w:t>本合同正本一式四份，具有同等法律效力，甲方、乙方各执两份。</w:t>
      </w:r>
    </w:p>
    <w:p>
      <w:pPr>
        <w:pStyle w:val="10"/>
        <w:adjustRightInd w:val="0"/>
        <w:snapToGrid w:val="0"/>
        <w:spacing w:before="120" w:after="120" w:line="360" w:lineRule="auto"/>
        <w:ind w:left="1" w:firstLine="480"/>
        <w:rPr>
          <w:rFonts w:hAnsi="宋体"/>
          <w:sz w:val="24"/>
          <w:szCs w:val="24"/>
          <w:highlight w:val="none"/>
        </w:rPr>
      </w:pPr>
      <w:r>
        <w:rPr>
          <w:rFonts w:hint="eastAsia" w:hAnsi="宋体"/>
          <w:sz w:val="24"/>
          <w:szCs w:val="24"/>
          <w:highlight w:val="none"/>
        </w:rPr>
        <w:t>（以下无正文）</w:t>
      </w:r>
    </w:p>
    <w:p>
      <w:pPr>
        <w:pStyle w:val="10"/>
        <w:adjustRightInd w:val="0"/>
        <w:snapToGrid w:val="0"/>
        <w:spacing w:before="120" w:after="120" w:line="360" w:lineRule="auto"/>
        <w:ind w:left="480" w:hanging="480" w:hangingChars="200"/>
        <w:rPr>
          <w:rFonts w:hAnsi="宋体"/>
          <w:sz w:val="24"/>
          <w:szCs w:val="24"/>
          <w:highlight w:val="none"/>
        </w:rPr>
      </w:pPr>
      <w:r>
        <w:rPr>
          <w:rFonts w:hint="eastAsia" w:hAnsi="宋体"/>
          <w:sz w:val="24"/>
          <w:szCs w:val="24"/>
          <w:highlight w:val="none"/>
        </w:rPr>
        <w:t>甲方：</w:t>
      </w:r>
      <w:r>
        <w:rPr>
          <w:rFonts w:hint="eastAsia" w:hAnsi="宋体"/>
          <w:sz w:val="24"/>
          <w:szCs w:val="24"/>
          <w:highlight w:val="none"/>
          <w:lang w:val="en-US" w:eastAsia="zh-CN"/>
        </w:rPr>
        <w:t>南京信息工程大学</w:t>
      </w:r>
      <w:r>
        <w:rPr>
          <w:rFonts w:hint="eastAsia" w:hAnsi="宋体"/>
          <w:sz w:val="24"/>
          <w:szCs w:val="24"/>
          <w:highlight w:val="none"/>
        </w:rPr>
        <w:t xml:space="preserve">                   乙方：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地址：</w:t>
      </w:r>
      <w:r>
        <w:rPr>
          <w:rFonts w:hint="eastAsia" w:hAnsi="宋体"/>
          <w:sz w:val="24"/>
          <w:szCs w:val="24"/>
          <w:highlight w:val="none"/>
          <w:lang w:val="en-US" w:eastAsia="zh-CN"/>
        </w:rPr>
        <w:t>江苏省南京市浦口区宁六路219号</w:t>
      </w:r>
      <w:r>
        <w:rPr>
          <w:rFonts w:hint="eastAsia" w:hAnsi="宋体"/>
          <w:sz w:val="24"/>
          <w:szCs w:val="24"/>
          <w:highlight w:val="none"/>
        </w:rPr>
        <w:t xml:space="preserve">     地址： </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 xml:space="preserve">法定代表人或授权代表： </w:t>
      </w:r>
      <w:r>
        <w:rPr>
          <w:rFonts w:hint="eastAsia" w:hAnsi="宋体"/>
          <w:sz w:val="24"/>
          <w:szCs w:val="24"/>
          <w:highlight w:val="none"/>
          <w:lang w:val="en-US" w:eastAsia="zh-CN"/>
        </w:rPr>
        <w:t>马嫣</w:t>
      </w:r>
      <w:r>
        <w:rPr>
          <w:rFonts w:hint="eastAsia" w:hAnsi="宋体"/>
          <w:sz w:val="24"/>
          <w:szCs w:val="24"/>
          <w:highlight w:val="none"/>
        </w:rPr>
        <w:t xml:space="preserve">              法定代表人或授权代表：</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项目负责人：</w:t>
      </w:r>
      <w:r>
        <w:rPr>
          <w:rFonts w:hint="eastAsia" w:hAnsi="宋体"/>
          <w:sz w:val="24"/>
          <w:szCs w:val="24"/>
          <w:highlight w:val="none"/>
          <w:lang w:val="en-US" w:eastAsia="zh-CN"/>
        </w:rPr>
        <w:t>邱新法</w:t>
      </w:r>
      <w:r>
        <w:rPr>
          <w:rFonts w:hint="eastAsia" w:hAnsi="宋体"/>
          <w:sz w:val="24"/>
          <w:szCs w:val="24"/>
          <w:highlight w:val="none"/>
        </w:rPr>
        <w:t xml:space="preserve">                       联系电话：</w:t>
      </w:r>
    </w:p>
    <w:p>
      <w:pPr>
        <w:pStyle w:val="10"/>
        <w:adjustRightInd w:val="0"/>
        <w:snapToGrid w:val="0"/>
        <w:spacing w:before="120" w:after="120" w:line="360" w:lineRule="auto"/>
        <w:rPr>
          <w:rFonts w:hint="eastAsia" w:hAnsi="宋体" w:eastAsia="宋体"/>
          <w:sz w:val="24"/>
          <w:szCs w:val="24"/>
          <w:highlight w:val="none"/>
          <w:lang w:val="en-US" w:eastAsia="zh-CN"/>
        </w:rPr>
      </w:pPr>
      <w:r>
        <w:rPr>
          <w:rFonts w:hint="eastAsia" w:hAnsi="宋体"/>
          <w:sz w:val="24"/>
          <w:szCs w:val="24"/>
          <w:highlight w:val="none"/>
        </w:rPr>
        <w:t>项目联系人：</w:t>
      </w:r>
      <w:r>
        <w:rPr>
          <w:rFonts w:hint="eastAsia" w:hAnsi="宋体"/>
          <w:sz w:val="24"/>
          <w:szCs w:val="24"/>
          <w:highlight w:val="none"/>
          <w:lang w:val="en-US" w:eastAsia="zh-CN"/>
        </w:rPr>
        <w:t>邢倩</w:t>
      </w:r>
    </w:p>
    <w:p>
      <w:pPr>
        <w:pStyle w:val="10"/>
        <w:adjustRightInd w:val="0"/>
        <w:snapToGrid w:val="0"/>
        <w:spacing w:before="120" w:after="120" w:line="360" w:lineRule="auto"/>
        <w:rPr>
          <w:rFonts w:hAnsi="宋体"/>
          <w:sz w:val="24"/>
          <w:szCs w:val="24"/>
          <w:highlight w:val="none"/>
        </w:rPr>
      </w:pPr>
      <w:r>
        <w:rPr>
          <w:rFonts w:hint="eastAsia" w:hAnsi="宋体"/>
          <w:sz w:val="24"/>
          <w:szCs w:val="24"/>
          <w:highlight w:val="none"/>
        </w:rPr>
        <w:t xml:space="preserve">联系电话： </w:t>
      </w:r>
      <w:r>
        <w:rPr>
          <w:rFonts w:hint="eastAsia" w:hAnsi="宋体"/>
          <w:sz w:val="24"/>
          <w:szCs w:val="24"/>
          <w:highlight w:val="none"/>
          <w:lang w:val="en-US" w:eastAsia="zh-CN"/>
        </w:rPr>
        <w:t>025-58235101</w:t>
      </w:r>
      <w:r>
        <w:rPr>
          <w:rFonts w:hint="eastAsia" w:hAnsi="宋体"/>
          <w:sz w:val="24"/>
          <w:szCs w:val="24"/>
          <w:highlight w:val="none"/>
        </w:rPr>
        <w:t xml:space="preserve">                              </w:t>
      </w:r>
    </w:p>
    <w:p>
      <w:pPr>
        <w:pStyle w:val="10"/>
        <w:adjustRightInd w:val="0"/>
        <w:snapToGrid w:val="0"/>
        <w:spacing w:before="120" w:after="120" w:line="360" w:lineRule="auto"/>
        <w:rPr>
          <w:rFonts w:hAnsi="宋体"/>
          <w:sz w:val="24"/>
          <w:szCs w:val="24"/>
          <w:highlight w:val="none"/>
        </w:rPr>
      </w:pPr>
    </w:p>
    <w:p>
      <w:pPr>
        <w:pStyle w:val="10"/>
        <w:adjustRightInd w:val="0"/>
        <w:snapToGrid w:val="0"/>
        <w:spacing w:before="120" w:after="120" w:line="360" w:lineRule="auto"/>
        <w:rPr>
          <w:rFonts w:hAnsi="宋体"/>
          <w:sz w:val="24"/>
          <w:szCs w:val="24"/>
          <w:highlight w:val="none"/>
        </w:rPr>
      </w:pPr>
    </w:p>
    <w:p>
      <w:pPr>
        <w:pStyle w:val="10"/>
        <w:adjustRightInd w:val="0"/>
        <w:snapToGrid w:val="0"/>
        <w:spacing w:before="120" w:after="120" w:line="360" w:lineRule="auto"/>
        <w:rPr>
          <w:highlight w:val="none"/>
        </w:rPr>
      </w:pPr>
      <w:r>
        <w:rPr>
          <w:rFonts w:hint="eastAsia"/>
          <w:sz w:val="28"/>
          <w:szCs w:val="28"/>
          <w:highlight w:val="none"/>
        </w:rPr>
        <w:t xml:space="preserve">                              签订日期：      年  月  日</w:t>
      </w:r>
    </w:p>
    <w:p>
      <w:pPr>
        <w:pStyle w:val="10"/>
        <w:adjustRightInd w:val="0"/>
        <w:snapToGrid w:val="0"/>
        <w:spacing w:before="120" w:after="120" w:line="360" w:lineRule="auto"/>
        <w:ind w:firstLine="767"/>
        <w:rPr>
          <w:rFonts w:cs="仿宋"/>
          <w:sz w:val="24"/>
          <w:highlight w:val="none"/>
        </w:rPr>
      </w:pP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PSFEIH+StoneSans">
    <w:altName w:val="微软雅黑"/>
    <w:panose1 w:val="00000000000000000000"/>
    <w:charset w:val="86"/>
    <w:family w:val="swiss"/>
    <w:pitch w:val="default"/>
    <w:sig w:usb0="00000000" w:usb1="00000000" w:usb2="00000010" w:usb3="00000000" w:csb0="00040000" w:csb1="00000000"/>
  </w:font>
  <w:font w:name="Open Sans Light">
    <w:altName w:val="Segoe Print"/>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3年招标文件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33779"/>
    <w:multiLevelType w:val="multilevel"/>
    <w:tmpl w:val="13D3377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5B3604B"/>
    <w:multiLevelType w:val="multilevel"/>
    <w:tmpl w:val="65B360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C83256"/>
    <w:multiLevelType w:val="singleLevel"/>
    <w:tmpl w:val="69C83256"/>
    <w:lvl w:ilvl="0" w:tentative="0">
      <w:start w:val="2"/>
      <w:numFmt w:val="decimal"/>
      <w:suff w:val="nothing"/>
      <w:lvlText w:val="%1、"/>
      <w:lvlJc w:val="left"/>
    </w:lvl>
  </w:abstractNum>
  <w:abstractNum w:abstractNumId="3">
    <w:nsid w:val="7444A7CD"/>
    <w:multiLevelType w:val="singleLevel"/>
    <w:tmpl w:val="7444A7CD"/>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OTFlZWRhZmJkM2UzYzMxN2RmMjBlYmJiZmVkMjI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1DD"/>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3025C"/>
    <w:rsid w:val="005308B5"/>
    <w:rsid w:val="00531000"/>
    <w:rsid w:val="0053114F"/>
    <w:rsid w:val="00533377"/>
    <w:rsid w:val="00533F15"/>
    <w:rsid w:val="00537018"/>
    <w:rsid w:val="00540A3F"/>
    <w:rsid w:val="00541B97"/>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216F"/>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168"/>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526D"/>
    <w:rsid w:val="00987CEF"/>
    <w:rsid w:val="00990A91"/>
    <w:rsid w:val="00990BFB"/>
    <w:rsid w:val="00992262"/>
    <w:rsid w:val="00992EF0"/>
    <w:rsid w:val="00993A92"/>
    <w:rsid w:val="009948F7"/>
    <w:rsid w:val="0099682B"/>
    <w:rsid w:val="00996975"/>
    <w:rsid w:val="009974F8"/>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5FB"/>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0BF3"/>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3D96"/>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B57"/>
    <w:rsid w:val="00D21726"/>
    <w:rsid w:val="00D21DC1"/>
    <w:rsid w:val="00D22A42"/>
    <w:rsid w:val="00D22D88"/>
    <w:rsid w:val="00D243D3"/>
    <w:rsid w:val="00D26C2F"/>
    <w:rsid w:val="00D336D3"/>
    <w:rsid w:val="00D34FD3"/>
    <w:rsid w:val="00D35E01"/>
    <w:rsid w:val="00D36556"/>
    <w:rsid w:val="00D36C60"/>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5B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36159EE"/>
    <w:rsid w:val="05B517B2"/>
    <w:rsid w:val="0666393D"/>
    <w:rsid w:val="078D73D6"/>
    <w:rsid w:val="079F2B5D"/>
    <w:rsid w:val="07D33D16"/>
    <w:rsid w:val="0932119F"/>
    <w:rsid w:val="09637941"/>
    <w:rsid w:val="0A79499C"/>
    <w:rsid w:val="0B675B31"/>
    <w:rsid w:val="0BDF51D7"/>
    <w:rsid w:val="0C3615C8"/>
    <w:rsid w:val="0C4861BD"/>
    <w:rsid w:val="0C7E7AA1"/>
    <w:rsid w:val="0CFE3A2E"/>
    <w:rsid w:val="0D873213"/>
    <w:rsid w:val="0D9425DE"/>
    <w:rsid w:val="0D99361C"/>
    <w:rsid w:val="107D340A"/>
    <w:rsid w:val="10EB4170"/>
    <w:rsid w:val="10F05838"/>
    <w:rsid w:val="113C24CA"/>
    <w:rsid w:val="119D0D41"/>
    <w:rsid w:val="11D57EAE"/>
    <w:rsid w:val="12162C3B"/>
    <w:rsid w:val="130F1D58"/>
    <w:rsid w:val="145263CB"/>
    <w:rsid w:val="146723C1"/>
    <w:rsid w:val="14896182"/>
    <w:rsid w:val="155010AB"/>
    <w:rsid w:val="15572C10"/>
    <w:rsid w:val="15737A45"/>
    <w:rsid w:val="1584594C"/>
    <w:rsid w:val="15907301"/>
    <w:rsid w:val="15A069B5"/>
    <w:rsid w:val="15A90346"/>
    <w:rsid w:val="15B24E31"/>
    <w:rsid w:val="16796819"/>
    <w:rsid w:val="16AA09BD"/>
    <w:rsid w:val="17170028"/>
    <w:rsid w:val="17652C65"/>
    <w:rsid w:val="17833DE3"/>
    <w:rsid w:val="17C27715"/>
    <w:rsid w:val="19775424"/>
    <w:rsid w:val="199F44B7"/>
    <w:rsid w:val="19CA0B03"/>
    <w:rsid w:val="1A241EC0"/>
    <w:rsid w:val="1AA02767"/>
    <w:rsid w:val="1AE96A89"/>
    <w:rsid w:val="1B3A24EE"/>
    <w:rsid w:val="1C121D57"/>
    <w:rsid w:val="1C4A137C"/>
    <w:rsid w:val="1C8F1DE9"/>
    <w:rsid w:val="1DA871CA"/>
    <w:rsid w:val="1F11313D"/>
    <w:rsid w:val="1F6E64B5"/>
    <w:rsid w:val="1F8B34B5"/>
    <w:rsid w:val="1F956998"/>
    <w:rsid w:val="1FA31BDA"/>
    <w:rsid w:val="1FF64400"/>
    <w:rsid w:val="20C22534"/>
    <w:rsid w:val="20DC5C02"/>
    <w:rsid w:val="20DE7ECC"/>
    <w:rsid w:val="20FE711F"/>
    <w:rsid w:val="212378C3"/>
    <w:rsid w:val="21241474"/>
    <w:rsid w:val="21A70E96"/>
    <w:rsid w:val="21F30CF7"/>
    <w:rsid w:val="225E4DAF"/>
    <w:rsid w:val="22891E2D"/>
    <w:rsid w:val="22A743B8"/>
    <w:rsid w:val="22D33607"/>
    <w:rsid w:val="23377209"/>
    <w:rsid w:val="238D5F6E"/>
    <w:rsid w:val="23E847A7"/>
    <w:rsid w:val="23FD2509"/>
    <w:rsid w:val="243943F8"/>
    <w:rsid w:val="24E05430"/>
    <w:rsid w:val="260E33F9"/>
    <w:rsid w:val="267A7579"/>
    <w:rsid w:val="272231F7"/>
    <w:rsid w:val="27961F1E"/>
    <w:rsid w:val="27AD7C03"/>
    <w:rsid w:val="28C46277"/>
    <w:rsid w:val="29062B05"/>
    <w:rsid w:val="29127A38"/>
    <w:rsid w:val="2AAA7342"/>
    <w:rsid w:val="2AB43BC5"/>
    <w:rsid w:val="2B556F15"/>
    <w:rsid w:val="2B7F4BC3"/>
    <w:rsid w:val="2CE81BAF"/>
    <w:rsid w:val="2DAC05D8"/>
    <w:rsid w:val="2DE728EA"/>
    <w:rsid w:val="2E726843"/>
    <w:rsid w:val="2EDC02FF"/>
    <w:rsid w:val="2EE87C86"/>
    <w:rsid w:val="2EEC5388"/>
    <w:rsid w:val="2F6E2C94"/>
    <w:rsid w:val="30B30136"/>
    <w:rsid w:val="3172033E"/>
    <w:rsid w:val="3227588C"/>
    <w:rsid w:val="325F6558"/>
    <w:rsid w:val="331653E5"/>
    <w:rsid w:val="341C30A3"/>
    <w:rsid w:val="34F8511F"/>
    <w:rsid w:val="351529A9"/>
    <w:rsid w:val="355A74E9"/>
    <w:rsid w:val="35FD1F7A"/>
    <w:rsid w:val="36616918"/>
    <w:rsid w:val="366D672C"/>
    <w:rsid w:val="3676129B"/>
    <w:rsid w:val="36E3150F"/>
    <w:rsid w:val="3836614A"/>
    <w:rsid w:val="384A4707"/>
    <w:rsid w:val="385D644E"/>
    <w:rsid w:val="38F33167"/>
    <w:rsid w:val="39C83C69"/>
    <w:rsid w:val="39CE5E1D"/>
    <w:rsid w:val="3A9701E9"/>
    <w:rsid w:val="3AC52A20"/>
    <w:rsid w:val="3B4244C5"/>
    <w:rsid w:val="3C003247"/>
    <w:rsid w:val="3C8E6F2D"/>
    <w:rsid w:val="3CF257A2"/>
    <w:rsid w:val="3D6145DC"/>
    <w:rsid w:val="3DA40910"/>
    <w:rsid w:val="3E495BEB"/>
    <w:rsid w:val="3E5E0082"/>
    <w:rsid w:val="3EDB4EA4"/>
    <w:rsid w:val="3F9F3463"/>
    <w:rsid w:val="3FC31914"/>
    <w:rsid w:val="405D6728"/>
    <w:rsid w:val="40FD6FDA"/>
    <w:rsid w:val="41110191"/>
    <w:rsid w:val="414A37BB"/>
    <w:rsid w:val="41B45A04"/>
    <w:rsid w:val="42643A73"/>
    <w:rsid w:val="42AA1012"/>
    <w:rsid w:val="43975DC5"/>
    <w:rsid w:val="43AE14D1"/>
    <w:rsid w:val="43FB66E3"/>
    <w:rsid w:val="445368CC"/>
    <w:rsid w:val="44880FAF"/>
    <w:rsid w:val="44DC7F4B"/>
    <w:rsid w:val="45651876"/>
    <w:rsid w:val="45CC523B"/>
    <w:rsid w:val="46496BCB"/>
    <w:rsid w:val="466F6CEB"/>
    <w:rsid w:val="46816260"/>
    <w:rsid w:val="46AA377D"/>
    <w:rsid w:val="49363676"/>
    <w:rsid w:val="49713AA7"/>
    <w:rsid w:val="49741701"/>
    <w:rsid w:val="499A2688"/>
    <w:rsid w:val="49CF6C39"/>
    <w:rsid w:val="49D47D5A"/>
    <w:rsid w:val="49F62026"/>
    <w:rsid w:val="4A4B48E3"/>
    <w:rsid w:val="4AB904B0"/>
    <w:rsid w:val="4B1A7369"/>
    <w:rsid w:val="4B5137BF"/>
    <w:rsid w:val="4D1D3216"/>
    <w:rsid w:val="4D774E55"/>
    <w:rsid w:val="4DA86B45"/>
    <w:rsid w:val="4DAE6153"/>
    <w:rsid w:val="4E3720DD"/>
    <w:rsid w:val="4F510F39"/>
    <w:rsid w:val="4FAF38AA"/>
    <w:rsid w:val="4FEB01C7"/>
    <w:rsid w:val="50124473"/>
    <w:rsid w:val="50EB55A2"/>
    <w:rsid w:val="51497070"/>
    <w:rsid w:val="51E025FE"/>
    <w:rsid w:val="52922F88"/>
    <w:rsid w:val="52AA4A52"/>
    <w:rsid w:val="52FD675A"/>
    <w:rsid w:val="532B7AD5"/>
    <w:rsid w:val="53D80FA7"/>
    <w:rsid w:val="542D758B"/>
    <w:rsid w:val="5448002A"/>
    <w:rsid w:val="5473349C"/>
    <w:rsid w:val="549E05E7"/>
    <w:rsid w:val="54A3797A"/>
    <w:rsid w:val="54B6223B"/>
    <w:rsid w:val="54E15A0F"/>
    <w:rsid w:val="55344B23"/>
    <w:rsid w:val="56022806"/>
    <w:rsid w:val="56732DC5"/>
    <w:rsid w:val="56C21B98"/>
    <w:rsid w:val="56C70E4C"/>
    <w:rsid w:val="57360F05"/>
    <w:rsid w:val="5781344E"/>
    <w:rsid w:val="581F495D"/>
    <w:rsid w:val="58484116"/>
    <w:rsid w:val="58DA78C0"/>
    <w:rsid w:val="58E017CC"/>
    <w:rsid w:val="5A770570"/>
    <w:rsid w:val="5AC859BF"/>
    <w:rsid w:val="5B4C17F1"/>
    <w:rsid w:val="5C0F2072"/>
    <w:rsid w:val="5CFC1D50"/>
    <w:rsid w:val="5D48503F"/>
    <w:rsid w:val="5D9B1C4B"/>
    <w:rsid w:val="5E6C25B6"/>
    <w:rsid w:val="5E7D126D"/>
    <w:rsid w:val="5E84123F"/>
    <w:rsid w:val="5F0028BB"/>
    <w:rsid w:val="5F217D42"/>
    <w:rsid w:val="5F2528F6"/>
    <w:rsid w:val="5F9764C2"/>
    <w:rsid w:val="601E438A"/>
    <w:rsid w:val="603300A7"/>
    <w:rsid w:val="607E0927"/>
    <w:rsid w:val="60D968DA"/>
    <w:rsid w:val="60F41422"/>
    <w:rsid w:val="619D5BCC"/>
    <w:rsid w:val="62107539"/>
    <w:rsid w:val="6233128F"/>
    <w:rsid w:val="6246741B"/>
    <w:rsid w:val="62635DDC"/>
    <w:rsid w:val="62AD318D"/>
    <w:rsid w:val="62C05BCC"/>
    <w:rsid w:val="62FE3555"/>
    <w:rsid w:val="63D7368B"/>
    <w:rsid w:val="63EA24F1"/>
    <w:rsid w:val="657A0549"/>
    <w:rsid w:val="665A104A"/>
    <w:rsid w:val="66ED444E"/>
    <w:rsid w:val="67484273"/>
    <w:rsid w:val="687E1A38"/>
    <w:rsid w:val="689A111C"/>
    <w:rsid w:val="68A603CF"/>
    <w:rsid w:val="69D32689"/>
    <w:rsid w:val="69E27B06"/>
    <w:rsid w:val="69EA623B"/>
    <w:rsid w:val="6A0F3694"/>
    <w:rsid w:val="6A5445FC"/>
    <w:rsid w:val="6A5C1E75"/>
    <w:rsid w:val="6AB76CFB"/>
    <w:rsid w:val="6ABA08C1"/>
    <w:rsid w:val="6BC1702A"/>
    <w:rsid w:val="6C282248"/>
    <w:rsid w:val="6CBD55AC"/>
    <w:rsid w:val="6DE636A7"/>
    <w:rsid w:val="6DE86594"/>
    <w:rsid w:val="6E0B4D1F"/>
    <w:rsid w:val="6E5C2511"/>
    <w:rsid w:val="6EC1305B"/>
    <w:rsid w:val="718764FD"/>
    <w:rsid w:val="725831A5"/>
    <w:rsid w:val="72D45BCF"/>
    <w:rsid w:val="73607DE9"/>
    <w:rsid w:val="73711235"/>
    <w:rsid w:val="73D22297"/>
    <w:rsid w:val="740024BC"/>
    <w:rsid w:val="753E278B"/>
    <w:rsid w:val="75BE6EB5"/>
    <w:rsid w:val="7815375E"/>
    <w:rsid w:val="790D6252"/>
    <w:rsid w:val="79CC3389"/>
    <w:rsid w:val="7AE40810"/>
    <w:rsid w:val="7B0749C7"/>
    <w:rsid w:val="7BBB6C68"/>
    <w:rsid w:val="7C574749"/>
    <w:rsid w:val="7C8E2CF6"/>
    <w:rsid w:val="7C967B8B"/>
    <w:rsid w:val="7CD015B7"/>
    <w:rsid w:val="7E4931C0"/>
    <w:rsid w:val="7E7248EE"/>
    <w:rsid w:val="7EEF6C2A"/>
    <w:rsid w:val="7F074C20"/>
    <w:rsid w:val="7F363A3A"/>
    <w:rsid w:val="7FAE5847"/>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5">
    <w:name w:val="annotation text"/>
    <w:basedOn w:val="1"/>
    <w:link w:val="24"/>
    <w:qFormat/>
    <w:uiPriority w:val="99"/>
    <w:pPr>
      <w:jc w:val="left"/>
    </w:pPr>
    <w:rPr>
      <w:sz w:val="24"/>
      <w:szCs w:val="20"/>
    </w:rPr>
  </w:style>
  <w:style w:type="paragraph" w:styleId="6">
    <w:name w:val="Body Text"/>
    <w:basedOn w:val="1"/>
    <w:link w:val="43"/>
    <w:unhideWhenUsed/>
    <w:qFormat/>
    <w:locked/>
    <w:uiPriority w:val="99"/>
    <w:pPr>
      <w:spacing w:after="120"/>
    </w:pPr>
  </w:style>
  <w:style w:type="paragraph" w:styleId="7">
    <w:name w:val="Body Text Indent"/>
    <w:basedOn w:val="1"/>
    <w:link w:val="25"/>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6"/>
    <w:qFormat/>
    <w:uiPriority w:val="0"/>
    <w:rPr>
      <w:rFonts w:ascii="宋体" w:hAnsi="Courier New"/>
      <w:szCs w:val="20"/>
    </w:rPr>
  </w:style>
  <w:style w:type="paragraph" w:styleId="11">
    <w:name w:val="Date"/>
    <w:basedOn w:val="1"/>
    <w:next w:val="1"/>
    <w:link w:val="27"/>
    <w:qFormat/>
    <w:uiPriority w:val="99"/>
    <w:pPr>
      <w:ind w:left="100" w:leftChars="2500"/>
    </w:pPr>
    <w:rPr>
      <w:sz w:val="24"/>
      <w:szCs w:val="20"/>
    </w:rPr>
  </w:style>
  <w:style w:type="paragraph" w:styleId="12">
    <w:name w:val="Balloon Text"/>
    <w:basedOn w:val="1"/>
    <w:link w:val="28"/>
    <w:semiHidden/>
    <w:qFormat/>
    <w:uiPriority w:val="99"/>
    <w:rPr>
      <w:kern w:val="0"/>
      <w:sz w:val="2"/>
      <w:szCs w:val="20"/>
    </w:rPr>
  </w:style>
  <w:style w:type="paragraph" w:styleId="13">
    <w:name w:val="footer"/>
    <w:basedOn w:val="1"/>
    <w:link w:val="29"/>
    <w:qFormat/>
    <w:uiPriority w:val="99"/>
    <w:pPr>
      <w:tabs>
        <w:tab w:val="center" w:pos="4153"/>
        <w:tab w:val="right" w:pos="8306"/>
      </w:tabs>
      <w:snapToGrid w:val="0"/>
      <w:jc w:val="left"/>
    </w:pPr>
    <w:rPr>
      <w:kern w:val="0"/>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1"/>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uiPriority w:val="99"/>
    <w:rPr>
      <w:rFonts w:cs="Times New Roman"/>
      <w:color w:val="0563C1"/>
      <w:u w:val="single"/>
    </w:rPr>
  </w:style>
  <w:style w:type="character" w:styleId="22">
    <w:name w:val="annotation reference"/>
    <w:basedOn w:val="19"/>
    <w:qFormat/>
    <w:uiPriority w:val="99"/>
    <w:rPr>
      <w:rFonts w:cs="Times New Roman"/>
      <w:sz w:val="21"/>
    </w:rPr>
  </w:style>
  <w:style w:type="character" w:customStyle="1" w:styleId="23">
    <w:name w:val="标题 1 字符"/>
    <w:link w:val="3"/>
    <w:qFormat/>
    <w:locked/>
    <w:uiPriority w:val="99"/>
    <w:rPr>
      <w:rFonts w:cs="Times New Roman"/>
      <w:b/>
      <w:kern w:val="44"/>
      <w:sz w:val="44"/>
    </w:rPr>
  </w:style>
  <w:style w:type="character" w:customStyle="1" w:styleId="24">
    <w:name w:val="批注文字 字符"/>
    <w:link w:val="5"/>
    <w:qFormat/>
    <w:locked/>
    <w:uiPriority w:val="99"/>
    <w:rPr>
      <w:rFonts w:cs="Times New Roman"/>
      <w:kern w:val="2"/>
      <w:sz w:val="24"/>
    </w:rPr>
  </w:style>
  <w:style w:type="character" w:customStyle="1" w:styleId="25">
    <w:name w:val="正文文本缩进 字符"/>
    <w:link w:val="7"/>
    <w:qFormat/>
    <w:locked/>
    <w:uiPriority w:val="99"/>
    <w:rPr>
      <w:rFonts w:ascii="等线" w:eastAsia="等线" w:cs="Times New Roman"/>
      <w:kern w:val="2"/>
      <w:sz w:val="22"/>
    </w:rPr>
  </w:style>
  <w:style w:type="character" w:customStyle="1" w:styleId="26">
    <w:name w:val="纯文本 字符"/>
    <w:link w:val="10"/>
    <w:qFormat/>
    <w:locked/>
    <w:uiPriority w:val="0"/>
    <w:rPr>
      <w:rFonts w:ascii="宋体" w:hAnsi="Courier New" w:cs="Times New Roman"/>
      <w:kern w:val="2"/>
      <w:sz w:val="21"/>
    </w:rPr>
  </w:style>
  <w:style w:type="character" w:customStyle="1" w:styleId="27">
    <w:name w:val="日期 字符"/>
    <w:link w:val="11"/>
    <w:qFormat/>
    <w:locked/>
    <w:uiPriority w:val="99"/>
    <w:rPr>
      <w:rFonts w:cs="Times New Roman"/>
      <w:kern w:val="2"/>
      <w:sz w:val="24"/>
    </w:rPr>
  </w:style>
  <w:style w:type="character" w:customStyle="1" w:styleId="28">
    <w:name w:val="批注框文本 字符"/>
    <w:link w:val="12"/>
    <w:semiHidden/>
    <w:qFormat/>
    <w:locked/>
    <w:uiPriority w:val="99"/>
    <w:rPr>
      <w:rFonts w:cs="Times New Roman"/>
      <w:sz w:val="2"/>
    </w:rPr>
  </w:style>
  <w:style w:type="character" w:customStyle="1" w:styleId="29">
    <w:name w:val="页脚 字符"/>
    <w:link w:val="13"/>
    <w:semiHidden/>
    <w:qFormat/>
    <w:locked/>
    <w:uiPriority w:val="99"/>
    <w:rPr>
      <w:rFonts w:cs="Times New Roman"/>
      <w:sz w:val="18"/>
      <w:szCs w:val="18"/>
    </w:rPr>
  </w:style>
  <w:style w:type="character" w:customStyle="1" w:styleId="30">
    <w:name w:val="页眉 字符"/>
    <w:link w:val="14"/>
    <w:qFormat/>
    <w:locked/>
    <w:uiPriority w:val="99"/>
    <w:rPr>
      <w:rFonts w:cs="Times New Roman"/>
      <w:kern w:val="2"/>
      <w:sz w:val="18"/>
    </w:rPr>
  </w:style>
  <w:style w:type="character" w:customStyle="1" w:styleId="31">
    <w:name w:val="批注主题 字符"/>
    <w:link w:val="16"/>
    <w:qFormat/>
    <w:locked/>
    <w:uiPriority w:val="99"/>
    <w:rPr>
      <w:rFonts w:cs="Times New Roman"/>
      <w:b/>
      <w:kern w:val="2"/>
      <w:sz w:val="24"/>
    </w:rPr>
  </w:style>
  <w:style w:type="paragraph" w:customStyle="1" w:styleId="32">
    <w:name w:val="Char"/>
    <w:basedOn w:val="1"/>
    <w:qFormat/>
    <w:uiPriority w:val="99"/>
    <w:pPr>
      <w:tabs>
        <w:tab w:val="left" w:pos="360"/>
      </w:tabs>
    </w:pPr>
    <w:rPr>
      <w:sz w:val="24"/>
    </w:rPr>
  </w:style>
  <w:style w:type="character" w:customStyle="1" w:styleId="33">
    <w:name w:val="列表段落 字符"/>
    <w:link w:val="34"/>
    <w:qFormat/>
    <w:locked/>
    <w:uiPriority w:val="0"/>
  </w:style>
  <w:style w:type="paragraph" w:styleId="34">
    <w:name w:val="List Paragraph"/>
    <w:basedOn w:val="1"/>
    <w:link w:val="33"/>
    <w:qFormat/>
    <w:uiPriority w:val="34"/>
    <w:pPr>
      <w:widowControl/>
      <w:ind w:firstLine="420" w:firstLineChars="200"/>
      <w:jc w:val="left"/>
    </w:pPr>
    <w:rPr>
      <w:kern w:val="0"/>
      <w:sz w:val="20"/>
      <w:szCs w:val="20"/>
    </w:rPr>
  </w:style>
  <w:style w:type="table" w:customStyle="1" w:styleId="35">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laceholder Text"/>
    <w:semiHidden/>
    <w:qFormat/>
    <w:uiPriority w:val="99"/>
    <w:rPr>
      <w:rFonts w:cs="Times New Roman"/>
      <w:color w:val="808080"/>
    </w:rPr>
  </w:style>
  <w:style w:type="paragraph" w:customStyle="1" w:styleId="37">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8">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39">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列出段落2"/>
    <w:basedOn w:val="1"/>
    <w:qFormat/>
    <w:uiPriority w:val="99"/>
    <w:pPr>
      <w:ind w:firstLine="420" w:firstLineChars="200"/>
    </w:pPr>
    <w:rPr>
      <w:rFonts w:ascii="Calibri" w:hAnsi="Calibri"/>
      <w:szCs w:val="22"/>
    </w:rPr>
  </w:style>
  <w:style w:type="character" w:customStyle="1" w:styleId="41">
    <w:name w:val="标题 2 Char Char Char"/>
    <w:qFormat/>
    <w:uiPriority w:val="99"/>
    <w:rPr>
      <w:rFonts w:ascii="Arial" w:hAnsi="Arial" w:eastAsia="黑体"/>
      <w:b/>
      <w:kern w:val="2"/>
      <w:sz w:val="32"/>
      <w:lang w:val="en-US" w:eastAsia="zh-CN"/>
    </w:rPr>
  </w:style>
  <w:style w:type="paragraph" w:customStyle="1" w:styleId="42">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3">
    <w:name w:val="正文文本 字符"/>
    <w:link w:val="6"/>
    <w:qFormat/>
    <w:uiPriority w:val="99"/>
    <w:rPr>
      <w:kern w:val="2"/>
      <w:sz w:val="21"/>
      <w:szCs w:val="24"/>
    </w:rPr>
  </w:style>
  <w:style w:type="paragraph" w:customStyle="1" w:styleId="44">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5">
    <w:name w:val="正文2"/>
    <w:basedOn w:val="1"/>
    <w:qFormat/>
    <w:uiPriority w:val="0"/>
    <w:pPr>
      <w:spacing w:before="156" w:line="360" w:lineRule="auto"/>
      <w:ind w:firstLine="510" w:firstLineChars="200"/>
    </w:pPr>
    <w:rPr>
      <w:sz w:val="24"/>
    </w:rPr>
  </w:style>
  <w:style w:type="paragraph" w:customStyle="1" w:styleId="46">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7">
    <w:name w:val="A9"/>
    <w:qFormat/>
    <w:uiPriority w:val="0"/>
    <w:rPr>
      <w:rFonts w:cs="PSFEIH+StoneSans"/>
      <w:color w:val="262424"/>
      <w:sz w:val="20"/>
      <w:szCs w:val="20"/>
    </w:rPr>
  </w:style>
  <w:style w:type="paragraph" w:customStyle="1" w:styleId="4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9">
    <w:name w:val="A14"/>
    <w:qFormat/>
    <w:uiPriority w:val="99"/>
    <w:rPr>
      <w:rFonts w:cs="Open Sans Light"/>
      <w:color w:val="FFFFFF"/>
      <w:sz w:val="13"/>
      <w:szCs w:val="13"/>
    </w:rPr>
  </w:style>
  <w:style w:type="paragraph" w:customStyle="1" w:styleId="50">
    <w:name w:val="表格文字"/>
    <w:basedOn w:val="1"/>
    <w:next w:val="6"/>
    <w:qFormat/>
    <w:uiPriority w:val="0"/>
    <w:rPr>
      <w:sz w:val="24"/>
    </w:r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2">
    <w:name w:val="Unresolved Mention"/>
    <w:basedOn w:val="19"/>
    <w:semiHidden/>
    <w:unhideWhenUsed/>
    <w:qFormat/>
    <w:uiPriority w:val="99"/>
    <w:rPr>
      <w:color w:val="605E5C"/>
      <w:shd w:val="clear" w:color="auto" w:fill="E1DFDD"/>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15972</Words>
  <Characters>17240</Characters>
  <Lines>104</Lines>
  <Paragraphs>29</Paragraphs>
  <TotalTime>6</TotalTime>
  <ScaleCrop>false</ScaleCrop>
  <LinksUpToDate>false</LinksUpToDate>
  <CharactersWithSpaces>17705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2020-07-15T09:22:00Z</dcterms:created>
  <dc:creator>微软用户</dc:creator>
  <cp:lastModifiedBy>Administrator</cp:lastModifiedBy>
  <cp:lastPrinted>2019-11-22T01:53:00Z</cp:lastPrinted>
  <dcterms:modified xsi:type="dcterms:W3CDTF">2023-06-06T03:05:18Z</dcterms:modified>
  <dc:title>淮海工学院A8-10号楼学生宿舍家具招标书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E6B830D49B5F4E41983FD3EFD1534509_13</vt:lpwstr>
  </property>
</Properties>
</file>